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264795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4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224155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8"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Proxy Statement Pursuant to Section 14(a) of the</w:t>
      </w:r>
    </w:p>
    <w:p>
      <w:pPr>
        <w:jc w:val="center"/>
        <w:ind w:right="-1120"/>
        <w:spacing w:after="0"/>
        <w:rPr>
          <w:sz w:val="20"/>
          <w:szCs w:val="20"/>
          <w:color w:val="auto"/>
        </w:rPr>
      </w:pPr>
      <w:r>
        <w:rPr>
          <w:rFonts w:ascii="Arial" w:cs="Arial" w:eastAsia="Arial" w:hAnsi="Arial"/>
          <w:sz w:val="21"/>
          <w:szCs w:val="21"/>
          <w:b w:val="1"/>
          <w:bCs w:val="1"/>
          <w:color w:val="auto"/>
        </w:rPr>
        <w:t>Securities Exchange Act of 1934</w:t>
      </w:r>
    </w:p>
    <w:p>
      <w:pPr>
        <w:jc w:val="center"/>
        <w:ind w:right="-1120"/>
        <w:spacing w:after="0"/>
        <w:rPr>
          <w:sz w:val="20"/>
          <w:szCs w:val="20"/>
          <w:color w:val="auto"/>
        </w:rPr>
      </w:pPr>
      <w:r>
        <w:rPr>
          <w:rFonts w:ascii="Arial" w:cs="Arial" w:eastAsia="Arial" w:hAnsi="Arial"/>
          <w:sz w:val="21"/>
          <w:szCs w:val="21"/>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224155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1"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spacing w:after="0" w:line="234" w:lineRule="exact"/>
        <w:rPr>
          <w:sz w:val="24"/>
          <w:szCs w:val="24"/>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48" w:lineRule="exact"/>
        <w:rPr>
          <w:sz w:val="24"/>
          <w:szCs w:val="24"/>
          <w:color w:val="auto"/>
        </w:rPr>
      </w:pPr>
    </w:p>
    <w:p>
      <w:pPr>
        <w:ind w:left="600" w:hanging="433"/>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48" w:lineRule="exact"/>
        <w:rPr>
          <w:sz w:val="24"/>
          <w:szCs w:val="24"/>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245745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SEMPRA</w:t>
      </w:r>
    </w:p>
    <w:p>
      <w:pPr>
        <w:spacing w:after="0" w:line="34"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217170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all boxes that apply):</w:t>
      </w:r>
    </w:p>
    <w:p>
      <w:pPr>
        <w:spacing w:after="0" w:line="234" w:lineRule="exact"/>
        <w:rPr>
          <w:sz w:val="24"/>
          <w:szCs w:val="24"/>
          <w:color w:val="auto"/>
        </w:rPr>
      </w:pPr>
    </w:p>
    <w:p>
      <w:pPr>
        <w:ind w:left="600" w:hanging="433"/>
        <w:spacing w:after="0"/>
        <w:tabs>
          <w:tab w:leader="none" w:pos="6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48" w:lineRule="exact"/>
        <w:rPr>
          <w:sz w:val="24"/>
          <w:szCs w:val="24"/>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47" w:lineRule="exact"/>
        <w:rPr>
          <w:rFonts w:ascii="MS PGothic" w:cs="MS PGothic" w:eastAsia="MS PGothic" w:hAnsi="MS PGothic"/>
          <w:sz w:val="18"/>
          <w:szCs w:val="18"/>
          <w:color w:val="auto"/>
        </w:rPr>
      </w:pPr>
    </w:p>
    <w:p>
      <w:pPr>
        <w:ind w:left="600" w:hanging="433"/>
        <w:spacing w:after="0"/>
        <w:tabs>
          <w:tab w:leader="none" w:pos="6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177800</wp:posOffset>
            </wp:positionV>
            <wp:extent cx="6929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220345</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706880" cy="347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6880" cy="347980"/>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213995</wp:posOffset>
            </wp:positionV>
            <wp:extent cx="1223010" cy="1443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3010"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right="4820"/>
        <w:spacing w:after="0" w:line="269" w:lineRule="auto"/>
        <w:rPr>
          <w:sz w:val="20"/>
          <w:szCs w:val="20"/>
          <w:color w:val="auto"/>
        </w:rPr>
      </w:pPr>
      <w:r>
        <w:rPr>
          <w:rFonts w:ascii="Arial" w:cs="Arial" w:eastAsia="Arial" w:hAnsi="Arial"/>
          <w:sz w:val="45"/>
          <w:szCs w:val="45"/>
          <w:color w:val="001689"/>
        </w:rPr>
        <w:t>Letter From Our Chairman and Chief Executive Officer</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March 27, 2026</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Dear fellow shareholders:</w:t>
      </w:r>
    </w:p>
    <w:p>
      <w:pPr>
        <w:spacing w:after="0" w:line="128"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auto"/>
        </w:rPr>
        <w:t>We are pleased to invite you to our 2026 Annual Shareholders Meeting. The meeting will be held virtually on Tuesday, May 12, 2026. It will commence at 9 a.m. Pacific Time. The accompanying proxy materials describe how to participate and the matters to be voted on at the meeting.</w:t>
      </w:r>
    </w:p>
    <w:p>
      <w:pPr>
        <w:spacing w:after="0" w:line="54"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Reflecting on 2025, we are proud of Sempra’s strong performance. Working closely with the Board of Directors, we took important steps to advance our corporate strategy to prioritize lower-risk, regulated utility investments, strengthen our position as an energy leader in major economic markets and reallocate capital to meet the evolving needs of our customers, focusing sharply on Texas – a market we believe offers compelling long-term value. Central to this strategy are five value creation initiatives:</w:t>
      </w:r>
    </w:p>
    <w:p>
      <w:pPr>
        <w:spacing w:after="0" w:line="84" w:lineRule="exact"/>
        <w:rPr>
          <w:sz w:val="20"/>
          <w:szCs w:val="20"/>
          <w:color w:val="auto"/>
        </w:rPr>
      </w:pPr>
    </w:p>
    <w:p>
      <w:pPr>
        <w:ind w:left="1020" w:hanging="425"/>
        <w:spacing w:after="0"/>
        <w:tabs>
          <w:tab w:leader="none" w:pos="1020" w:val="left"/>
        </w:tabs>
        <w:numPr>
          <w:ilvl w:val="0"/>
          <w:numId w:val="6"/>
        </w:numPr>
        <w:rPr>
          <w:rFonts w:ascii="Times New Roman" w:cs="Times New Roman" w:eastAsia="Times New Roman" w:hAnsi="Times New Roman"/>
          <w:sz w:val="16"/>
          <w:szCs w:val="16"/>
          <w:color w:val="005CB9"/>
        </w:rPr>
      </w:pPr>
      <w:r>
        <w:rPr>
          <w:rFonts w:ascii="Arial" w:cs="Arial" w:eastAsia="Arial" w:hAnsi="Arial"/>
          <w:sz w:val="16"/>
          <w:szCs w:val="16"/>
          <w:color w:val="auto"/>
        </w:rPr>
        <w:t>Investing $13 billion to modernize energy infrastructure</w:t>
      </w:r>
    </w:p>
    <w:p>
      <w:pPr>
        <w:spacing w:after="0" w:line="136" w:lineRule="exact"/>
        <w:rPr>
          <w:rFonts w:ascii="Times New Roman" w:cs="Times New Roman" w:eastAsia="Times New Roman" w:hAnsi="Times New Roman"/>
          <w:sz w:val="16"/>
          <w:szCs w:val="16"/>
          <w:color w:val="005CB9"/>
        </w:rPr>
      </w:pPr>
    </w:p>
    <w:p>
      <w:pPr>
        <w:ind w:left="1020" w:hanging="425"/>
        <w:spacing w:after="0"/>
        <w:tabs>
          <w:tab w:leader="none" w:pos="1020" w:val="left"/>
        </w:tabs>
        <w:numPr>
          <w:ilvl w:val="0"/>
          <w:numId w:val="6"/>
        </w:numPr>
        <w:rPr>
          <w:rFonts w:ascii="Times New Roman" w:cs="Times New Roman" w:eastAsia="Times New Roman" w:hAnsi="Times New Roman"/>
          <w:sz w:val="16"/>
          <w:szCs w:val="16"/>
          <w:color w:val="005CB9"/>
        </w:rPr>
      </w:pPr>
      <w:r>
        <w:rPr>
          <w:rFonts w:ascii="Arial" w:cs="Arial" w:eastAsia="Arial" w:hAnsi="Arial"/>
          <w:sz w:val="16"/>
          <w:szCs w:val="16"/>
          <w:color w:val="auto"/>
        </w:rPr>
        <w:t>Unlocking value in our liquefied natural gas franchise</w:t>
      </w:r>
    </w:p>
    <w:p>
      <w:pPr>
        <w:spacing w:after="0" w:line="136" w:lineRule="exact"/>
        <w:rPr>
          <w:rFonts w:ascii="Times New Roman" w:cs="Times New Roman" w:eastAsia="Times New Roman" w:hAnsi="Times New Roman"/>
          <w:sz w:val="16"/>
          <w:szCs w:val="16"/>
          <w:color w:val="005CB9"/>
        </w:rPr>
      </w:pPr>
    </w:p>
    <w:p>
      <w:pPr>
        <w:ind w:left="1020" w:hanging="425"/>
        <w:spacing w:after="0"/>
        <w:tabs>
          <w:tab w:leader="none" w:pos="1020" w:val="left"/>
        </w:tabs>
        <w:numPr>
          <w:ilvl w:val="0"/>
          <w:numId w:val="6"/>
        </w:numPr>
        <w:rPr>
          <w:rFonts w:ascii="Times New Roman" w:cs="Times New Roman" w:eastAsia="Times New Roman" w:hAnsi="Times New Roman"/>
          <w:sz w:val="16"/>
          <w:szCs w:val="16"/>
          <w:color w:val="005CB9"/>
        </w:rPr>
      </w:pPr>
      <w:r>
        <w:rPr>
          <w:rFonts w:ascii="Arial" w:cs="Arial" w:eastAsia="Arial" w:hAnsi="Arial"/>
          <w:sz w:val="16"/>
          <w:szCs w:val="16"/>
          <w:color w:val="auto"/>
        </w:rPr>
        <w:t>Divesting non-core assets in Mexico to simplify the business</w:t>
      </w:r>
    </w:p>
    <w:p>
      <w:pPr>
        <w:spacing w:after="0" w:line="136" w:lineRule="exact"/>
        <w:rPr>
          <w:rFonts w:ascii="Times New Roman" w:cs="Times New Roman" w:eastAsia="Times New Roman" w:hAnsi="Times New Roman"/>
          <w:sz w:val="16"/>
          <w:szCs w:val="16"/>
          <w:color w:val="005CB9"/>
        </w:rPr>
      </w:pPr>
    </w:p>
    <w:p>
      <w:pPr>
        <w:ind w:left="1020" w:hanging="425"/>
        <w:spacing w:after="0"/>
        <w:tabs>
          <w:tab w:leader="none" w:pos="1020" w:val="left"/>
        </w:tabs>
        <w:numPr>
          <w:ilvl w:val="0"/>
          <w:numId w:val="6"/>
        </w:numPr>
        <w:rPr>
          <w:rFonts w:ascii="Times New Roman" w:cs="Times New Roman" w:eastAsia="Times New Roman" w:hAnsi="Times New Roman"/>
          <w:sz w:val="16"/>
          <w:szCs w:val="16"/>
          <w:color w:val="005CB9"/>
        </w:rPr>
      </w:pPr>
      <w:r>
        <w:rPr>
          <w:rFonts w:ascii="Arial" w:cs="Arial" w:eastAsia="Arial" w:hAnsi="Arial"/>
          <w:sz w:val="16"/>
          <w:szCs w:val="16"/>
          <w:color w:val="auto"/>
        </w:rPr>
        <w:t xml:space="preserve">Executing </w:t>
      </w:r>
      <w:r>
        <w:rPr>
          <w:rFonts w:ascii="Arial" w:cs="Arial" w:eastAsia="Arial" w:hAnsi="Arial"/>
          <w:sz w:val="16"/>
          <w:szCs w:val="16"/>
          <w:i w:val="1"/>
          <w:iCs w:val="1"/>
          <w:color w:val="auto"/>
        </w:rPr>
        <w:t>Fit for 2025</w:t>
      </w:r>
      <w:r>
        <w:rPr>
          <w:rFonts w:ascii="Arial" w:cs="Arial" w:eastAsia="Arial" w:hAnsi="Arial"/>
          <w:sz w:val="16"/>
          <w:szCs w:val="16"/>
          <w:color w:val="auto"/>
        </w:rPr>
        <w:t xml:space="preserve"> to improve efficiency</w:t>
      </w:r>
    </w:p>
    <w:p>
      <w:pPr>
        <w:spacing w:after="0" w:line="136" w:lineRule="exact"/>
        <w:rPr>
          <w:rFonts w:ascii="Times New Roman" w:cs="Times New Roman" w:eastAsia="Times New Roman" w:hAnsi="Times New Roman"/>
          <w:sz w:val="16"/>
          <w:szCs w:val="16"/>
          <w:color w:val="005CB9"/>
        </w:rPr>
      </w:pPr>
    </w:p>
    <w:p>
      <w:pPr>
        <w:ind w:left="1020" w:hanging="425"/>
        <w:spacing w:after="0"/>
        <w:tabs>
          <w:tab w:leader="none" w:pos="1020" w:val="left"/>
        </w:tabs>
        <w:numPr>
          <w:ilvl w:val="0"/>
          <w:numId w:val="6"/>
        </w:numPr>
        <w:rPr>
          <w:rFonts w:ascii="Times New Roman" w:cs="Times New Roman" w:eastAsia="Times New Roman" w:hAnsi="Times New Roman"/>
          <w:sz w:val="16"/>
          <w:szCs w:val="16"/>
          <w:color w:val="005CB9"/>
        </w:rPr>
      </w:pPr>
      <w:r>
        <w:rPr>
          <w:rFonts w:ascii="Arial" w:cs="Arial" w:eastAsia="Arial" w:hAnsi="Arial"/>
          <w:sz w:val="16"/>
          <w:szCs w:val="16"/>
          <w:color w:val="auto"/>
        </w:rPr>
        <w:t>Enhancing community safety and operational excellence</w:t>
      </w:r>
    </w:p>
    <w:p>
      <w:pPr>
        <w:spacing w:after="0" w:line="123"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Our disciplined execution of these initiatives has translated into improved financial and operational results. We could not be more proud of our employees, who have embraced our commitment to modernize and scale our organization, improve our cost structure and better serve all of Sempra’s stakeholders.</w:t>
      </w:r>
    </w:p>
    <w:p>
      <w:pPr>
        <w:spacing w:after="0" w:line="54"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auto"/>
        </w:rPr>
        <w:t xml:space="preserve">We are excited to carry this momentum forward with a refreshed mission – </w:t>
      </w:r>
      <w:r>
        <w:rPr>
          <w:rFonts w:ascii="Arial" w:cs="Arial" w:eastAsia="Arial" w:hAnsi="Arial"/>
          <w:sz w:val="16"/>
          <w:szCs w:val="16"/>
          <w:b w:val="1"/>
          <w:bCs w:val="1"/>
          <w:color w:val="auto"/>
        </w:rPr>
        <w:t>to build America’s leading utility growth business</w:t>
      </w:r>
      <w:r>
        <w:rPr>
          <w:rFonts w:ascii="Arial" w:cs="Arial" w:eastAsia="Arial" w:hAnsi="Arial"/>
          <w:sz w:val="16"/>
          <w:szCs w:val="16"/>
          <w:color w:val="auto"/>
        </w:rPr>
        <w:t>. This mission reflects our sharpened focus on regulated utilities, innovation and operational excellence, while staying true to our vision of delivering energy with purpose and our core values – do the right thing, champion people and shape the future. Together, with strong governance and an engaged board, we remain committed to creating long-term shareholder value while meeting the evolving needs of our communities.</w:t>
      </w:r>
    </w:p>
    <w:p>
      <w:pPr>
        <w:spacing w:after="0" w:line="71"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auto"/>
        </w:rPr>
        <w:t>With our direction set, we now encourage you to take part in this year’s voting process. Please review the accompanying materials and vote promptly. As in past years, you can vote before the meeting online, by phone or by completing and returning the proxy card or voting instruction form.</w:t>
      </w:r>
    </w:p>
    <w:p>
      <w:pPr>
        <w:spacing w:after="0" w:line="54" w:lineRule="exact"/>
        <w:rPr>
          <w:sz w:val="20"/>
          <w:szCs w:val="20"/>
          <w:color w:val="auto"/>
        </w:rPr>
      </w:pPr>
    </w:p>
    <w:p>
      <w:pPr>
        <w:ind w:left="160" w:right="620"/>
        <w:spacing w:after="0" w:line="279" w:lineRule="auto"/>
        <w:rPr>
          <w:sz w:val="20"/>
          <w:szCs w:val="20"/>
          <w:color w:val="auto"/>
        </w:rPr>
      </w:pPr>
      <w:r>
        <w:rPr>
          <w:rFonts w:ascii="Arial" w:cs="Arial" w:eastAsia="Arial" w:hAnsi="Arial"/>
          <w:sz w:val="16"/>
          <w:szCs w:val="16"/>
          <w:color w:val="auto"/>
        </w:rPr>
        <w:t>On behalf of the Board of Directors and management team, we are grateful for the opportunity to represent you and serve Sempra. Thank you for supporting our mission.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1223010" cy="441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23010" cy="441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Jeffrey W. Martin</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187960</wp:posOffset>
            </wp:positionV>
            <wp:extent cx="69297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1706880" cy="347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06880" cy="347980"/>
                    </a:xfrm>
                    <a:prstGeom prst="rect">
                      <a:avLst/>
                    </a:prstGeom>
                    <a:noFill/>
                  </pic:spPr>
                </pic:pic>
              </a:graphicData>
            </a:graphic>
          </wp:anchor>
        </w:drawing>
        <w:drawing>
          <wp:anchor simplePos="0" relativeHeight="251657728" behindDoc="1" locked="0" layoutInCell="0" allowOverlap="1">
            <wp:simplePos x="0" y="0"/>
            <wp:positionH relativeFrom="column">
              <wp:posOffset>5813425</wp:posOffset>
            </wp:positionH>
            <wp:positionV relativeFrom="paragraph">
              <wp:posOffset>213995</wp:posOffset>
            </wp:positionV>
            <wp:extent cx="1223010" cy="1443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23010" cy="1443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Letter From Our</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Lead Independent Director</w:t>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March 27, 2026</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Dear fellow shareholders:</w:t>
      </w:r>
    </w:p>
    <w:p>
      <w:pPr>
        <w:spacing w:after="0" w:line="248"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Thank you for your continued investment in Sempra. As Lead Independent Director, I would like to share the board’s perspective on its work over the past year, which we believe has positioned the company well for the opportunities that lie ahead.</w:t>
      </w:r>
    </w:p>
    <w:p>
      <w:pPr>
        <w:spacing w:after="0" w:line="54"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Throughout 2025, the board remained actively engaged across Sempra’s businesses. We worked closely with our Chairman and Chief Executive Officer, Jeffrey Martin, and the senior management team to refresh the company’s mission, sharpen strategic focus and review key opportunities and challenges. Our oversight included regular discussions on long-term strategy, financial performance, operational execution, talent management, safety and emerging risks. This engagement reflects the board’s commitment to rigorous oversight, a strong shared governance framework and disciplined support of the company’s long-term strategy.</w:t>
      </w:r>
    </w:p>
    <w:p>
      <w:pPr>
        <w:spacing w:after="0" w:line="73"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As part of this commitment, we continued our board refreshment process, adding two new directors in 2025 who further strengthen our effectiveness and complement the skill sets of an already experienced board. Our directors’ collective expertise supports sound judgment and robust dialogue in the boardroom. Further, our substantial majority of independent directors, together with our empowered and active Lead Independent Director role, reinforce accountability and foster a constructive working relationship with management.</w:t>
      </w:r>
    </w:p>
    <w:p>
      <w:pPr>
        <w:spacing w:after="0" w:line="71"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The board’s effectiveness is also enhanced by our open dialogue with our shareholders. Through our strong shareholder engagement program, investor perspectives are regularly shared with the full board and relevant committees, helping to inform our oversight priorities and decisions about our corporate governance practices, executive compensation program and other matters crucial to the company’s business strategy. I participated in several of these discussions in 2025, and the insights provided were valuable in shaping the board’s understanding of shareholder priorities.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behalf of the Board of Directors, thank you for the trust you place in us.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1401445" cy="373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1445"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Cynthia J. (CJ) Warner</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187960</wp:posOffset>
            </wp:positionV>
            <wp:extent cx="69297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40"/>
          </w:cols>
          <w:pgMar w:left="320" w:top="478"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467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9755" cy="467360"/>
                    </a:xfrm>
                    <a:prstGeom prst="rect">
                      <a:avLst/>
                    </a:prstGeom>
                    <a:noFill/>
                  </pic:spPr>
                </pic:pic>
              </a:graphicData>
            </a:graphic>
          </wp:anchor>
        </w:drawing>
      </w:r>
    </w:p>
    <w:p>
      <w:pPr>
        <w:spacing w:after="0" w:line="376" w:lineRule="exact"/>
        <w:rPr>
          <w:sz w:val="20"/>
          <w:szCs w:val="20"/>
          <w:color w:val="auto"/>
        </w:rPr>
      </w:pPr>
    </w:p>
    <w:p>
      <w:pPr>
        <w:ind w:left="160"/>
        <w:spacing w:after="0"/>
        <w:rPr>
          <w:sz w:val="20"/>
          <w:szCs w:val="20"/>
          <w:color w:val="auto"/>
        </w:rPr>
      </w:pPr>
      <w:r>
        <w:rPr>
          <w:rFonts w:ascii="Arial" w:cs="Arial" w:eastAsia="Arial" w:hAnsi="Arial"/>
          <w:sz w:val="45"/>
          <w:szCs w:val="45"/>
          <w:b w:val="1"/>
          <w:bCs w:val="1"/>
          <w:color w:val="FFFFFF"/>
        </w:rPr>
        <w:t>  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020" w:type="dxa"/>
            <w:vAlign w:val="bottom"/>
            <w:gridSpan w:val="38"/>
          </w:tcPr>
          <w:p>
            <w:pPr>
              <w:spacing w:after="0"/>
              <w:rPr>
                <w:sz w:val="20"/>
                <w:szCs w:val="20"/>
                <w:color w:val="auto"/>
              </w:rPr>
            </w:pPr>
            <w:r>
              <w:rPr>
                <w:rFonts w:ascii="Arial" w:cs="Arial" w:eastAsia="Arial" w:hAnsi="Arial"/>
                <w:sz w:val="18"/>
                <w:szCs w:val="18"/>
                <w:b w:val="1"/>
                <w:bCs w:val="1"/>
                <w:color w:val="0000EE"/>
              </w:rPr>
              <w:t>Notice of Annual Shareholders Meeting</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005CB9"/>
              </w:rPr>
              <w:t>1</w:t>
            </w:r>
          </w:p>
        </w:tc>
        <w:tc>
          <w:tcPr>
            <w:tcW w:w="0" w:type="dxa"/>
            <w:vAlign w:val="bottom"/>
          </w:tcPr>
          <w:p>
            <w:pPr>
              <w:spacing w:after="0"/>
              <w:rPr>
                <w:sz w:val="1"/>
                <w:szCs w:val="1"/>
                <w:color w:val="auto"/>
              </w:rPr>
            </w:pPr>
          </w:p>
        </w:tc>
      </w:tr>
      <w:tr>
        <w:trPr>
          <w:trHeight w:val="74"/>
        </w:trPr>
        <w:tc>
          <w:tcPr>
            <w:tcW w:w="20" w:type="dxa"/>
            <w:vAlign w:val="bottom"/>
            <w:tcBorders>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2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2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220" w:type="dxa"/>
            <w:vAlign w:val="bottom"/>
            <w:tcBorders>
              <w:top w:val="single" w:sz="8" w:color="0000EE"/>
              <w:bottom w:val="single" w:sz="8" w:color="005CB9"/>
            </w:tcBorders>
          </w:tcPr>
          <w:p>
            <w:pPr>
              <w:spacing w:after="0"/>
              <w:rPr>
                <w:sz w:val="6"/>
                <w:szCs w:val="6"/>
                <w:color w:val="auto"/>
              </w:rPr>
            </w:pPr>
          </w:p>
        </w:tc>
        <w:tc>
          <w:tcPr>
            <w:tcW w:w="20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30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440" w:type="dxa"/>
            <w:vAlign w:val="bottom"/>
            <w:tcBorders>
              <w:bottom w:val="single" w:sz="8" w:color="005CB9"/>
            </w:tcBorders>
          </w:tcPr>
          <w:p>
            <w:pPr>
              <w:spacing w:after="0"/>
              <w:rPr>
                <w:sz w:val="6"/>
                <w:szCs w:val="6"/>
                <w:color w:val="auto"/>
              </w:rPr>
            </w:pPr>
          </w:p>
        </w:tc>
        <w:tc>
          <w:tcPr>
            <w:tcW w:w="5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740" w:type="dxa"/>
            <w:vAlign w:val="bottom"/>
            <w:tcBorders>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9020" w:type="dxa"/>
            <w:vAlign w:val="bottom"/>
            <w:gridSpan w:val="38"/>
          </w:tcPr>
          <w:p>
            <w:pPr>
              <w:spacing w:after="0" w:line="181" w:lineRule="exact"/>
              <w:rPr>
                <w:sz w:val="20"/>
                <w:szCs w:val="20"/>
                <w:color w:val="auto"/>
              </w:rPr>
            </w:pPr>
            <w:r>
              <w:rPr>
                <w:rFonts w:ascii="Arial" w:cs="Arial" w:eastAsia="Arial" w:hAnsi="Arial"/>
                <w:sz w:val="18"/>
                <w:szCs w:val="18"/>
                <w:b w:val="1"/>
                <w:bCs w:val="1"/>
                <w:color w:val="0000EE"/>
              </w:rPr>
              <w:t>Proxy Statement Summary</w:t>
            </w:r>
          </w:p>
        </w:tc>
        <w:tc>
          <w:tcPr>
            <w:tcW w:w="1900" w:type="dxa"/>
            <w:vAlign w:val="bottom"/>
          </w:tcPr>
          <w:p>
            <w:pPr>
              <w:jc w:val="right"/>
              <w:spacing w:after="0" w:line="181" w:lineRule="exact"/>
              <w:rPr>
                <w:sz w:val="20"/>
                <w:szCs w:val="20"/>
                <w:color w:val="auto"/>
              </w:rPr>
            </w:pPr>
            <w:r>
              <w:rPr>
                <w:rFonts w:ascii="Arial" w:cs="Arial" w:eastAsia="Arial" w:hAnsi="Arial"/>
                <w:sz w:val="18"/>
                <w:szCs w:val="18"/>
                <w:b w:val="1"/>
                <w:bCs w:val="1"/>
                <w:color w:val="005CB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Annual Shareholders Meeting Details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tcBorders>
              <w:top w:val="single" w:sz="8" w:color="0000EE"/>
            </w:tcBorders>
            <w:gridSpan w:val="22"/>
          </w:tcPr>
          <w:p>
            <w:pPr>
              <w:spacing w:after="0" w:line="194" w:lineRule="exact"/>
              <w:rPr>
                <w:sz w:val="20"/>
                <w:szCs w:val="20"/>
                <w:color w:val="auto"/>
              </w:rPr>
            </w:pPr>
            <w:r>
              <w:rPr>
                <w:rFonts w:ascii="Arial" w:cs="Arial" w:eastAsia="Arial" w:hAnsi="Arial"/>
                <w:sz w:val="18"/>
                <w:szCs w:val="18"/>
                <w:color w:val="0000EE"/>
              </w:rPr>
              <w:t>Shareholder Voting Matters</w:t>
            </w:r>
          </w:p>
        </w:tc>
        <w:tc>
          <w:tcPr>
            <w:tcW w:w="5900" w:type="dxa"/>
            <w:vAlign w:val="bottom"/>
            <w:gridSpan w:val="14"/>
          </w:tcPr>
          <w:p>
            <w:pPr>
              <w:spacing w:after="0"/>
              <w:rPr>
                <w:sz w:val="16"/>
                <w:szCs w:val="16"/>
                <w:color w:val="auto"/>
              </w:rPr>
            </w:pP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tcBorders>
              <w:top w:val="single" w:sz="8" w:color="0000EE"/>
            </w:tcBorders>
            <w:gridSpan w:val="16"/>
          </w:tcPr>
          <w:p>
            <w:pPr>
              <w:spacing w:after="0" w:line="194" w:lineRule="exact"/>
              <w:rPr>
                <w:sz w:val="20"/>
                <w:szCs w:val="20"/>
                <w:color w:val="auto"/>
              </w:rPr>
            </w:pPr>
            <w:r>
              <w:rPr>
                <w:rFonts w:ascii="Arial" w:cs="Arial" w:eastAsia="Arial" w:hAnsi="Arial"/>
                <w:sz w:val="18"/>
                <w:szCs w:val="18"/>
                <w:color w:val="0000EE"/>
              </w:rPr>
              <w:t>Director Nominees</w:t>
            </w:r>
          </w:p>
        </w:tc>
        <w:tc>
          <w:tcPr>
            <w:tcW w:w="6680" w:type="dxa"/>
            <w:vAlign w:val="bottom"/>
            <w:gridSpan w:val="20"/>
          </w:tcPr>
          <w:p>
            <w:pPr>
              <w:spacing w:after="0"/>
              <w:rPr>
                <w:sz w:val="16"/>
                <w:szCs w:val="16"/>
                <w:color w:val="auto"/>
              </w:rPr>
            </w:pP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tcBorders>
              <w:bottom w:val="single" w:sz="8" w:color="0000EE"/>
            </w:tcBorders>
            <w:gridSpan w:val="19"/>
          </w:tcPr>
          <w:p>
            <w:pPr>
              <w:spacing w:after="0" w:line="194" w:lineRule="exact"/>
              <w:rPr>
                <w:sz w:val="20"/>
                <w:szCs w:val="20"/>
                <w:color w:val="auto"/>
              </w:rPr>
            </w:pPr>
            <w:r>
              <w:rPr>
                <w:rFonts w:ascii="Arial" w:cs="Arial" w:eastAsia="Arial" w:hAnsi="Arial"/>
                <w:sz w:val="18"/>
                <w:szCs w:val="18"/>
                <w:color w:val="0000EE"/>
                <w:w w:val="98"/>
              </w:rPr>
              <w:t>Director Nominee Composition</w:t>
            </w:r>
          </w:p>
        </w:tc>
        <w:tc>
          <w:tcPr>
            <w:tcW w:w="6400" w:type="dxa"/>
            <w:vAlign w:val="bottom"/>
            <w:gridSpan w:val="17"/>
          </w:tcPr>
          <w:p>
            <w:pPr>
              <w:spacing w:after="0"/>
              <w:rPr>
                <w:sz w:val="16"/>
                <w:szCs w:val="16"/>
                <w:color w:val="auto"/>
              </w:rPr>
            </w:pP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tcBorders>
              <w:bottom w:val="single" w:sz="8" w:color="0000EE"/>
            </w:tcBorders>
            <w:gridSpan w:val="18"/>
          </w:tcPr>
          <w:p>
            <w:pPr>
              <w:spacing w:after="0" w:line="194" w:lineRule="exact"/>
              <w:rPr>
                <w:sz w:val="20"/>
                <w:szCs w:val="20"/>
                <w:color w:val="auto"/>
              </w:rPr>
            </w:pPr>
            <w:r>
              <w:rPr>
                <w:rFonts w:ascii="Arial" w:cs="Arial" w:eastAsia="Arial" w:hAnsi="Arial"/>
                <w:sz w:val="18"/>
                <w:szCs w:val="18"/>
                <w:color w:val="0000EE"/>
                <w:w w:val="98"/>
              </w:rPr>
              <w:t>Strong Governance Practices</w:t>
            </w:r>
          </w:p>
        </w:tc>
        <w:tc>
          <w:tcPr>
            <w:tcW w:w="6500" w:type="dxa"/>
            <w:vAlign w:val="bottom"/>
            <w:gridSpan w:val="18"/>
          </w:tcPr>
          <w:p>
            <w:pPr>
              <w:spacing w:after="0"/>
              <w:rPr>
                <w:sz w:val="16"/>
                <w:szCs w:val="16"/>
                <w:color w:val="auto"/>
              </w:rPr>
            </w:pP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Company Overview</w:t>
            </w: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Executive Compensation</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Borders>
              <w:top w:val="single" w:sz="8" w:color="0000EE"/>
            </w:tcBorders>
            <w:gridSpan w:val="13"/>
          </w:tcPr>
          <w:p>
            <w:pPr>
              <w:spacing w:after="0" w:line="181" w:lineRule="exact"/>
              <w:rPr>
                <w:sz w:val="20"/>
                <w:szCs w:val="20"/>
                <w:color w:val="auto"/>
              </w:rPr>
            </w:pPr>
            <w:r>
              <w:rPr>
                <w:rFonts w:ascii="Arial" w:cs="Arial" w:eastAsia="Arial" w:hAnsi="Arial"/>
                <w:sz w:val="18"/>
                <w:szCs w:val="18"/>
                <w:color w:val="0000EE"/>
              </w:rPr>
              <w:t>Voting Information</w:t>
            </w:r>
          </w:p>
        </w:tc>
        <w:tc>
          <w:tcPr>
            <w:tcW w:w="2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4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00" w:type="dxa"/>
            <w:vAlign w:val="bottom"/>
          </w:tcPr>
          <w:p>
            <w:pPr>
              <w:jc w:val="right"/>
              <w:spacing w:after="0" w:line="18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220" w:type="dxa"/>
            <w:vAlign w:val="bottom"/>
            <w:tcBorders>
              <w:bottom w:val="single" w:sz="8" w:color="005CB9"/>
            </w:tcBorders>
          </w:tcPr>
          <w:p>
            <w:pPr>
              <w:spacing w:after="0"/>
              <w:rPr>
                <w:sz w:val="6"/>
                <w:szCs w:val="6"/>
                <w:color w:val="auto"/>
              </w:rPr>
            </w:pPr>
          </w:p>
        </w:tc>
        <w:tc>
          <w:tcPr>
            <w:tcW w:w="20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30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440" w:type="dxa"/>
            <w:vAlign w:val="bottom"/>
            <w:tcBorders>
              <w:bottom w:val="single" w:sz="8" w:color="005CB9"/>
            </w:tcBorders>
          </w:tcPr>
          <w:p>
            <w:pPr>
              <w:spacing w:after="0"/>
              <w:rPr>
                <w:sz w:val="6"/>
                <w:szCs w:val="6"/>
                <w:color w:val="auto"/>
              </w:rPr>
            </w:pPr>
          </w:p>
        </w:tc>
        <w:tc>
          <w:tcPr>
            <w:tcW w:w="5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740" w:type="dxa"/>
            <w:vAlign w:val="bottom"/>
            <w:tcBorders>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920" w:type="dxa"/>
            <w:vAlign w:val="bottom"/>
            <w:tcBorders>
              <w:bottom w:val="single" w:sz="8" w:color="0000EE"/>
            </w:tcBorders>
            <w:gridSpan w:val="10"/>
          </w:tcPr>
          <w:p>
            <w:pPr>
              <w:spacing w:after="0" w:line="181" w:lineRule="exact"/>
              <w:rPr>
                <w:sz w:val="20"/>
                <w:szCs w:val="20"/>
                <w:color w:val="auto"/>
              </w:rPr>
            </w:pPr>
            <w:r>
              <w:rPr>
                <w:rFonts w:ascii="Arial" w:cs="Arial" w:eastAsia="Arial" w:hAnsi="Arial"/>
                <w:sz w:val="18"/>
                <w:szCs w:val="18"/>
                <w:b w:val="1"/>
                <w:bCs w:val="1"/>
                <w:color w:val="0000EE"/>
                <w:w w:val="97"/>
              </w:rPr>
              <w:t>Corporate Governance</w:t>
            </w:r>
          </w:p>
        </w:tc>
        <w:tc>
          <w:tcPr>
            <w:tcW w:w="7080" w:type="dxa"/>
            <w:vAlign w:val="bottom"/>
            <w:gridSpan w:val="27"/>
          </w:tcPr>
          <w:p>
            <w:pPr>
              <w:spacing w:after="0"/>
              <w:rPr>
                <w:sz w:val="15"/>
                <w:szCs w:val="15"/>
                <w:color w:val="auto"/>
              </w:rPr>
            </w:pPr>
          </w:p>
        </w:tc>
        <w:tc>
          <w:tcPr>
            <w:tcW w:w="1900" w:type="dxa"/>
            <w:vAlign w:val="bottom"/>
          </w:tcPr>
          <w:p>
            <w:pPr>
              <w:jc w:val="right"/>
              <w:spacing w:after="0" w:line="181" w:lineRule="exact"/>
              <w:rPr>
                <w:sz w:val="20"/>
                <w:szCs w:val="20"/>
                <w:color w:val="auto"/>
              </w:rPr>
            </w:pPr>
            <w:r>
              <w:rPr>
                <w:rFonts w:ascii="Arial" w:cs="Arial" w:eastAsia="Arial" w:hAnsi="Arial"/>
                <w:sz w:val="18"/>
                <w:szCs w:val="18"/>
                <w:b w:val="1"/>
                <w:bCs w:val="1"/>
                <w:color w:val="005CB9"/>
              </w:rPr>
              <w:t>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Board of Directors</w:t>
            </w: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Board Committees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Communications with the Board</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Borders>
              <w:top w:val="single" w:sz="8" w:color="0000EE"/>
            </w:tcBorders>
            <w:gridSpan w:val="20"/>
          </w:tcPr>
          <w:p>
            <w:pPr>
              <w:spacing w:after="0" w:line="181" w:lineRule="exact"/>
              <w:rPr>
                <w:sz w:val="20"/>
                <w:szCs w:val="20"/>
                <w:color w:val="auto"/>
              </w:rPr>
            </w:pPr>
            <w:r>
              <w:rPr>
                <w:rFonts w:ascii="Arial" w:cs="Arial" w:eastAsia="Arial" w:hAnsi="Arial"/>
                <w:sz w:val="18"/>
                <w:szCs w:val="18"/>
                <w:color w:val="0000EE"/>
              </w:rPr>
              <w:t>Director Compensation</w:t>
            </w:r>
          </w:p>
        </w:tc>
        <w:tc>
          <w:tcPr>
            <w:tcW w:w="2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00" w:type="dxa"/>
            <w:vAlign w:val="bottom"/>
          </w:tcPr>
          <w:p>
            <w:pPr>
              <w:jc w:val="right"/>
              <w:spacing w:after="0" w:line="181"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220" w:type="dxa"/>
            <w:vAlign w:val="bottom"/>
            <w:tcBorders>
              <w:bottom w:val="single" w:sz="8" w:color="005CB9"/>
            </w:tcBorders>
          </w:tcPr>
          <w:p>
            <w:pPr>
              <w:spacing w:after="0"/>
              <w:rPr>
                <w:sz w:val="6"/>
                <w:szCs w:val="6"/>
                <w:color w:val="auto"/>
              </w:rPr>
            </w:pPr>
          </w:p>
        </w:tc>
        <w:tc>
          <w:tcPr>
            <w:tcW w:w="20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30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440" w:type="dxa"/>
            <w:vAlign w:val="bottom"/>
            <w:tcBorders>
              <w:bottom w:val="single" w:sz="8" w:color="005CB9"/>
            </w:tcBorders>
          </w:tcPr>
          <w:p>
            <w:pPr>
              <w:spacing w:after="0"/>
              <w:rPr>
                <w:sz w:val="6"/>
                <w:szCs w:val="6"/>
                <w:color w:val="auto"/>
              </w:rPr>
            </w:pPr>
          </w:p>
        </w:tc>
        <w:tc>
          <w:tcPr>
            <w:tcW w:w="5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740" w:type="dxa"/>
            <w:vAlign w:val="bottom"/>
            <w:tcBorders>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000" w:type="dxa"/>
            <w:vAlign w:val="bottom"/>
            <w:gridSpan w:val="37"/>
          </w:tcPr>
          <w:p>
            <w:pPr>
              <w:spacing w:after="0" w:line="167" w:lineRule="exact"/>
              <w:rPr>
                <w:sz w:val="20"/>
                <w:szCs w:val="20"/>
                <w:color w:val="auto"/>
              </w:rPr>
            </w:pPr>
            <w:r>
              <w:rPr>
                <w:rFonts w:ascii="Arial" w:cs="Arial" w:eastAsia="Arial" w:hAnsi="Arial"/>
                <w:sz w:val="18"/>
                <w:szCs w:val="18"/>
                <w:b w:val="1"/>
                <w:bCs w:val="1"/>
                <w:color w:val="0000EE"/>
              </w:rPr>
              <w:t>Audit Committee Report</w:t>
            </w:r>
          </w:p>
        </w:tc>
        <w:tc>
          <w:tcPr>
            <w:tcW w:w="1900" w:type="dxa"/>
            <w:vAlign w:val="bottom"/>
          </w:tcPr>
          <w:p>
            <w:pPr>
              <w:jc w:val="right"/>
              <w:spacing w:after="0" w:line="167" w:lineRule="exact"/>
              <w:rPr>
                <w:sz w:val="20"/>
                <w:szCs w:val="20"/>
                <w:color w:val="auto"/>
              </w:rPr>
            </w:pPr>
            <w:r>
              <w:rPr>
                <w:rFonts w:ascii="Arial" w:cs="Arial" w:eastAsia="Arial" w:hAnsi="Arial"/>
                <w:sz w:val="18"/>
                <w:szCs w:val="18"/>
                <w:b w:val="1"/>
                <w:bCs w:val="1"/>
                <w:color w:val="005CB9"/>
              </w:rPr>
              <w:t>23</w:t>
            </w:r>
          </w:p>
        </w:tc>
        <w:tc>
          <w:tcPr>
            <w:tcW w:w="0" w:type="dxa"/>
            <w:vAlign w:val="bottom"/>
          </w:tcPr>
          <w:p>
            <w:pPr>
              <w:spacing w:after="0"/>
              <w:rPr>
                <w:sz w:val="1"/>
                <w:szCs w:val="1"/>
                <w:color w:val="auto"/>
              </w:rPr>
            </w:pPr>
          </w:p>
        </w:tc>
      </w:tr>
      <w:tr>
        <w:trPr>
          <w:trHeight w:val="74"/>
        </w:trPr>
        <w:tc>
          <w:tcPr>
            <w:tcW w:w="20" w:type="dxa"/>
            <w:vAlign w:val="bottom"/>
            <w:tcBorders>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220" w:type="dxa"/>
            <w:vAlign w:val="bottom"/>
            <w:tcBorders>
              <w:bottom w:val="single" w:sz="8" w:color="005CB9"/>
            </w:tcBorders>
          </w:tcPr>
          <w:p>
            <w:pPr>
              <w:spacing w:after="0"/>
              <w:rPr>
                <w:sz w:val="6"/>
                <w:szCs w:val="6"/>
                <w:color w:val="auto"/>
              </w:rPr>
            </w:pPr>
          </w:p>
        </w:tc>
        <w:tc>
          <w:tcPr>
            <w:tcW w:w="20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30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440" w:type="dxa"/>
            <w:vAlign w:val="bottom"/>
            <w:tcBorders>
              <w:bottom w:val="single" w:sz="8" w:color="005CB9"/>
            </w:tcBorders>
          </w:tcPr>
          <w:p>
            <w:pPr>
              <w:spacing w:after="0"/>
              <w:rPr>
                <w:sz w:val="6"/>
                <w:szCs w:val="6"/>
                <w:color w:val="auto"/>
              </w:rPr>
            </w:pPr>
          </w:p>
        </w:tc>
        <w:tc>
          <w:tcPr>
            <w:tcW w:w="5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740" w:type="dxa"/>
            <w:vAlign w:val="bottom"/>
            <w:tcBorders>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020" w:type="dxa"/>
            <w:vAlign w:val="bottom"/>
            <w:gridSpan w:val="38"/>
          </w:tcPr>
          <w:p>
            <w:pPr>
              <w:spacing w:after="0" w:line="167" w:lineRule="exact"/>
              <w:rPr>
                <w:sz w:val="20"/>
                <w:szCs w:val="20"/>
                <w:color w:val="auto"/>
              </w:rPr>
            </w:pPr>
            <w:r>
              <w:rPr>
                <w:rFonts w:ascii="Arial" w:cs="Arial" w:eastAsia="Arial" w:hAnsi="Arial"/>
                <w:sz w:val="18"/>
                <w:szCs w:val="18"/>
                <w:b w:val="1"/>
                <w:bCs w:val="1"/>
                <w:color w:val="0000EE"/>
              </w:rPr>
              <w:t>Share Ownership</w:t>
            </w:r>
          </w:p>
        </w:tc>
        <w:tc>
          <w:tcPr>
            <w:tcW w:w="1900" w:type="dxa"/>
            <w:vAlign w:val="bottom"/>
          </w:tcPr>
          <w:p>
            <w:pPr>
              <w:jc w:val="right"/>
              <w:spacing w:after="0" w:line="167" w:lineRule="exact"/>
              <w:rPr>
                <w:sz w:val="20"/>
                <w:szCs w:val="20"/>
                <w:color w:val="auto"/>
              </w:rPr>
            </w:pPr>
            <w:r>
              <w:rPr>
                <w:rFonts w:ascii="Arial" w:cs="Arial" w:eastAsia="Arial" w:hAnsi="Arial"/>
                <w:sz w:val="18"/>
                <w:szCs w:val="18"/>
                <w:b w:val="1"/>
                <w:bCs w:val="1"/>
                <w:color w:val="005CB9"/>
              </w:rPr>
              <w:t>24</w:t>
            </w:r>
          </w:p>
        </w:tc>
        <w:tc>
          <w:tcPr>
            <w:tcW w:w="0" w:type="dxa"/>
            <w:vAlign w:val="bottom"/>
          </w:tcPr>
          <w:p>
            <w:pPr>
              <w:spacing w:after="0"/>
              <w:rPr>
                <w:sz w:val="1"/>
                <w:szCs w:val="1"/>
                <w:color w:val="auto"/>
              </w:rPr>
            </w:pPr>
          </w:p>
        </w:tc>
      </w:tr>
      <w:tr>
        <w:trPr>
          <w:trHeight w:val="74"/>
        </w:trPr>
        <w:tc>
          <w:tcPr>
            <w:tcW w:w="20" w:type="dxa"/>
            <w:vAlign w:val="bottom"/>
            <w:tcBorders>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220" w:type="dxa"/>
            <w:vAlign w:val="bottom"/>
            <w:tcBorders>
              <w:bottom w:val="single" w:sz="8" w:color="005CB9"/>
            </w:tcBorders>
          </w:tcPr>
          <w:p>
            <w:pPr>
              <w:spacing w:after="0"/>
              <w:rPr>
                <w:sz w:val="6"/>
                <w:szCs w:val="6"/>
                <w:color w:val="auto"/>
              </w:rPr>
            </w:pPr>
          </w:p>
        </w:tc>
        <w:tc>
          <w:tcPr>
            <w:tcW w:w="20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30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440" w:type="dxa"/>
            <w:vAlign w:val="bottom"/>
            <w:tcBorders>
              <w:bottom w:val="single" w:sz="8" w:color="005CB9"/>
            </w:tcBorders>
          </w:tcPr>
          <w:p>
            <w:pPr>
              <w:spacing w:after="0"/>
              <w:rPr>
                <w:sz w:val="6"/>
                <w:szCs w:val="6"/>
                <w:color w:val="auto"/>
              </w:rPr>
            </w:pPr>
          </w:p>
        </w:tc>
        <w:tc>
          <w:tcPr>
            <w:tcW w:w="5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740" w:type="dxa"/>
            <w:vAlign w:val="bottom"/>
            <w:tcBorders>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9020" w:type="dxa"/>
            <w:vAlign w:val="bottom"/>
            <w:gridSpan w:val="38"/>
          </w:tcPr>
          <w:p>
            <w:pPr>
              <w:spacing w:after="0" w:line="181" w:lineRule="exact"/>
              <w:rPr>
                <w:sz w:val="20"/>
                <w:szCs w:val="20"/>
                <w:color w:val="auto"/>
              </w:rPr>
            </w:pPr>
            <w:r>
              <w:rPr>
                <w:rFonts w:ascii="Arial" w:cs="Arial" w:eastAsia="Arial" w:hAnsi="Arial"/>
                <w:sz w:val="18"/>
                <w:szCs w:val="18"/>
                <w:b w:val="1"/>
                <w:bCs w:val="1"/>
                <w:color w:val="0000EE"/>
              </w:rPr>
              <w:t>Proposals to be Voted On</w:t>
            </w:r>
          </w:p>
        </w:tc>
        <w:tc>
          <w:tcPr>
            <w:tcW w:w="1900" w:type="dxa"/>
            <w:vAlign w:val="bottom"/>
          </w:tcPr>
          <w:p>
            <w:pPr>
              <w:jc w:val="right"/>
              <w:spacing w:after="0" w:line="181" w:lineRule="exact"/>
              <w:rPr>
                <w:sz w:val="20"/>
                <w:szCs w:val="20"/>
                <w:color w:val="auto"/>
              </w:rPr>
            </w:pPr>
            <w:r>
              <w:rPr>
                <w:rFonts w:ascii="Arial" w:cs="Arial" w:eastAsia="Arial" w:hAnsi="Arial"/>
                <w:sz w:val="18"/>
                <w:szCs w:val="18"/>
                <w:b w:val="1"/>
                <w:bCs w:val="1"/>
                <w:color w:val="005CB9"/>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Board of Directors Proposals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tcBorders>
              <w:bottom w:val="single" w:sz="8" w:color="0000EE"/>
            </w:tcBorders>
            <w:gridSpan w:val="20"/>
          </w:tcPr>
          <w:p>
            <w:pPr>
              <w:spacing w:after="0" w:line="194" w:lineRule="exact"/>
              <w:rPr>
                <w:sz w:val="20"/>
                <w:szCs w:val="20"/>
                <w:color w:val="auto"/>
              </w:rPr>
            </w:pPr>
            <w:r>
              <w:rPr>
                <w:rFonts w:ascii="Arial" w:cs="Arial" w:eastAsia="Arial" w:hAnsi="Arial"/>
                <w:sz w:val="18"/>
                <w:szCs w:val="18"/>
                <w:color w:val="0000EE"/>
                <w:w w:val="98"/>
              </w:rPr>
              <w:t>Proposal 1: Election of Directors</w:t>
            </w:r>
          </w:p>
        </w:tc>
        <w:tc>
          <w:tcPr>
            <w:tcW w:w="6100" w:type="dxa"/>
            <w:vAlign w:val="bottom"/>
            <w:gridSpan w:val="15"/>
          </w:tcPr>
          <w:p>
            <w:pPr>
              <w:spacing w:after="0"/>
              <w:rPr>
                <w:sz w:val="16"/>
                <w:szCs w:val="16"/>
                <w:color w:val="auto"/>
              </w:rPr>
            </w:pP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60" w:type="dxa"/>
            <w:vAlign w:val="bottom"/>
            <w:gridSpan w:val="35"/>
          </w:tcPr>
          <w:p>
            <w:pPr>
              <w:spacing w:after="0" w:line="194" w:lineRule="exact"/>
              <w:rPr>
                <w:sz w:val="20"/>
                <w:szCs w:val="20"/>
                <w:color w:val="auto"/>
              </w:rPr>
            </w:pPr>
            <w:r>
              <w:rPr>
                <w:rFonts w:ascii="Arial" w:cs="Arial" w:eastAsia="Arial" w:hAnsi="Arial"/>
                <w:sz w:val="18"/>
                <w:szCs w:val="18"/>
                <w:color w:val="0000EE"/>
              </w:rPr>
              <w:t>Proposal 2: Ratification of Appointment of Independent Registered Public Accounting Firm</w:t>
            </w: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60" w:type="dxa"/>
            <w:vAlign w:val="bottom"/>
            <w:tcBorders>
              <w:top w:val="single" w:sz="8" w:color="0000EE"/>
              <w:bottom w:val="single" w:sz="8" w:color="0000EE"/>
            </w:tcBorders>
            <w:gridSpan w:val="29"/>
          </w:tcPr>
          <w:p>
            <w:pPr>
              <w:spacing w:after="0" w:line="194" w:lineRule="exact"/>
              <w:rPr>
                <w:sz w:val="20"/>
                <w:szCs w:val="20"/>
                <w:color w:val="auto"/>
              </w:rPr>
            </w:pPr>
            <w:r>
              <w:rPr>
                <w:rFonts w:ascii="Arial" w:cs="Arial" w:eastAsia="Arial" w:hAnsi="Arial"/>
                <w:sz w:val="18"/>
                <w:szCs w:val="18"/>
                <w:color w:val="0000EE"/>
                <w:w w:val="98"/>
              </w:rPr>
              <w:t>Proposal 3: Advisory Approval of Our Executive Compensation</w:t>
            </w:r>
          </w:p>
        </w:tc>
        <w:tc>
          <w:tcPr>
            <w:tcW w:w="2140" w:type="dxa"/>
            <w:vAlign w:val="bottom"/>
            <w:tcBorders>
              <w:top w:val="single" w:sz="8" w:color="0000EE"/>
            </w:tcBorders>
            <w:gridSpan w:val="5"/>
          </w:tcPr>
          <w:p>
            <w:pPr>
              <w:spacing w:after="0"/>
              <w:rPr>
                <w:sz w:val="16"/>
                <w:szCs w:val="16"/>
                <w:color w:val="auto"/>
              </w:rPr>
            </w:pPr>
          </w:p>
        </w:tc>
        <w:tc>
          <w:tcPr>
            <w:tcW w:w="1560" w:type="dxa"/>
            <w:vAlign w:val="bottom"/>
          </w:tcPr>
          <w:p>
            <w:pPr>
              <w:spacing w:after="0"/>
              <w:rPr>
                <w:sz w:val="16"/>
                <w:szCs w:val="16"/>
                <w:color w:val="auto"/>
              </w:rPr>
            </w:pP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Shareholder Proposal</w:t>
            </w: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90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37</w:t>
            </w: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60" w:type="dxa"/>
            <w:vAlign w:val="bottom"/>
            <w:gridSpan w:val="35"/>
          </w:tcPr>
          <w:p>
            <w:pPr>
              <w:spacing w:after="0" w:line="181" w:lineRule="exact"/>
              <w:rPr>
                <w:sz w:val="20"/>
                <w:szCs w:val="20"/>
                <w:color w:val="auto"/>
              </w:rPr>
            </w:pPr>
            <w:r>
              <w:rPr>
                <w:rFonts w:ascii="Arial" w:cs="Arial" w:eastAsia="Arial" w:hAnsi="Arial"/>
                <w:sz w:val="18"/>
                <w:szCs w:val="18"/>
                <w:color w:val="0000EE"/>
              </w:rPr>
              <w:t>Proposal 4: Shareholder Proposal Requesting an Independent Board Chairman</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2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2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220" w:type="dxa"/>
            <w:vAlign w:val="bottom"/>
            <w:tcBorders>
              <w:top w:val="single" w:sz="8" w:color="0000EE"/>
              <w:bottom w:val="single" w:sz="8" w:color="005CB9"/>
            </w:tcBorders>
          </w:tcPr>
          <w:p>
            <w:pPr>
              <w:spacing w:after="0"/>
              <w:rPr>
                <w:sz w:val="6"/>
                <w:szCs w:val="6"/>
                <w:color w:val="auto"/>
              </w:rPr>
            </w:pPr>
          </w:p>
        </w:tc>
        <w:tc>
          <w:tcPr>
            <w:tcW w:w="20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300" w:type="dxa"/>
            <w:vAlign w:val="bottom"/>
            <w:tcBorders>
              <w:top w:val="single" w:sz="8" w:color="0000EE"/>
              <w:bottom w:val="single" w:sz="8" w:color="005CB9"/>
            </w:tcBorders>
          </w:tcPr>
          <w:p>
            <w:pPr>
              <w:spacing w:after="0"/>
              <w:rPr>
                <w:sz w:val="6"/>
                <w:szCs w:val="6"/>
                <w:color w:val="auto"/>
              </w:rPr>
            </w:pPr>
          </w:p>
        </w:tc>
        <w:tc>
          <w:tcPr>
            <w:tcW w:w="2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620" w:type="dxa"/>
            <w:vAlign w:val="bottom"/>
            <w:tcBorders>
              <w:top w:val="single" w:sz="8" w:color="0000EE"/>
              <w:bottom w:val="single" w:sz="8" w:color="005CB9"/>
            </w:tcBorders>
          </w:tcPr>
          <w:p>
            <w:pPr>
              <w:spacing w:after="0"/>
              <w:rPr>
                <w:sz w:val="6"/>
                <w:szCs w:val="6"/>
                <w:color w:val="auto"/>
              </w:rPr>
            </w:pPr>
          </w:p>
        </w:tc>
        <w:tc>
          <w:tcPr>
            <w:tcW w:w="440" w:type="dxa"/>
            <w:vAlign w:val="bottom"/>
            <w:tcBorders>
              <w:top w:val="single" w:sz="8" w:color="0000EE"/>
              <w:bottom w:val="single" w:sz="8" w:color="005CB9"/>
            </w:tcBorders>
          </w:tcPr>
          <w:p>
            <w:pPr>
              <w:spacing w:after="0"/>
              <w:rPr>
                <w:sz w:val="6"/>
                <w:szCs w:val="6"/>
                <w:color w:val="auto"/>
              </w:rPr>
            </w:pPr>
          </w:p>
        </w:tc>
        <w:tc>
          <w:tcPr>
            <w:tcW w:w="52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740" w:type="dxa"/>
            <w:vAlign w:val="bottom"/>
            <w:tcBorders>
              <w:top w:val="single" w:sz="8" w:color="0000EE"/>
              <w:bottom w:val="single" w:sz="8" w:color="005CB9"/>
            </w:tcBorders>
          </w:tcPr>
          <w:p>
            <w:pPr>
              <w:spacing w:after="0"/>
              <w:rPr>
                <w:sz w:val="6"/>
                <w:szCs w:val="6"/>
                <w:color w:val="auto"/>
              </w:rPr>
            </w:pPr>
          </w:p>
        </w:tc>
        <w:tc>
          <w:tcPr>
            <w:tcW w:w="280" w:type="dxa"/>
            <w:vAlign w:val="bottom"/>
            <w:tcBorders>
              <w:top w:val="single" w:sz="8" w:color="0000EE"/>
              <w:bottom w:val="single" w:sz="8" w:color="005CB9"/>
            </w:tcBorders>
          </w:tcPr>
          <w:p>
            <w:pPr>
              <w:spacing w:after="0"/>
              <w:rPr>
                <w:sz w:val="6"/>
                <w:szCs w:val="6"/>
                <w:color w:val="auto"/>
              </w:rPr>
            </w:pPr>
          </w:p>
        </w:tc>
        <w:tc>
          <w:tcPr>
            <w:tcW w:w="120" w:type="dxa"/>
            <w:vAlign w:val="bottom"/>
            <w:tcBorders>
              <w:top w:val="single" w:sz="8" w:color="0000EE"/>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0" w:type="dxa"/>
            <w:vAlign w:val="bottom"/>
            <w:gridSpan w:val="37"/>
          </w:tcPr>
          <w:p>
            <w:pPr>
              <w:spacing w:after="0" w:line="181" w:lineRule="exact"/>
              <w:rPr>
                <w:sz w:val="20"/>
                <w:szCs w:val="20"/>
                <w:color w:val="auto"/>
              </w:rPr>
            </w:pPr>
            <w:r>
              <w:rPr>
                <w:rFonts w:ascii="Arial" w:cs="Arial" w:eastAsia="Arial" w:hAnsi="Arial"/>
                <w:sz w:val="18"/>
                <w:szCs w:val="18"/>
                <w:b w:val="1"/>
                <w:bCs w:val="1"/>
                <w:color w:val="0000EE"/>
              </w:rPr>
              <w:t>Executive Compensation</w:t>
            </w:r>
          </w:p>
        </w:tc>
        <w:tc>
          <w:tcPr>
            <w:tcW w:w="1900" w:type="dxa"/>
            <w:vAlign w:val="bottom"/>
          </w:tcPr>
          <w:p>
            <w:pPr>
              <w:jc w:val="right"/>
              <w:spacing w:after="0" w:line="181" w:lineRule="exact"/>
              <w:rPr>
                <w:sz w:val="20"/>
                <w:szCs w:val="20"/>
                <w:color w:val="auto"/>
              </w:rPr>
            </w:pPr>
            <w:r>
              <w:rPr>
                <w:rFonts w:ascii="Arial" w:cs="Arial" w:eastAsia="Arial" w:hAnsi="Arial"/>
                <w:sz w:val="18"/>
                <w:szCs w:val="18"/>
                <w:b w:val="1"/>
                <w:bCs w:val="1"/>
                <w:color w:val="005CB9"/>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180" w:type="dxa"/>
            <w:vAlign w:val="bottom"/>
            <w:gridSpan w:val="11"/>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Compensation Discussion and Analysis</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gridSpan w:val="1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Compensation and Talent Development Committee Report</w:t>
            </w:r>
          </w:p>
        </w:tc>
        <w:tc>
          <w:tcPr>
            <w:tcW w:w="1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20" w:type="dxa"/>
            <w:vAlign w:val="bottom"/>
            <w:tcBorders>
              <w:top w:val="single" w:sz="8" w:color="0000EE"/>
            </w:tcBorders>
            <w:gridSpan w:val="29"/>
          </w:tcPr>
          <w:p>
            <w:pPr>
              <w:spacing w:after="0" w:line="181" w:lineRule="exact"/>
              <w:rPr>
                <w:sz w:val="20"/>
                <w:szCs w:val="20"/>
                <w:color w:val="auto"/>
              </w:rPr>
            </w:pPr>
            <w:r>
              <w:rPr>
                <w:rFonts w:ascii="Arial" w:cs="Arial" w:eastAsia="Arial" w:hAnsi="Arial"/>
                <w:sz w:val="18"/>
                <w:szCs w:val="18"/>
                <w:color w:val="0000EE"/>
              </w:rPr>
              <w:t>Compensation Tables</w:t>
            </w:r>
          </w:p>
        </w:tc>
        <w:tc>
          <w:tcPr>
            <w:tcW w:w="68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3"/>
          </w:tcPr>
          <w:p>
            <w:pPr>
              <w:spacing w:after="0"/>
              <w:rPr>
                <w:sz w:val="15"/>
                <w:szCs w:val="15"/>
                <w:color w:val="auto"/>
              </w:rPr>
            </w:pPr>
          </w:p>
        </w:tc>
        <w:tc>
          <w:tcPr>
            <w:tcW w:w="1900" w:type="dxa"/>
            <w:vAlign w:val="bottom"/>
          </w:tcPr>
          <w:p>
            <w:pPr>
              <w:jc w:val="right"/>
              <w:spacing w:after="0" w:line="181"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220" w:type="dxa"/>
            <w:vAlign w:val="bottom"/>
            <w:tcBorders>
              <w:bottom w:val="single" w:sz="8" w:color="005CB9"/>
            </w:tcBorders>
          </w:tcPr>
          <w:p>
            <w:pPr>
              <w:spacing w:after="0"/>
              <w:rPr>
                <w:sz w:val="6"/>
                <w:szCs w:val="6"/>
                <w:color w:val="auto"/>
              </w:rPr>
            </w:pPr>
          </w:p>
        </w:tc>
        <w:tc>
          <w:tcPr>
            <w:tcW w:w="20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30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440" w:type="dxa"/>
            <w:vAlign w:val="bottom"/>
            <w:tcBorders>
              <w:bottom w:val="single" w:sz="8" w:color="005CB9"/>
            </w:tcBorders>
          </w:tcPr>
          <w:p>
            <w:pPr>
              <w:spacing w:after="0"/>
              <w:rPr>
                <w:sz w:val="6"/>
                <w:szCs w:val="6"/>
                <w:color w:val="auto"/>
              </w:rPr>
            </w:pPr>
          </w:p>
        </w:tc>
        <w:tc>
          <w:tcPr>
            <w:tcW w:w="5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740" w:type="dxa"/>
            <w:vAlign w:val="bottom"/>
            <w:tcBorders>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000" w:type="dxa"/>
            <w:vAlign w:val="bottom"/>
            <w:gridSpan w:val="37"/>
          </w:tcPr>
          <w:p>
            <w:pPr>
              <w:spacing w:after="0" w:line="181" w:lineRule="exact"/>
              <w:rPr>
                <w:sz w:val="20"/>
                <w:szCs w:val="20"/>
                <w:color w:val="auto"/>
              </w:rPr>
            </w:pPr>
            <w:r>
              <w:rPr>
                <w:rFonts w:ascii="Arial" w:cs="Arial" w:eastAsia="Arial" w:hAnsi="Arial"/>
                <w:sz w:val="18"/>
                <w:szCs w:val="18"/>
                <w:b w:val="1"/>
                <w:bCs w:val="1"/>
                <w:color w:val="0000EE"/>
              </w:rPr>
              <w:t>About the Annual Shareholders Meeting and Voting</w:t>
            </w:r>
          </w:p>
        </w:tc>
        <w:tc>
          <w:tcPr>
            <w:tcW w:w="1900" w:type="dxa"/>
            <w:vAlign w:val="bottom"/>
          </w:tcPr>
          <w:p>
            <w:pPr>
              <w:jc w:val="right"/>
              <w:spacing w:after="0" w:line="181" w:lineRule="exact"/>
              <w:rPr>
                <w:sz w:val="20"/>
                <w:szCs w:val="20"/>
                <w:color w:val="auto"/>
              </w:rPr>
            </w:pPr>
            <w:r>
              <w:rPr>
                <w:rFonts w:ascii="Arial" w:cs="Arial" w:eastAsia="Arial" w:hAnsi="Arial"/>
                <w:sz w:val="18"/>
                <w:szCs w:val="18"/>
                <w:b w:val="1"/>
                <w:bCs w:val="1"/>
                <w:color w:val="005CB9"/>
              </w:rPr>
              <w:t>90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3460" w:type="dxa"/>
            <w:vAlign w:val="bottom"/>
            <w:tcBorders>
              <w:top w:val="single" w:sz="8" w:color="0000EE"/>
              <w:bottom w:val="single" w:sz="8" w:color="0000EE"/>
            </w:tcBorders>
            <w:gridSpan w:val="25"/>
          </w:tcPr>
          <w:p>
            <w:pPr>
              <w:spacing w:after="0" w:line="194" w:lineRule="exact"/>
              <w:rPr>
                <w:sz w:val="20"/>
                <w:szCs w:val="20"/>
                <w:color w:val="auto"/>
              </w:rPr>
            </w:pPr>
            <w:r>
              <w:rPr>
                <w:rFonts w:ascii="Arial" w:cs="Arial" w:eastAsia="Arial" w:hAnsi="Arial"/>
                <w:sz w:val="18"/>
                <w:szCs w:val="18"/>
                <w:color w:val="0000EE"/>
                <w:w w:val="98"/>
              </w:rPr>
              <w:t>Attending the Annual Shareholders Meeting</w:t>
            </w:r>
          </w:p>
        </w:tc>
        <w:tc>
          <w:tcPr>
            <w:tcW w:w="720" w:type="dxa"/>
            <w:vAlign w:val="bottom"/>
            <w:tcBorders>
              <w:top w:val="single" w:sz="8" w:color="0000EE"/>
            </w:tcBorders>
            <w:gridSpan w:val="3"/>
          </w:tcPr>
          <w:p>
            <w:pPr>
              <w:spacing w:after="0"/>
              <w:rPr>
                <w:sz w:val="16"/>
                <w:szCs w:val="16"/>
                <w:color w:val="auto"/>
              </w:rPr>
            </w:pPr>
          </w:p>
        </w:tc>
        <w:tc>
          <w:tcPr>
            <w:tcW w:w="4660" w:type="dxa"/>
            <w:vAlign w:val="bottom"/>
            <w:gridSpan w:val="8"/>
          </w:tcPr>
          <w:p>
            <w:pPr>
              <w:spacing w:after="0"/>
              <w:rPr>
                <w:sz w:val="16"/>
                <w:szCs w:val="16"/>
                <w:color w:val="auto"/>
              </w:rPr>
            </w:pP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Borders>
              <w:bottom w:val="single" w:sz="8" w:color="0000EE"/>
            </w:tcBorders>
            <w:gridSpan w:val="7"/>
          </w:tcPr>
          <w:p>
            <w:pPr>
              <w:spacing w:after="0" w:line="194" w:lineRule="exact"/>
              <w:rPr>
                <w:sz w:val="20"/>
                <w:szCs w:val="20"/>
                <w:color w:val="auto"/>
              </w:rPr>
            </w:pPr>
            <w:r>
              <w:rPr>
                <w:rFonts w:ascii="Arial" w:cs="Arial" w:eastAsia="Arial" w:hAnsi="Arial"/>
                <w:sz w:val="18"/>
                <w:szCs w:val="18"/>
                <w:color w:val="0000EE"/>
                <w:w w:val="99"/>
              </w:rPr>
              <w:t>How You Can Vote</w:t>
            </w:r>
          </w:p>
        </w:tc>
        <w:tc>
          <w:tcPr>
            <w:tcW w:w="7280" w:type="dxa"/>
            <w:vAlign w:val="bottom"/>
            <w:gridSpan w:val="29"/>
          </w:tcPr>
          <w:p>
            <w:pPr>
              <w:spacing w:after="0"/>
              <w:rPr>
                <w:sz w:val="16"/>
                <w:szCs w:val="16"/>
                <w:color w:val="auto"/>
              </w:rPr>
            </w:pP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40" w:type="dxa"/>
            <w:vAlign w:val="bottom"/>
            <w:gridSpan w:val="36"/>
          </w:tcPr>
          <w:p>
            <w:pPr>
              <w:spacing w:after="0" w:line="194" w:lineRule="exact"/>
              <w:rPr>
                <w:sz w:val="20"/>
                <w:szCs w:val="20"/>
                <w:color w:val="auto"/>
              </w:rPr>
            </w:pPr>
            <w:r>
              <w:rPr>
                <w:rFonts w:ascii="Arial" w:cs="Arial" w:eastAsia="Arial" w:hAnsi="Arial"/>
                <w:sz w:val="18"/>
                <w:szCs w:val="18"/>
                <w:color w:val="0000EE"/>
              </w:rPr>
              <w:t>Information About Proposals To Be Voted On</w:t>
            </w:r>
          </w:p>
        </w:tc>
        <w:tc>
          <w:tcPr>
            <w:tcW w:w="1900" w:type="dxa"/>
            <w:vAlign w:val="bottom"/>
          </w:tcPr>
          <w:p>
            <w:pPr>
              <w:jc w:val="right"/>
              <w:spacing w:after="0" w:line="194"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tcBorders>
              <w:top w:val="single" w:sz="8" w:color="0000EE"/>
            </w:tcBorders>
            <w:gridSpan w:val="27"/>
          </w:tcPr>
          <w:p>
            <w:pPr>
              <w:spacing w:after="0" w:line="181" w:lineRule="exact"/>
              <w:rPr>
                <w:sz w:val="20"/>
                <w:szCs w:val="20"/>
                <w:color w:val="auto"/>
              </w:rPr>
            </w:pPr>
            <w:r>
              <w:rPr>
                <w:rFonts w:ascii="Arial" w:cs="Arial" w:eastAsia="Arial" w:hAnsi="Arial"/>
                <w:sz w:val="18"/>
                <w:szCs w:val="18"/>
                <w:color w:val="0000EE"/>
              </w:rPr>
              <w:t>Proxy Materials</w:t>
            </w:r>
          </w:p>
        </w:tc>
        <w:tc>
          <w:tcPr>
            <w:tcW w:w="1740" w:type="dxa"/>
            <w:vAlign w:val="bottom"/>
            <w:gridSpan w:val="4"/>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3"/>
          </w:tcPr>
          <w:p>
            <w:pPr>
              <w:spacing w:after="0"/>
              <w:rPr>
                <w:sz w:val="15"/>
                <w:szCs w:val="15"/>
                <w:color w:val="auto"/>
              </w:rPr>
            </w:pPr>
          </w:p>
        </w:tc>
        <w:tc>
          <w:tcPr>
            <w:tcW w:w="1900" w:type="dxa"/>
            <w:vAlign w:val="bottom"/>
          </w:tcPr>
          <w:p>
            <w:pPr>
              <w:jc w:val="right"/>
              <w:spacing w:after="0" w:line="181"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220" w:type="dxa"/>
            <w:vAlign w:val="bottom"/>
            <w:tcBorders>
              <w:bottom w:val="single" w:sz="8" w:color="005CB9"/>
            </w:tcBorders>
          </w:tcPr>
          <w:p>
            <w:pPr>
              <w:spacing w:after="0"/>
              <w:rPr>
                <w:sz w:val="6"/>
                <w:szCs w:val="6"/>
                <w:color w:val="auto"/>
              </w:rPr>
            </w:pPr>
          </w:p>
        </w:tc>
        <w:tc>
          <w:tcPr>
            <w:tcW w:w="20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30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440" w:type="dxa"/>
            <w:vAlign w:val="bottom"/>
            <w:tcBorders>
              <w:bottom w:val="single" w:sz="8" w:color="005CB9"/>
            </w:tcBorders>
          </w:tcPr>
          <w:p>
            <w:pPr>
              <w:spacing w:after="0"/>
              <w:rPr>
                <w:sz w:val="6"/>
                <w:szCs w:val="6"/>
                <w:color w:val="auto"/>
              </w:rPr>
            </w:pPr>
          </w:p>
        </w:tc>
        <w:tc>
          <w:tcPr>
            <w:tcW w:w="5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740" w:type="dxa"/>
            <w:vAlign w:val="bottom"/>
            <w:tcBorders>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000" w:type="dxa"/>
            <w:vAlign w:val="bottom"/>
            <w:gridSpan w:val="37"/>
          </w:tcPr>
          <w:p>
            <w:pPr>
              <w:spacing w:after="0" w:line="167" w:lineRule="exact"/>
              <w:rPr>
                <w:sz w:val="20"/>
                <w:szCs w:val="20"/>
                <w:color w:val="auto"/>
              </w:rPr>
            </w:pPr>
            <w:r>
              <w:rPr>
                <w:rFonts w:ascii="Arial" w:cs="Arial" w:eastAsia="Arial" w:hAnsi="Arial"/>
                <w:sz w:val="18"/>
                <w:szCs w:val="18"/>
                <w:b w:val="1"/>
                <w:bCs w:val="1"/>
                <w:color w:val="0000EE"/>
              </w:rPr>
              <w:t>Information About 2027 Shareholder Proposals and Director Nominations</w:t>
            </w:r>
          </w:p>
        </w:tc>
        <w:tc>
          <w:tcPr>
            <w:tcW w:w="1900" w:type="dxa"/>
            <w:vAlign w:val="bottom"/>
          </w:tcPr>
          <w:p>
            <w:pPr>
              <w:jc w:val="right"/>
              <w:spacing w:after="0" w:line="167" w:lineRule="exact"/>
              <w:rPr>
                <w:sz w:val="20"/>
                <w:szCs w:val="20"/>
                <w:color w:val="auto"/>
              </w:rPr>
            </w:pPr>
            <w:r>
              <w:rPr>
                <w:rFonts w:ascii="Arial" w:cs="Arial" w:eastAsia="Arial" w:hAnsi="Arial"/>
                <w:sz w:val="18"/>
                <w:szCs w:val="18"/>
                <w:b w:val="1"/>
                <w:bCs w:val="1"/>
                <w:color w:val="005CB9"/>
              </w:rPr>
              <w:t>99</w:t>
            </w:r>
          </w:p>
        </w:tc>
        <w:tc>
          <w:tcPr>
            <w:tcW w:w="0" w:type="dxa"/>
            <w:vAlign w:val="bottom"/>
          </w:tcPr>
          <w:p>
            <w:pPr>
              <w:spacing w:after="0"/>
              <w:rPr>
                <w:sz w:val="1"/>
                <w:szCs w:val="1"/>
                <w:color w:val="auto"/>
              </w:rPr>
            </w:pPr>
          </w:p>
        </w:tc>
      </w:tr>
      <w:tr>
        <w:trPr>
          <w:trHeight w:val="74"/>
        </w:trPr>
        <w:tc>
          <w:tcPr>
            <w:tcW w:w="20" w:type="dxa"/>
            <w:vAlign w:val="bottom"/>
            <w:tcBorders>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2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2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220" w:type="dxa"/>
            <w:vAlign w:val="bottom"/>
            <w:tcBorders>
              <w:top w:val="single" w:sz="8" w:color="0000EE"/>
              <w:bottom w:val="single" w:sz="8" w:color="005CB9"/>
            </w:tcBorders>
          </w:tcPr>
          <w:p>
            <w:pPr>
              <w:spacing w:after="0"/>
              <w:rPr>
                <w:sz w:val="6"/>
                <w:szCs w:val="6"/>
                <w:color w:val="auto"/>
              </w:rPr>
            </w:pPr>
          </w:p>
        </w:tc>
        <w:tc>
          <w:tcPr>
            <w:tcW w:w="20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300" w:type="dxa"/>
            <w:vAlign w:val="bottom"/>
            <w:tcBorders>
              <w:top w:val="single" w:sz="8" w:color="0000EE"/>
              <w:bottom w:val="single" w:sz="8" w:color="005CB9"/>
            </w:tcBorders>
          </w:tcPr>
          <w:p>
            <w:pPr>
              <w:spacing w:after="0"/>
              <w:rPr>
                <w:sz w:val="6"/>
                <w:szCs w:val="6"/>
                <w:color w:val="auto"/>
              </w:rPr>
            </w:pPr>
          </w:p>
        </w:tc>
        <w:tc>
          <w:tcPr>
            <w:tcW w:w="2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620" w:type="dxa"/>
            <w:vAlign w:val="bottom"/>
            <w:tcBorders>
              <w:top w:val="single" w:sz="8" w:color="0000EE"/>
              <w:bottom w:val="single" w:sz="8" w:color="005CB9"/>
            </w:tcBorders>
          </w:tcPr>
          <w:p>
            <w:pPr>
              <w:spacing w:after="0"/>
              <w:rPr>
                <w:sz w:val="6"/>
                <w:szCs w:val="6"/>
                <w:color w:val="auto"/>
              </w:rPr>
            </w:pPr>
          </w:p>
        </w:tc>
        <w:tc>
          <w:tcPr>
            <w:tcW w:w="440" w:type="dxa"/>
            <w:vAlign w:val="bottom"/>
            <w:tcBorders>
              <w:top w:val="single" w:sz="8" w:color="0000EE"/>
              <w:bottom w:val="single" w:sz="8" w:color="005CB9"/>
            </w:tcBorders>
          </w:tcPr>
          <w:p>
            <w:pPr>
              <w:spacing w:after="0"/>
              <w:rPr>
                <w:sz w:val="6"/>
                <w:szCs w:val="6"/>
                <w:color w:val="auto"/>
              </w:rPr>
            </w:pPr>
          </w:p>
        </w:tc>
        <w:tc>
          <w:tcPr>
            <w:tcW w:w="52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740" w:type="dxa"/>
            <w:vAlign w:val="bottom"/>
            <w:tcBorders>
              <w:top w:val="single" w:sz="8" w:color="0000EE"/>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020" w:type="dxa"/>
            <w:vAlign w:val="bottom"/>
            <w:gridSpan w:val="38"/>
          </w:tcPr>
          <w:p>
            <w:pPr>
              <w:spacing w:after="0" w:line="167" w:lineRule="exact"/>
              <w:rPr>
                <w:sz w:val="20"/>
                <w:szCs w:val="20"/>
                <w:color w:val="auto"/>
              </w:rPr>
            </w:pPr>
            <w:r>
              <w:rPr>
                <w:rFonts w:ascii="Arial" w:cs="Arial" w:eastAsia="Arial" w:hAnsi="Arial"/>
                <w:sz w:val="18"/>
                <w:szCs w:val="18"/>
                <w:b w:val="1"/>
                <w:bCs w:val="1"/>
                <w:color w:val="0000EE"/>
              </w:rPr>
              <w:t>Other Information</w:t>
            </w:r>
          </w:p>
        </w:tc>
        <w:tc>
          <w:tcPr>
            <w:tcW w:w="1900" w:type="dxa"/>
            <w:vAlign w:val="bottom"/>
          </w:tcPr>
          <w:p>
            <w:pPr>
              <w:jc w:val="right"/>
              <w:spacing w:after="0" w:line="167" w:lineRule="exact"/>
              <w:rPr>
                <w:sz w:val="20"/>
                <w:szCs w:val="20"/>
                <w:color w:val="auto"/>
              </w:rPr>
            </w:pPr>
            <w:r>
              <w:rPr>
                <w:rFonts w:ascii="Arial" w:cs="Arial" w:eastAsia="Arial" w:hAnsi="Arial"/>
                <w:sz w:val="18"/>
                <w:szCs w:val="18"/>
                <w:b w:val="1"/>
                <w:bCs w:val="1"/>
                <w:color w:val="005CB9"/>
              </w:rPr>
              <w:t>101</w:t>
            </w:r>
          </w:p>
        </w:tc>
        <w:tc>
          <w:tcPr>
            <w:tcW w:w="0" w:type="dxa"/>
            <w:vAlign w:val="bottom"/>
          </w:tcPr>
          <w:p>
            <w:pPr>
              <w:spacing w:after="0"/>
              <w:rPr>
                <w:sz w:val="1"/>
                <w:szCs w:val="1"/>
                <w:color w:val="auto"/>
              </w:rPr>
            </w:pPr>
          </w:p>
        </w:tc>
      </w:tr>
      <w:tr>
        <w:trPr>
          <w:trHeight w:val="74"/>
        </w:trPr>
        <w:tc>
          <w:tcPr>
            <w:tcW w:w="20" w:type="dxa"/>
            <w:vAlign w:val="bottom"/>
            <w:tcBorders>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60" w:type="dxa"/>
            <w:vAlign w:val="bottom"/>
            <w:tcBorders>
              <w:bottom w:val="single" w:sz="8" w:color="005CB9"/>
            </w:tcBorders>
          </w:tcPr>
          <w:p>
            <w:pPr>
              <w:spacing w:after="0"/>
              <w:rPr>
                <w:sz w:val="6"/>
                <w:szCs w:val="6"/>
                <w:color w:val="auto"/>
              </w:rPr>
            </w:pPr>
          </w:p>
        </w:tc>
        <w:tc>
          <w:tcPr>
            <w:tcW w:w="10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220" w:type="dxa"/>
            <w:vAlign w:val="bottom"/>
            <w:tcBorders>
              <w:bottom w:val="single" w:sz="8" w:color="005CB9"/>
            </w:tcBorders>
          </w:tcPr>
          <w:p>
            <w:pPr>
              <w:spacing w:after="0"/>
              <w:rPr>
                <w:sz w:val="6"/>
                <w:szCs w:val="6"/>
                <w:color w:val="auto"/>
              </w:rPr>
            </w:pPr>
          </w:p>
        </w:tc>
        <w:tc>
          <w:tcPr>
            <w:tcW w:w="200" w:type="dxa"/>
            <w:vAlign w:val="bottom"/>
            <w:tcBorders>
              <w:bottom w:val="single" w:sz="8" w:color="005CB9"/>
            </w:tcBorders>
          </w:tcPr>
          <w:p>
            <w:pPr>
              <w:spacing w:after="0"/>
              <w:rPr>
                <w:sz w:val="6"/>
                <w:szCs w:val="6"/>
                <w:color w:val="auto"/>
              </w:rPr>
            </w:pPr>
          </w:p>
        </w:tc>
        <w:tc>
          <w:tcPr>
            <w:tcW w:w="180" w:type="dxa"/>
            <w:vAlign w:val="bottom"/>
            <w:tcBorders>
              <w:bottom w:val="single" w:sz="8" w:color="005CB9"/>
            </w:tcBorders>
          </w:tcPr>
          <w:p>
            <w:pPr>
              <w:spacing w:after="0"/>
              <w:rPr>
                <w:sz w:val="6"/>
                <w:szCs w:val="6"/>
                <w:color w:val="auto"/>
              </w:rPr>
            </w:pPr>
          </w:p>
        </w:tc>
        <w:tc>
          <w:tcPr>
            <w:tcW w:w="40" w:type="dxa"/>
            <w:vAlign w:val="bottom"/>
            <w:tcBorders>
              <w:bottom w:val="single" w:sz="8" w:color="005CB9"/>
            </w:tcBorders>
          </w:tcPr>
          <w:p>
            <w:pPr>
              <w:spacing w:after="0"/>
              <w:rPr>
                <w:sz w:val="6"/>
                <w:szCs w:val="6"/>
                <w:color w:val="auto"/>
              </w:rPr>
            </w:pPr>
          </w:p>
        </w:tc>
        <w:tc>
          <w:tcPr>
            <w:tcW w:w="300" w:type="dxa"/>
            <w:vAlign w:val="bottom"/>
            <w:tcBorders>
              <w:bottom w:val="single" w:sz="8" w:color="005CB9"/>
            </w:tcBorders>
          </w:tcPr>
          <w:p>
            <w:pPr>
              <w:spacing w:after="0"/>
              <w:rPr>
                <w:sz w:val="6"/>
                <w:szCs w:val="6"/>
                <w:color w:val="auto"/>
              </w:rPr>
            </w:pPr>
          </w:p>
        </w:tc>
        <w:tc>
          <w:tcPr>
            <w:tcW w:w="20" w:type="dxa"/>
            <w:vAlign w:val="bottom"/>
            <w:tcBorders>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440" w:type="dxa"/>
            <w:vAlign w:val="bottom"/>
            <w:tcBorders>
              <w:bottom w:val="single" w:sz="8" w:color="005CB9"/>
            </w:tcBorders>
          </w:tcPr>
          <w:p>
            <w:pPr>
              <w:spacing w:after="0"/>
              <w:rPr>
                <w:sz w:val="6"/>
                <w:szCs w:val="6"/>
                <w:color w:val="auto"/>
              </w:rPr>
            </w:pPr>
          </w:p>
        </w:tc>
        <w:tc>
          <w:tcPr>
            <w:tcW w:w="5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740" w:type="dxa"/>
            <w:vAlign w:val="bottom"/>
            <w:tcBorders>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020" w:type="dxa"/>
            <w:vAlign w:val="bottom"/>
            <w:gridSpan w:val="38"/>
          </w:tcPr>
          <w:p>
            <w:pPr>
              <w:spacing w:after="0" w:line="167" w:lineRule="exact"/>
              <w:rPr>
                <w:sz w:val="20"/>
                <w:szCs w:val="20"/>
                <w:color w:val="auto"/>
              </w:rPr>
            </w:pPr>
            <w:r>
              <w:rPr>
                <w:rFonts w:ascii="Arial" w:cs="Arial" w:eastAsia="Arial" w:hAnsi="Arial"/>
                <w:sz w:val="18"/>
                <w:szCs w:val="18"/>
                <w:b w:val="1"/>
                <w:bCs w:val="1"/>
                <w:color w:val="0000EE"/>
              </w:rPr>
              <w:t>Appendix A Non-GAAP Financial Measures</w:t>
            </w:r>
          </w:p>
        </w:tc>
        <w:tc>
          <w:tcPr>
            <w:tcW w:w="1900" w:type="dxa"/>
            <w:vAlign w:val="bottom"/>
          </w:tcPr>
          <w:p>
            <w:pPr>
              <w:jc w:val="right"/>
              <w:spacing w:after="0" w:line="167" w:lineRule="exact"/>
              <w:rPr>
                <w:sz w:val="20"/>
                <w:szCs w:val="20"/>
                <w:color w:val="auto"/>
              </w:rPr>
            </w:pPr>
            <w:r>
              <w:rPr>
                <w:rFonts w:ascii="Arial" w:cs="Arial" w:eastAsia="Arial" w:hAnsi="Arial"/>
                <w:sz w:val="18"/>
                <w:szCs w:val="18"/>
                <w:b w:val="1"/>
                <w:bCs w:val="1"/>
                <w:color w:val="005CB9"/>
              </w:rPr>
              <w:t>102</w:t>
            </w:r>
          </w:p>
        </w:tc>
        <w:tc>
          <w:tcPr>
            <w:tcW w:w="0" w:type="dxa"/>
            <w:vAlign w:val="bottom"/>
          </w:tcPr>
          <w:p>
            <w:pPr>
              <w:spacing w:after="0"/>
              <w:rPr>
                <w:sz w:val="1"/>
                <w:szCs w:val="1"/>
                <w:color w:val="auto"/>
              </w:rPr>
            </w:pPr>
          </w:p>
        </w:tc>
      </w:tr>
      <w:tr>
        <w:trPr>
          <w:trHeight w:val="74"/>
        </w:trPr>
        <w:tc>
          <w:tcPr>
            <w:tcW w:w="20" w:type="dxa"/>
            <w:vAlign w:val="bottom"/>
            <w:tcBorders>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2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2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220" w:type="dxa"/>
            <w:vAlign w:val="bottom"/>
            <w:tcBorders>
              <w:top w:val="single" w:sz="8" w:color="0000EE"/>
              <w:bottom w:val="single" w:sz="8" w:color="005CB9"/>
            </w:tcBorders>
          </w:tcPr>
          <w:p>
            <w:pPr>
              <w:spacing w:after="0"/>
              <w:rPr>
                <w:sz w:val="6"/>
                <w:szCs w:val="6"/>
                <w:color w:val="auto"/>
              </w:rPr>
            </w:pPr>
          </w:p>
        </w:tc>
        <w:tc>
          <w:tcPr>
            <w:tcW w:w="20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300" w:type="dxa"/>
            <w:vAlign w:val="bottom"/>
            <w:tcBorders>
              <w:top w:val="single" w:sz="8" w:color="0000EE"/>
              <w:bottom w:val="single" w:sz="8" w:color="005CB9"/>
            </w:tcBorders>
          </w:tcPr>
          <w:p>
            <w:pPr>
              <w:spacing w:after="0"/>
              <w:rPr>
                <w:sz w:val="6"/>
                <w:szCs w:val="6"/>
                <w:color w:val="auto"/>
              </w:rPr>
            </w:pPr>
          </w:p>
        </w:tc>
        <w:tc>
          <w:tcPr>
            <w:tcW w:w="20" w:type="dxa"/>
            <w:vAlign w:val="bottom"/>
            <w:tcBorders>
              <w:top w:val="single" w:sz="8" w:color="0000EE"/>
              <w:bottom w:val="single" w:sz="8" w:color="005CB9"/>
            </w:tcBorders>
          </w:tcPr>
          <w:p>
            <w:pPr>
              <w:spacing w:after="0"/>
              <w:rPr>
                <w:sz w:val="6"/>
                <w:szCs w:val="6"/>
                <w:color w:val="auto"/>
              </w:rPr>
            </w:pPr>
          </w:p>
        </w:tc>
        <w:tc>
          <w:tcPr>
            <w:tcW w:w="80" w:type="dxa"/>
            <w:vAlign w:val="bottom"/>
            <w:tcBorders>
              <w:bottom w:val="single" w:sz="8" w:color="005CB9"/>
            </w:tcBorders>
          </w:tcPr>
          <w:p>
            <w:pPr>
              <w:spacing w:after="0"/>
              <w:rPr>
                <w:sz w:val="6"/>
                <w:szCs w:val="6"/>
                <w:color w:val="auto"/>
              </w:rPr>
            </w:pPr>
          </w:p>
        </w:tc>
        <w:tc>
          <w:tcPr>
            <w:tcW w:w="620" w:type="dxa"/>
            <w:vAlign w:val="bottom"/>
            <w:tcBorders>
              <w:bottom w:val="single" w:sz="8" w:color="005CB9"/>
            </w:tcBorders>
          </w:tcPr>
          <w:p>
            <w:pPr>
              <w:spacing w:after="0"/>
              <w:rPr>
                <w:sz w:val="6"/>
                <w:szCs w:val="6"/>
                <w:color w:val="auto"/>
              </w:rPr>
            </w:pPr>
          </w:p>
        </w:tc>
        <w:tc>
          <w:tcPr>
            <w:tcW w:w="440" w:type="dxa"/>
            <w:vAlign w:val="bottom"/>
            <w:tcBorders>
              <w:bottom w:val="single" w:sz="8" w:color="005CB9"/>
            </w:tcBorders>
          </w:tcPr>
          <w:p>
            <w:pPr>
              <w:spacing w:after="0"/>
              <w:rPr>
                <w:sz w:val="6"/>
                <w:szCs w:val="6"/>
                <w:color w:val="auto"/>
              </w:rPr>
            </w:pPr>
          </w:p>
        </w:tc>
        <w:tc>
          <w:tcPr>
            <w:tcW w:w="520" w:type="dxa"/>
            <w:vAlign w:val="bottom"/>
            <w:tcBorders>
              <w:bottom w:val="single" w:sz="8" w:color="005CB9"/>
            </w:tcBorders>
          </w:tcPr>
          <w:p>
            <w:pPr>
              <w:spacing w:after="0"/>
              <w:rPr>
                <w:sz w:val="6"/>
                <w:szCs w:val="6"/>
                <w:color w:val="auto"/>
              </w:rPr>
            </w:pPr>
          </w:p>
        </w:tc>
        <w:tc>
          <w:tcPr>
            <w:tcW w:w="160" w:type="dxa"/>
            <w:vAlign w:val="bottom"/>
            <w:tcBorders>
              <w:bottom w:val="single" w:sz="8" w:color="005CB9"/>
            </w:tcBorders>
          </w:tcPr>
          <w:p>
            <w:pPr>
              <w:spacing w:after="0"/>
              <w:rPr>
                <w:sz w:val="6"/>
                <w:szCs w:val="6"/>
                <w:color w:val="auto"/>
              </w:rPr>
            </w:pPr>
          </w:p>
        </w:tc>
        <w:tc>
          <w:tcPr>
            <w:tcW w:w="740" w:type="dxa"/>
            <w:vAlign w:val="bottom"/>
            <w:tcBorders>
              <w:bottom w:val="single" w:sz="8" w:color="005CB9"/>
            </w:tcBorders>
          </w:tcPr>
          <w:p>
            <w:pPr>
              <w:spacing w:after="0"/>
              <w:rPr>
                <w:sz w:val="6"/>
                <w:szCs w:val="6"/>
                <w:color w:val="auto"/>
              </w:rPr>
            </w:pPr>
          </w:p>
        </w:tc>
        <w:tc>
          <w:tcPr>
            <w:tcW w:w="280" w:type="dxa"/>
            <w:vAlign w:val="bottom"/>
            <w:tcBorders>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020" w:type="dxa"/>
            <w:vAlign w:val="bottom"/>
            <w:gridSpan w:val="38"/>
          </w:tcPr>
          <w:p>
            <w:pPr>
              <w:spacing w:after="0" w:line="167" w:lineRule="exact"/>
              <w:rPr>
                <w:sz w:val="20"/>
                <w:szCs w:val="20"/>
                <w:color w:val="auto"/>
              </w:rPr>
            </w:pPr>
            <w:r>
              <w:rPr>
                <w:rFonts w:ascii="Arial" w:cs="Arial" w:eastAsia="Arial" w:hAnsi="Arial"/>
                <w:sz w:val="18"/>
                <w:szCs w:val="18"/>
                <w:b w:val="1"/>
                <w:bCs w:val="1"/>
                <w:color w:val="0000EE"/>
              </w:rPr>
              <w:t>Appendix B Performance-Based Annual Bonus Plan—Additional Information</w:t>
            </w:r>
          </w:p>
        </w:tc>
        <w:tc>
          <w:tcPr>
            <w:tcW w:w="1900" w:type="dxa"/>
            <w:vAlign w:val="bottom"/>
          </w:tcPr>
          <w:p>
            <w:pPr>
              <w:jc w:val="right"/>
              <w:spacing w:after="0" w:line="167" w:lineRule="exact"/>
              <w:rPr>
                <w:sz w:val="20"/>
                <w:szCs w:val="20"/>
                <w:color w:val="auto"/>
              </w:rPr>
            </w:pPr>
            <w:r>
              <w:rPr>
                <w:rFonts w:ascii="Arial" w:cs="Arial" w:eastAsia="Arial" w:hAnsi="Arial"/>
                <w:sz w:val="18"/>
                <w:szCs w:val="18"/>
                <w:b w:val="1"/>
                <w:bCs w:val="1"/>
                <w:color w:val="005CB9"/>
              </w:rPr>
              <w:t>104</w:t>
            </w:r>
          </w:p>
        </w:tc>
        <w:tc>
          <w:tcPr>
            <w:tcW w:w="0" w:type="dxa"/>
            <w:vAlign w:val="bottom"/>
          </w:tcPr>
          <w:p>
            <w:pPr>
              <w:spacing w:after="0"/>
              <w:rPr>
                <w:sz w:val="1"/>
                <w:szCs w:val="1"/>
                <w:color w:val="auto"/>
              </w:rPr>
            </w:pPr>
          </w:p>
        </w:tc>
      </w:tr>
      <w:tr>
        <w:trPr>
          <w:trHeight w:val="74"/>
        </w:trPr>
        <w:tc>
          <w:tcPr>
            <w:tcW w:w="20" w:type="dxa"/>
            <w:vAlign w:val="bottom"/>
            <w:tcBorders>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10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2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20" w:type="dxa"/>
            <w:vAlign w:val="bottom"/>
            <w:tcBorders>
              <w:top w:val="single" w:sz="8" w:color="0000EE"/>
              <w:bottom w:val="single" w:sz="8" w:color="005CB9"/>
            </w:tcBorders>
          </w:tcPr>
          <w:p>
            <w:pPr>
              <w:spacing w:after="0"/>
              <w:rPr>
                <w:sz w:val="6"/>
                <w:szCs w:val="6"/>
                <w:color w:val="auto"/>
              </w:rPr>
            </w:pPr>
          </w:p>
        </w:tc>
        <w:tc>
          <w:tcPr>
            <w:tcW w:w="60" w:type="dxa"/>
            <w:vAlign w:val="bottom"/>
            <w:tcBorders>
              <w:top w:val="single" w:sz="8" w:color="0000EE"/>
              <w:bottom w:val="single" w:sz="8" w:color="005CB9"/>
            </w:tcBorders>
          </w:tcPr>
          <w:p>
            <w:pPr>
              <w:spacing w:after="0"/>
              <w:rPr>
                <w:sz w:val="6"/>
                <w:szCs w:val="6"/>
                <w:color w:val="auto"/>
              </w:rPr>
            </w:pPr>
          </w:p>
        </w:tc>
        <w:tc>
          <w:tcPr>
            <w:tcW w:w="10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220" w:type="dxa"/>
            <w:vAlign w:val="bottom"/>
            <w:tcBorders>
              <w:top w:val="single" w:sz="8" w:color="0000EE"/>
              <w:bottom w:val="single" w:sz="8" w:color="005CB9"/>
            </w:tcBorders>
          </w:tcPr>
          <w:p>
            <w:pPr>
              <w:spacing w:after="0"/>
              <w:rPr>
                <w:sz w:val="6"/>
                <w:szCs w:val="6"/>
                <w:color w:val="auto"/>
              </w:rPr>
            </w:pPr>
          </w:p>
        </w:tc>
        <w:tc>
          <w:tcPr>
            <w:tcW w:w="200" w:type="dxa"/>
            <w:vAlign w:val="bottom"/>
            <w:tcBorders>
              <w:top w:val="single" w:sz="8" w:color="0000EE"/>
              <w:bottom w:val="single" w:sz="8" w:color="005CB9"/>
            </w:tcBorders>
          </w:tcPr>
          <w:p>
            <w:pPr>
              <w:spacing w:after="0"/>
              <w:rPr>
                <w:sz w:val="6"/>
                <w:szCs w:val="6"/>
                <w:color w:val="auto"/>
              </w:rPr>
            </w:pPr>
          </w:p>
        </w:tc>
        <w:tc>
          <w:tcPr>
            <w:tcW w:w="180" w:type="dxa"/>
            <w:vAlign w:val="bottom"/>
            <w:tcBorders>
              <w:top w:val="single" w:sz="8" w:color="0000EE"/>
              <w:bottom w:val="single" w:sz="8" w:color="005CB9"/>
            </w:tcBorders>
          </w:tcPr>
          <w:p>
            <w:pPr>
              <w:spacing w:after="0"/>
              <w:rPr>
                <w:sz w:val="6"/>
                <w:szCs w:val="6"/>
                <w:color w:val="auto"/>
              </w:rPr>
            </w:pPr>
          </w:p>
        </w:tc>
        <w:tc>
          <w:tcPr>
            <w:tcW w:w="40" w:type="dxa"/>
            <w:vAlign w:val="bottom"/>
            <w:tcBorders>
              <w:top w:val="single" w:sz="8" w:color="0000EE"/>
              <w:bottom w:val="single" w:sz="8" w:color="005CB9"/>
            </w:tcBorders>
          </w:tcPr>
          <w:p>
            <w:pPr>
              <w:spacing w:after="0"/>
              <w:rPr>
                <w:sz w:val="6"/>
                <w:szCs w:val="6"/>
                <w:color w:val="auto"/>
              </w:rPr>
            </w:pPr>
          </w:p>
        </w:tc>
        <w:tc>
          <w:tcPr>
            <w:tcW w:w="300" w:type="dxa"/>
            <w:vAlign w:val="bottom"/>
            <w:tcBorders>
              <w:top w:val="single" w:sz="8" w:color="0000EE"/>
              <w:bottom w:val="single" w:sz="8" w:color="005CB9"/>
            </w:tcBorders>
          </w:tcPr>
          <w:p>
            <w:pPr>
              <w:spacing w:after="0"/>
              <w:rPr>
                <w:sz w:val="6"/>
                <w:szCs w:val="6"/>
                <w:color w:val="auto"/>
              </w:rPr>
            </w:pPr>
          </w:p>
        </w:tc>
        <w:tc>
          <w:tcPr>
            <w:tcW w:w="20" w:type="dxa"/>
            <w:vAlign w:val="bottom"/>
            <w:tcBorders>
              <w:top w:val="single" w:sz="8" w:color="0000EE"/>
              <w:bottom w:val="single" w:sz="8" w:color="005CB9"/>
            </w:tcBorders>
          </w:tcPr>
          <w:p>
            <w:pPr>
              <w:spacing w:after="0"/>
              <w:rPr>
                <w:sz w:val="6"/>
                <w:szCs w:val="6"/>
                <w:color w:val="auto"/>
              </w:rPr>
            </w:pPr>
          </w:p>
        </w:tc>
        <w:tc>
          <w:tcPr>
            <w:tcW w:w="80" w:type="dxa"/>
            <w:vAlign w:val="bottom"/>
            <w:tcBorders>
              <w:top w:val="single" w:sz="8" w:color="0000EE"/>
              <w:bottom w:val="single" w:sz="8" w:color="005CB9"/>
            </w:tcBorders>
          </w:tcPr>
          <w:p>
            <w:pPr>
              <w:spacing w:after="0"/>
              <w:rPr>
                <w:sz w:val="6"/>
                <w:szCs w:val="6"/>
                <w:color w:val="auto"/>
              </w:rPr>
            </w:pPr>
          </w:p>
        </w:tc>
        <w:tc>
          <w:tcPr>
            <w:tcW w:w="620" w:type="dxa"/>
            <w:vAlign w:val="bottom"/>
            <w:tcBorders>
              <w:top w:val="single" w:sz="8" w:color="0000EE"/>
              <w:bottom w:val="single" w:sz="8" w:color="005CB9"/>
            </w:tcBorders>
          </w:tcPr>
          <w:p>
            <w:pPr>
              <w:spacing w:after="0"/>
              <w:rPr>
                <w:sz w:val="6"/>
                <w:szCs w:val="6"/>
                <w:color w:val="auto"/>
              </w:rPr>
            </w:pPr>
          </w:p>
        </w:tc>
        <w:tc>
          <w:tcPr>
            <w:tcW w:w="440" w:type="dxa"/>
            <w:vAlign w:val="bottom"/>
            <w:tcBorders>
              <w:top w:val="single" w:sz="8" w:color="0000EE"/>
              <w:bottom w:val="single" w:sz="8" w:color="005CB9"/>
            </w:tcBorders>
          </w:tcPr>
          <w:p>
            <w:pPr>
              <w:spacing w:after="0"/>
              <w:rPr>
                <w:sz w:val="6"/>
                <w:szCs w:val="6"/>
                <w:color w:val="auto"/>
              </w:rPr>
            </w:pPr>
          </w:p>
        </w:tc>
        <w:tc>
          <w:tcPr>
            <w:tcW w:w="520" w:type="dxa"/>
            <w:vAlign w:val="bottom"/>
            <w:tcBorders>
              <w:top w:val="single" w:sz="8" w:color="0000EE"/>
              <w:bottom w:val="single" w:sz="8" w:color="005CB9"/>
            </w:tcBorders>
          </w:tcPr>
          <w:p>
            <w:pPr>
              <w:spacing w:after="0"/>
              <w:rPr>
                <w:sz w:val="6"/>
                <w:szCs w:val="6"/>
                <w:color w:val="auto"/>
              </w:rPr>
            </w:pPr>
          </w:p>
        </w:tc>
        <w:tc>
          <w:tcPr>
            <w:tcW w:w="160" w:type="dxa"/>
            <w:vAlign w:val="bottom"/>
            <w:tcBorders>
              <w:top w:val="single" w:sz="8" w:color="0000EE"/>
              <w:bottom w:val="single" w:sz="8" w:color="005CB9"/>
            </w:tcBorders>
          </w:tcPr>
          <w:p>
            <w:pPr>
              <w:spacing w:after="0"/>
              <w:rPr>
                <w:sz w:val="6"/>
                <w:szCs w:val="6"/>
                <w:color w:val="auto"/>
              </w:rPr>
            </w:pPr>
          </w:p>
        </w:tc>
        <w:tc>
          <w:tcPr>
            <w:tcW w:w="740" w:type="dxa"/>
            <w:vAlign w:val="bottom"/>
            <w:tcBorders>
              <w:top w:val="single" w:sz="8" w:color="0000EE"/>
              <w:bottom w:val="single" w:sz="8" w:color="005CB9"/>
            </w:tcBorders>
          </w:tcPr>
          <w:p>
            <w:pPr>
              <w:spacing w:after="0"/>
              <w:rPr>
                <w:sz w:val="6"/>
                <w:szCs w:val="6"/>
                <w:color w:val="auto"/>
              </w:rPr>
            </w:pPr>
          </w:p>
        </w:tc>
        <w:tc>
          <w:tcPr>
            <w:tcW w:w="280" w:type="dxa"/>
            <w:vAlign w:val="bottom"/>
            <w:tcBorders>
              <w:top w:val="single" w:sz="8" w:color="0000EE"/>
              <w:bottom w:val="single" w:sz="8" w:color="005CB9"/>
            </w:tcBorders>
          </w:tcPr>
          <w:p>
            <w:pPr>
              <w:spacing w:after="0"/>
              <w:rPr>
                <w:sz w:val="6"/>
                <w:szCs w:val="6"/>
                <w:color w:val="auto"/>
              </w:rPr>
            </w:pPr>
          </w:p>
        </w:tc>
        <w:tc>
          <w:tcPr>
            <w:tcW w:w="120" w:type="dxa"/>
            <w:vAlign w:val="bottom"/>
            <w:tcBorders>
              <w:bottom w:val="single" w:sz="8" w:color="005CB9"/>
            </w:tcBorders>
          </w:tcPr>
          <w:p>
            <w:pPr>
              <w:spacing w:after="0"/>
              <w:rPr>
                <w:sz w:val="6"/>
                <w:szCs w:val="6"/>
                <w:color w:val="auto"/>
              </w:rPr>
            </w:pPr>
          </w:p>
        </w:tc>
        <w:tc>
          <w:tcPr>
            <w:tcW w:w="840" w:type="dxa"/>
            <w:vAlign w:val="bottom"/>
            <w:tcBorders>
              <w:bottom w:val="single" w:sz="8" w:color="005CB9"/>
            </w:tcBorders>
          </w:tcPr>
          <w:p>
            <w:pPr>
              <w:spacing w:after="0"/>
              <w:rPr>
                <w:sz w:val="6"/>
                <w:szCs w:val="6"/>
                <w:color w:val="auto"/>
              </w:rPr>
            </w:pPr>
          </w:p>
        </w:tc>
        <w:tc>
          <w:tcPr>
            <w:tcW w:w="1560" w:type="dxa"/>
            <w:vAlign w:val="bottom"/>
            <w:tcBorders>
              <w:bottom w:val="single" w:sz="8" w:color="005CB9"/>
            </w:tcBorders>
          </w:tcPr>
          <w:p>
            <w:pPr>
              <w:spacing w:after="0"/>
              <w:rPr>
                <w:sz w:val="6"/>
                <w:szCs w:val="6"/>
                <w:color w:val="auto"/>
              </w:rPr>
            </w:pPr>
          </w:p>
        </w:tc>
        <w:tc>
          <w:tcPr>
            <w:tcW w:w="1900" w:type="dxa"/>
            <w:vAlign w:val="bottom"/>
            <w:tcBorders>
              <w:bottom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9020" w:type="dxa"/>
            <w:vAlign w:val="bottom"/>
            <w:gridSpan w:val="38"/>
          </w:tcPr>
          <w:p>
            <w:pPr>
              <w:spacing w:after="0" w:line="167" w:lineRule="exact"/>
              <w:rPr>
                <w:sz w:val="20"/>
                <w:szCs w:val="20"/>
                <w:color w:val="auto"/>
              </w:rPr>
            </w:pPr>
            <w:r>
              <w:rPr>
                <w:rFonts w:ascii="Arial" w:cs="Arial" w:eastAsia="Arial" w:hAnsi="Arial"/>
                <w:sz w:val="18"/>
                <w:szCs w:val="18"/>
                <w:b w:val="1"/>
                <w:bCs w:val="1"/>
                <w:color w:val="0000EE"/>
              </w:rPr>
              <w:t>Appendix C Information Regarding Forward-Looking Statements</w:t>
            </w:r>
          </w:p>
        </w:tc>
        <w:tc>
          <w:tcPr>
            <w:tcW w:w="1900" w:type="dxa"/>
            <w:vAlign w:val="bottom"/>
          </w:tcPr>
          <w:p>
            <w:pPr>
              <w:jc w:val="right"/>
              <w:spacing w:after="0" w:line="167" w:lineRule="exact"/>
              <w:rPr>
                <w:sz w:val="20"/>
                <w:szCs w:val="20"/>
                <w:color w:val="auto"/>
              </w:rPr>
            </w:pPr>
            <w:r>
              <w:rPr>
                <w:rFonts w:ascii="Arial" w:cs="Arial" w:eastAsia="Arial" w:hAnsi="Arial"/>
                <w:sz w:val="18"/>
                <w:szCs w:val="18"/>
                <w:b w:val="1"/>
                <w:bCs w:val="1"/>
                <w:color w:val="005CB9"/>
              </w:rPr>
              <w:t>105</w:t>
            </w:r>
          </w:p>
        </w:tc>
        <w:tc>
          <w:tcPr>
            <w:tcW w:w="0" w:type="dxa"/>
            <w:vAlign w:val="bottom"/>
          </w:tcPr>
          <w:p>
            <w:pPr>
              <w:spacing w:after="0"/>
              <w:rPr>
                <w:sz w:val="1"/>
                <w:szCs w:val="1"/>
                <w:color w:val="auto"/>
              </w:rPr>
            </w:pPr>
          </w:p>
        </w:tc>
      </w:tr>
      <w:tr>
        <w:trPr>
          <w:trHeight w:val="87"/>
        </w:trPr>
        <w:tc>
          <w:tcPr>
            <w:tcW w:w="20" w:type="dxa"/>
            <w:vAlign w:val="bottom"/>
            <w:tcBorders>
              <w:bottom w:val="single" w:sz="8" w:color="005CB9"/>
            </w:tcBorders>
          </w:tcPr>
          <w:p>
            <w:pPr>
              <w:spacing w:after="0"/>
              <w:rPr>
                <w:sz w:val="7"/>
                <w:szCs w:val="7"/>
                <w:color w:val="auto"/>
              </w:rPr>
            </w:pPr>
          </w:p>
        </w:tc>
        <w:tc>
          <w:tcPr>
            <w:tcW w:w="160" w:type="dxa"/>
            <w:vAlign w:val="bottom"/>
            <w:tcBorders>
              <w:top w:val="single" w:sz="8" w:color="0000EE"/>
              <w:bottom w:val="single" w:sz="8" w:color="005CB9"/>
            </w:tcBorders>
          </w:tcPr>
          <w:p>
            <w:pPr>
              <w:spacing w:after="0"/>
              <w:rPr>
                <w:sz w:val="7"/>
                <w:szCs w:val="7"/>
                <w:color w:val="auto"/>
              </w:rPr>
            </w:pPr>
          </w:p>
        </w:tc>
        <w:tc>
          <w:tcPr>
            <w:tcW w:w="180" w:type="dxa"/>
            <w:vAlign w:val="bottom"/>
            <w:tcBorders>
              <w:top w:val="single" w:sz="8" w:color="0000EE"/>
              <w:bottom w:val="single" w:sz="8" w:color="005CB9"/>
            </w:tcBorders>
          </w:tcPr>
          <w:p>
            <w:pPr>
              <w:spacing w:after="0"/>
              <w:rPr>
                <w:sz w:val="7"/>
                <w:szCs w:val="7"/>
                <w:color w:val="auto"/>
              </w:rPr>
            </w:pPr>
          </w:p>
        </w:tc>
        <w:tc>
          <w:tcPr>
            <w:tcW w:w="1060" w:type="dxa"/>
            <w:vAlign w:val="bottom"/>
            <w:tcBorders>
              <w:top w:val="single" w:sz="8" w:color="0000EE"/>
              <w:bottom w:val="single" w:sz="8" w:color="005CB9"/>
            </w:tcBorders>
          </w:tcPr>
          <w:p>
            <w:pPr>
              <w:spacing w:after="0"/>
              <w:rPr>
                <w:sz w:val="7"/>
                <w:szCs w:val="7"/>
                <w:color w:val="auto"/>
              </w:rPr>
            </w:pPr>
          </w:p>
        </w:tc>
        <w:tc>
          <w:tcPr>
            <w:tcW w:w="60" w:type="dxa"/>
            <w:vAlign w:val="bottom"/>
            <w:tcBorders>
              <w:top w:val="single" w:sz="8" w:color="0000EE"/>
              <w:bottom w:val="single" w:sz="8" w:color="005CB9"/>
            </w:tcBorders>
          </w:tcPr>
          <w:p>
            <w:pPr>
              <w:spacing w:after="0"/>
              <w:rPr>
                <w:sz w:val="7"/>
                <w:szCs w:val="7"/>
                <w:color w:val="auto"/>
              </w:rPr>
            </w:pPr>
          </w:p>
        </w:tc>
        <w:tc>
          <w:tcPr>
            <w:tcW w:w="40" w:type="dxa"/>
            <w:vAlign w:val="bottom"/>
            <w:tcBorders>
              <w:top w:val="single" w:sz="8" w:color="0000EE"/>
              <w:bottom w:val="single" w:sz="8" w:color="005CB9"/>
            </w:tcBorders>
          </w:tcPr>
          <w:p>
            <w:pPr>
              <w:spacing w:after="0"/>
              <w:rPr>
                <w:sz w:val="7"/>
                <w:szCs w:val="7"/>
                <w:color w:val="auto"/>
              </w:rPr>
            </w:pPr>
          </w:p>
        </w:tc>
        <w:tc>
          <w:tcPr>
            <w:tcW w:w="100" w:type="dxa"/>
            <w:vAlign w:val="bottom"/>
            <w:tcBorders>
              <w:top w:val="single" w:sz="8" w:color="0000EE"/>
              <w:bottom w:val="single" w:sz="8" w:color="005CB9"/>
            </w:tcBorders>
          </w:tcPr>
          <w:p>
            <w:pPr>
              <w:spacing w:after="0"/>
              <w:rPr>
                <w:sz w:val="7"/>
                <w:szCs w:val="7"/>
                <w:color w:val="auto"/>
              </w:rPr>
            </w:pPr>
          </w:p>
        </w:tc>
        <w:tc>
          <w:tcPr>
            <w:tcW w:w="40" w:type="dxa"/>
            <w:vAlign w:val="bottom"/>
            <w:tcBorders>
              <w:top w:val="single" w:sz="8" w:color="0000EE"/>
              <w:bottom w:val="single" w:sz="8" w:color="005CB9"/>
            </w:tcBorders>
          </w:tcPr>
          <w:p>
            <w:pPr>
              <w:spacing w:after="0"/>
              <w:rPr>
                <w:sz w:val="7"/>
                <w:szCs w:val="7"/>
                <w:color w:val="auto"/>
              </w:rPr>
            </w:pPr>
          </w:p>
        </w:tc>
        <w:tc>
          <w:tcPr>
            <w:tcW w:w="80" w:type="dxa"/>
            <w:vAlign w:val="bottom"/>
            <w:tcBorders>
              <w:top w:val="single" w:sz="8" w:color="0000EE"/>
              <w:bottom w:val="single" w:sz="8" w:color="005CB9"/>
            </w:tcBorders>
          </w:tcPr>
          <w:p>
            <w:pPr>
              <w:spacing w:after="0"/>
              <w:rPr>
                <w:sz w:val="7"/>
                <w:szCs w:val="7"/>
                <w:color w:val="auto"/>
              </w:rPr>
            </w:pPr>
          </w:p>
        </w:tc>
        <w:tc>
          <w:tcPr>
            <w:tcW w:w="160" w:type="dxa"/>
            <w:vAlign w:val="bottom"/>
            <w:tcBorders>
              <w:top w:val="single" w:sz="8" w:color="0000EE"/>
              <w:bottom w:val="single" w:sz="8" w:color="005CB9"/>
            </w:tcBorders>
          </w:tcPr>
          <w:p>
            <w:pPr>
              <w:spacing w:after="0"/>
              <w:rPr>
                <w:sz w:val="7"/>
                <w:szCs w:val="7"/>
                <w:color w:val="auto"/>
              </w:rPr>
            </w:pPr>
          </w:p>
        </w:tc>
        <w:tc>
          <w:tcPr>
            <w:tcW w:w="40" w:type="dxa"/>
            <w:vAlign w:val="bottom"/>
            <w:tcBorders>
              <w:top w:val="single" w:sz="8" w:color="0000EE"/>
              <w:bottom w:val="single" w:sz="8" w:color="005CB9"/>
            </w:tcBorders>
          </w:tcPr>
          <w:p>
            <w:pPr>
              <w:spacing w:after="0"/>
              <w:rPr>
                <w:sz w:val="7"/>
                <w:szCs w:val="7"/>
                <w:color w:val="auto"/>
              </w:rPr>
            </w:pPr>
          </w:p>
        </w:tc>
        <w:tc>
          <w:tcPr>
            <w:tcW w:w="60" w:type="dxa"/>
            <w:vAlign w:val="bottom"/>
            <w:tcBorders>
              <w:top w:val="single" w:sz="8" w:color="0000EE"/>
              <w:bottom w:val="single" w:sz="8" w:color="005CB9"/>
            </w:tcBorders>
          </w:tcPr>
          <w:p>
            <w:pPr>
              <w:spacing w:after="0"/>
              <w:rPr>
                <w:sz w:val="7"/>
                <w:szCs w:val="7"/>
                <w:color w:val="auto"/>
              </w:rPr>
            </w:pPr>
          </w:p>
        </w:tc>
        <w:tc>
          <w:tcPr>
            <w:tcW w:w="60" w:type="dxa"/>
            <w:vAlign w:val="bottom"/>
            <w:tcBorders>
              <w:top w:val="single" w:sz="8" w:color="0000EE"/>
              <w:bottom w:val="single" w:sz="8" w:color="005CB9"/>
            </w:tcBorders>
          </w:tcPr>
          <w:p>
            <w:pPr>
              <w:spacing w:after="0"/>
              <w:rPr>
                <w:sz w:val="7"/>
                <w:szCs w:val="7"/>
                <w:color w:val="auto"/>
              </w:rPr>
            </w:pPr>
          </w:p>
        </w:tc>
        <w:tc>
          <w:tcPr>
            <w:tcW w:w="60" w:type="dxa"/>
            <w:vAlign w:val="bottom"/>
            <w:tcBorders>
              <w:top w:val="single" w:sz="8" w:color="0000EE"/>
              <w:bottom w:val="single" w:sz="8" w:color="005CB9"/>
            </w:tcBorders>
          </w:tcPr>
          <w:p>
            <w:pPr>
              <w:spacing w:after="0"/>
              <w:rPr>
                <w:sz w:val="7"/>
                <w:szCs w:val="7"/>
                <w:color w:val="auto"/>
              </w:rPr>
            </w:pPr>
          </w:p>
        </w:tc>
        <w:tc>
          <w:tcPr>
            <w:tcW w:w="40" w:type="dxa"/>
            <w:vAlign w:val="bottom"/>
            <w:tcBorders>
              <w:top w:val="single" w:sz="8" w:color="0000EE"/>
              <w:bottom w:val="single" w:sz="8" w:color="005CB9"/>
            </w:tcBorders>
          </w:tcPr>
          <w:p>
            <w:pPr>
              <w:spacing w:after="0"/>
              <w:rPr>
                <w:sz w:val="7"/>
                <w:szCs w:val="7"/>
                <w:color w:val="auto"/>
              </w:rPr>
            </w:pPr>
          </w:p>
        </w:tc>
        <w:tc>
          <w:tcPr>
            <w:tcW w:w="20" w:type="dxa"/>
            <w:vAlign w:val="bottom"/>
            <w:tcBorders>
              <w:top w:val="single" w:sz="8" w:color="0000EE"/>
              <w:bottom w:val="single" w:sz="8" w:color="005CB9"/>
            </w:tcBorders>
          </w:tcPr>
          <w:p>
            <w:pPr>
              <w:spacing w:after="0"/>
              <w:rPr>
                <w:sz w:val="7"/>
                <w:szCs w:val="7"/>
                <w:color w:val="auto"/>
              </w:rPr>
            </w:pPr>
          </w:p>
        </w:tc>
        <w:tc>
          <w:tcPr>
            <w:tcW w:w="100" w:type="dxa"/>
            <w:vAlign w:val="bottom"/>
            <w:tcBorders>
              <w:top w:val="single" w:sz="8" w:color="0000EE"/>
              <w:bottom w:val="single" w:sz="8" w:color="005CB9"/>
            </w:tcBorders>
          </w:tcPr>
          <w:p>
            <w:pPr>
              <w:spacing w:after="0"/>
              <w:rPr>
                <w:sz w:val="7"/>
                <w:szCs w:val="7"/>
                <w:color w:val="auto"/>
              </w:rPr>
            </w:pPr>
          </w:p>
        </w:tc>
        <w:tc>
          <w:tcPr>
            <w:tcW w:w="60" w:type="dxa"/>
            <w:vAlign w:val="bottom"/>
            <w:tcBorders>
              <w:top w:val="single" w:sz="8" w:color="0000EE"/>
              <w:bottom w:val="single" w:sz="8" w:color="005CB9"/>
            </w:tcBorders>
          </w:tcPr>
          <w:p>
            <w:pPr>
              <w:spacing w:after="0"/>
              <w:rPr>
                <w:sz w:val="7"/>
                <w:szCs w:val="7"/>
                <w:color w:val="auto"/>
              </w:rPr>
            </w:pPr>
          </w:p>
        </w:tc>
        <w:tc>
          <w:tcPr>
            <w:tcW w:w="120" w:type="dxa"/>
            <w:vAlign w:val="bottom"/>
            <w:tcBorders>
              <w:top w:val="single" w:sz="8" w:color="0000EE"/>
              <w:bottom w:val="single" w:sz="8" w:color="005CB9"/>
            </w:tcBorders>
          </w:tcPr>
          <w:p>
            <w:pPr>
              <w:spacing w:after="0"/>
              <w:rPr>
                <w:sz w:val="7"/>
                <w:szCs w:val="7"/>
                <w:color w:val="auto"/>
              </w:rPr>
            </w:pPr>
          </w:p>
        </w:tc>
        <w:tc>
          <w:tcPr>
            <w:tcW w:w="60" w:type="dxa"/>
            <w:vAlign w:val="bottom"/>
            <w:tcBorders>
              <w:top w:val="single" w:sz="8" w:color="0000EE"/>
              <w:bottom w:val="single" w:sz="8" w:color="005CB9"/>
            </w:tcBorders>
          </w:tcPr>
          <w:p>
            <w:pPr>
              <w:spacing w:after="0"/>
              <w:rPr>
                <w:sz w:val="7"/>
                <w:szCs w:val="7"/>
                <w:color w:val="auto"/>
              </w:rPr>
            </w:pPr>
          </w:p>
        </w:tc>
        <w:tc>
          <w:tcPr>
            <w:tcW w:w="100" w:type="dxa"/>
            <w:vAlign w:val="bottom"/>
            <w:tcBorders>
              <w:top w:val="single" w:sz="8" w:color="0000EE"/>
              <w:bottom w:val="single" w:sz="8" w:color="005CB9"/>
            </w:tcBorders>
          </w:tcPr>
          <w:p>
            <w:pPr>
              <w:spacing w:after="0"/>
              <w:rPr>
                <w:sz w:val="7"/>
                <w:szCs w:val="7"/>
                <w:color w:val="auto"/>
              </w:rPr>
            </w:pPr>
          </w:p>
        </w:tc>
        <w:tc>
          <w:tcPr>
            <w:tcW w:w="80" w:type="dxa"/>
            <w:vAlign w:val="bottom"/>
            <w:tcBorders>
              <w:top w:val="single" w:sz="8" w:color="0000EE"/>
              <w:bottom w:val="single" w:sz="8" w:color="005CB9"/>
            </w:tcBorders>
          </w:tcPr>
          <w:p>
            <w:pPr>
              <w:spacing w:after="0"/>
              <w:rPr>
                <w:sz w:val="7"/>
                <w:szCs w:val="7"/>
                <w:color w:val="auto"/>
              </w:rPr>
            </w:pPr>
          </w:p>
        </w:tc>
        <w:tc>
          <w:tcPr>
            <w:tcW w:w="220" w:type="dxa"/>
            <w:vAlign w:val="bottom"/>
            <w:tcBorders>
              <w:top w:val="single" w:sz="8" w:color="0000EE"/>
              <w:bottom w:val="single" w:sz="8" w:color="005CB9"/>
            </w:tcBorders>
          </w:tcPr>
          <w:p>
            <w:pPr>
              <w:spacing w:after="0"/>
              <w:rPr>
                <w:sz w:val="7"/>
                <w:szCs w:val="7"/>
                <w:color w:val="auto"/>
              </w:rPr>
            </w:pPr>
          </w:p>
        </w:tc>
        <w:tc>
          <w:tcPr>
            <w:tcW w:w="200" w:type="dxa"/>
            <w:vAlign w:val="bottom"/>
            <w:tcBorders>
              <w:top w:val="single" w:sz="8" w:color="0000EE"/>
              <w:bottom w:val="single" w:sz="8" w:color="005CB9"/>
            </w:tcBorders>
          </w:tcPr>
          <w:p>
            <w:pPr>
              <w:spacing w:after="0"/>
              <w:rPr>
                <w:sz w:val="7"/>
                <w:szCs w:val="7"/>
                <w:color w:val="auto"/>
              </w:rPr>
            </w:pPr>
          </w:p>
        </w:tc>
        <w:tc>
          <w:tcPr>
            <w:tcW w:w="180" w:type="dxa"/>
            <w:vAlign w:val="bottom"/>
            <w:tcBorders>
              <w:top w:val="single" w:sz="8" w:color="0000EE"/>
              <w:bottom w:val="single" w:sz="8" w:color="005CB9"/>
            </w:tcBorders>
          </w:tcPr>
          <w:p>
            <w:pPr>
              <w:spacing w:after="0"/>
              <w:rPr>
                <w:sz w:val="7"/>
                <w:szCs w:val="7"/>
                <w:color w:val="auto"/>
              </w:rPr>
            </w:pPr>
          </w:p>
        </w:tc>
        <w:tc>
          <w:tcPr>
            <w:tcW w:w="40" w:type="dxa"/>
            <w:vAlign w:val="bottom"/>
            <w:tcBorders>
              <w:top w:val="single" w:sz="8" w:color="0000EE"/>
              <w:bottom w:val="single" w:sz="8" w:color="005CB9"/>
            </w:tcBorders>
          </w:tcPr>
          <w:p>
            <w:pPr>
              <w:spacing w:after="0"/>
              <w:rPr>
                <w:sz w:val="7"/>
                <w:szCs w:val="7"/>
                <w:color w:val="auto"/>
              </w:rPr>
            </w:pPr>
          </w:p>
        </w:tc>
        <w:tc>
          <w:tcPr>
            <w:tcW w:w="300" w:type="dxa"/>
            <w:vAlign w:val="bottom"/>
            <w:tcBorders>
              <w:top w:val="single" w:sz="8" w:color="0000EE"/>
              <w:bottom w:val="single" w:sz="8" w:color="005CB9"/>
            </w:tcBorders>
          </w:tcPr>
          <w:p>
            <w:pPr>
              <w:spacing w:after="0"/>
              <w:rPr>
                <w:sz w:val="7"/>
                <w:szCs w:val="7"/>
                <w:color w:val="auto"/>
              </w:rPr>
            </w:pPr>
          </w:p>
        </w:tc>
        <w:tc>
          <w:tcPr>
            <w:tcW w:w="20" w:type="dxa"/>
            <w:vAlign w:val="bottom"/>
            <w:tcBorders>
              <w:top w:val="single" w:sz="8" w:color="0000EE"/>
              <w:bottom w:val="single" w:sz="8" w:color="005CB9"/>
            </w:tcBorders>
          </w:tcPr>
          <w:p>
            <w:pPr>
              <w:spacing w:after="0"/>
              <w:rPr>
                <w:sz w:val="7"/>
                <w:szCs w:val="7"/>
                <w:color w:val="auto"/>
              </w:rPr>
            </w:pPr>
          </w:p>
        </w:tc>
        <w:tc>
          <w:tcPr>
            <w:tcW w:w="80" w:type="dxa"/>
            <w:vAlign w:val="bottom"/>
            <w:tcBorders>
              <w:top w:val="single" w:sz="8" w:color="0000EE"/>
              <w:bottom w:val="single" w:sz="8" w:color="005CB9"/>
            </w:tcBorders>
          </w:tcPr>
          <w:p>
            <w:pPr>
              <w:spacing w:after="0"/>
              <w:rPr>
                <w:sz w:val="7"/>
                <w:szCs w:val="7"/>
                <w:color w:val="auto"/>
              </w:rPr>
            </w:pPr>
          </w:p>
        </w:tc>
        <w:tc>
          <w:tcPr>
            <w:tcW w:w="620" w:type="dxa"/>
            <w:vAlign w:val="bottom"/>
            <w:tcBorders>
              <w:top w:val="single" w:sz="8" w:color="0000EE"/>
              <w:bottom w:val="single" w:sz="8" w:color="005CB9"/>
            </w:tcBorders>
          </w:tcPr>
          <w:p>
            <w:pPr>
              <w:spacing w:after="0"/>
              <w:rPr>
                <w:sz w:val="7"/>
                <w:szCs w:val="7"/>
                <w:color w:val="auto"/>
              </w:rPr>
            </w:pPr>
          </w:p>
        </w:tc>
        <w:tc>
          <w:tcPr>
            <w:tcW w:w="440" w:type="dxa"/>
            <w:vAlign w:val="bottom"/>
            <w:tcBorders>
              <w:top w:val="single" w:sz="8" w:color="0000EE"/>
              <w:bottom w:val="single" w:sz="8" w:color="005CB9"/>
            </w:tcBorders>
          </w:tcPr>
          <w:p>
            <w:pPr>
              <w:spacing w:after="0"/>
              <w:rPr>
                <w:sz w:val="7"/>
                <w:szCs w:val="7"/>
                <w:color w:val="auto"/>
              </w:rPr>
            </w:pPr>
          </w:p>
        </w:tc>
        <w:tc>
          <w:tcPr>
            <w:tcW w:w="520" w:type="dxa"/>
            <w:vAlign w:val="bottom"/>
            <w:tcBorders>
              <w:top w:val="single" w:sz="8" w:color="0000EE"/>
              <w:bottom w:val="single" w:sz="8" w:color="005CB9"/>
            </w:tcBorders>
          </w:tcPr>
          <w:p>
            <w:pPr>
              <w:spacing w:after="0"/>
              <w:rPr>
                <w:sz w:val="7"/>
                <w:szCs w:val="7"/>
                <w:color w:val="auto"/>
              </w:rPr>
            </w:pPr>
          </w:p>
        </w:tc>
        <w:tc>
          <w:tcPr>
            <w:tcW w:w="160" w:type="dxa"/>
            <w:vAlign w:val="bottom"/>
            <w:tcBorders>
              <w:top w:val="single" w:sz="8" w:color="0000EE"/>
              <w:bottom w:val="single" w:sz="8" w:color="005CB9"/>
            </w:tcBorders>
          </w:tcPr>
          <w:p>
            <w:pPr>
              <w:spacing w:after="0"/>
              <w:rPr>
                <w:sz w:val="7"/>
                <w:szCs w:val="7"/>
                <w:color w:val="auto"/>
              </w:rPr>
            </w:pPr>
          </w:p>
        </w:tc>
        <w:tc>
          <w:tcPr>
            <w:tcW w:w="740" w:type="dxa"/>
            <w:vAlign w:val="bottom"/>
            <w:tcBorders>
              <w:bottom w:val="single" w:sz="8" w:color="005CB9"/>
            </w:tcBorders>
          </w:tcPr>
          <w:p>
            <w:pPr>
              <w:spacing w:after="0"/>
              <w:rPr>
                <w:sz w:val="7"/>
                <w:szCs w:val="7"/>
                <w:color w:val="auto"/>
              </w:rPr>
            </w:pPr>
          </w:p>
        </w:tc>
        <w:tc>
          <w:tcPr>
            <w:tcW w:w="280" w:type="dxa"/>
            <w:vAlign w:val="bottom"/>
            <w:tcBorders>
              <w:bottom w:val="single" w:sz="8" w:color="005CB9"/>
            </w:tcBorders>
          </w:tcPr>
          <w:p>
            <w:pPr>
              <w:spacing w:after="0"/>
              <w:rPr>
                <w:sz w:val="7"/>
                <w:szCs w:val="7"/>
                <w:color w:val="auto"/>
              </w:rPr>
            </w:pPr>
          </w:p>
        </w:tc>
        <w:tc>
          <w:tcPr>
            <w:tcW w:w="120" w:type="dxa"/>
            <w:vAlign w:val="bottom"/>
            <w:tcBorders>
              <w:bottom w:val="single" w:sz="8" w:color="005CB9"/>
            </w:tcBorders>
          </w:tcPr>
          <w:p>
            <w:pPr>
              <w:spacing w:after="0"/>
              <w:rPr>
                <w:sz w:val="7"/>
                <w:szCs w:val="7"/>
                <w:color w:val="auto"/>
              </w:rPr>
            </w:pPr>
          </w:p>
        </w:tc>
        <w:tc>
          <w:tcPr>
            <w:tcW w:w="840" w:type="dxa"/>
            <w:vAlign w:val="bottom"/>
            <w:tcBorders>
              <w:bottom w:val="single" w:sz="8" w:color="005CB9"/>
            </w:tcBorders>
          </w:tcPr>
          <w:p>
            <w:pPr>
              <w:spacing w:after="0"/>
              <w:rPr>
                <w:sz w:val="7"/>
                <w:szCs w:val="7"/>
                <w:color w:val="auto"/>
              </w:rPr>
            </w:pPr>
          </w:p>
        </w:tc>
        <w:tc>
          <w:tcPr>
            <w:tcW w:w="1560" w:type="dxa"/>
            <w:vAlign w:val="bottom"/>
            <w:tcBorders>
              <w:bottom w:val="single" w:sz="8" w:color="005CB9"/>
            </w:tcBorders>
          </w:tcPr>
          <w:p>
            <w:pPr>
              <w:spacing w:after="0"/>
              <w:rPr>
                <w:sz w:val="7"/>
                <w:szCs w:val="7"/>
                <w:color w:val="auto"/>
              </w:rPr>
            </w:pPr>
          </w:p>
        </w:tc>
        <w:tc>
          <w:tcPr>
            <w:tcW w:w="1900" w:type="dxa"/>
            <w:vAlign w:val="bottom"/>
            <w:tcBorders>
              <w:bottom w:val="single" w:sz="8" w:color="005CB9"/>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106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tcPr>
          <w:p>
            <w:pPr>
              <w:spacing w:after="0"/>
              <w:rPr>
                <w:sz w:val="16"/>
                <w:szCs w:val="16"/>
                <w:color w:val="auto"/>
              </w:rPr>
            </w:pPr>
          </w:p>
        </w:tc>
        <w:tc>
          <w:tcPr>
            <w:tcW w:w="6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220" w:type="dxa"/>
            <w:vAlign w:val="bottom"/>
            <w:tcBorders>
              <w:bottom w:val="single" w:sz="8" w:color="7F7F7F"/>
            </w:tcBorders>
          </w:tcPr>
          <w:p>
            <w:pPr>
              <w:spacing w:after="0"/>
              <w:rPr>
                <w:sz w:val="16"/>
                <w:szCs w:val="16"/>
                <w:color w:val="auto"/>
              </w:rPr>
            </w:pPr>
          </w:p>
        </w:tc>
        <w:tc>
          <w:tcPr>
            <w:tcW w:w="200" w:type="dxa"/>
            <w:vAlign w:val="bottom"/>
            <w:tcBorders>
              <w:bottom w:val="single" w:sz="8" w:color="7F7F7F"/>
            </w:tcBorders>
          </w:tcPr>
          <w:p>
            <w:pPr>
              <w:spacing w:after="0"/>
              <w:rPr>
                <w:sz w:val="16"/>
                <w:szCs w:val="16"/>
                <w:color w:val="auto"/>
              </w:rPr>
            </w:pPr>
          </w:p>
        </w:tc>
        <w:tc>
          <w:tcPr>
            <w:tcW w:w="180" w:type="dxa"/>
            <w:vAlign w:val="bottom"/>
            <w:tcBorders>
              <w:bottom w:val="single" w:sz="8" w:color="7F7F7F"/>
            </w:tcBorders>
          </w:tcPr>
          <w:p>
            <w:pPr>
              <w:spacing w:after="0"/>
              <w:rPr>
                <w:sz w:val="16"/>
                <w:szCs w:val="16"/>
                <w:color w:val="auto"/>
              </w:rPr>
            </w:pPr>
          </w:p>
        </w:tc>
        <w:tc>
          <w:tcPr>
            <w:tcW w:w="40" w:type="dxa"/>
            <w:vAlign w:val="bottom"/>
            <w:tcBorders>
              <w:bottom w:val="single" w:sz="8" w:color="7F7F7F"/>
            </w:tcBorders>
          </w:tcPr>
          <w:p>
            <w:pPr>
              <w:spacing w:after="0"/>
              <w:rPr>
                <w:sz w:val="16"/>
                <w:szCs w:val="16"/>
                <w:color w:val="auto"/>
              </w:rPr>
            </w:pPr>
          </w:p>
        </w:tc>
        <w:tc>
          <w:tcPr>
            <w:tcW w:w="300" w:type="dxa"/>
            <w:vAlign w:val="bottom"/>
            <w:tcBorders>
              <w:bottom w:val="single" w:sz="8" w:color="7F7F7F"/>
            </w:tcBorders>
          </w:tcPr>
          <w:p>
            <w:pPr>
              <w:spacing w:after="0"/>
              <w:rPr>
                <w:sz w:val="16"/>
                <w:szCs w:val="16"/>
                <w:color w:val="auto"/>
              </w:rPr>
            </w:pPr>
          </w:p>
        </w:tc>
        <w:tc>
          <w:tcPr>
            <w:tcW w:w="2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620" w:type="dxa"/>
            <w:vAlign w:val="bottom"/>
            <w:tcBorders>
              <w:bottom w:val="single" w:sz="8" w:color="7F7F7F"/>
            </w:tcBorders>
          </w:tcPr>
          <w:p>
            <w:pPr>
              <w:spacing w:after="0"/>
              <w:rPr>
                <w:sz w:val="16"/>
                <w:szCs w:val="16"/>
                <w:color w:val="auto"/>
              </w:rPr>
            </w:pPr>
          </w:p>
        </w:tc>
        <w:tc>
          <w:tcPr>
            <w:tcW w:w="440" w:type="dxa"/>
            <w:vAlign w:val="bottom"/>
            <w:tcBorders>
              <w:bottom w:val="single" w:sz="8" w:color="7F7F7F"/>
            </w:tcBorders>
          </w:tcPr>
          <w:p>
            <w:pPr>
              <w:spacing w:after="0"/>
              <w:rPr>
                <w:sz w:val="16"/>
                <w:szCs w:val="16"/>
                <w:color w:val="auto"/>
              </w:rPr>
            </w:pPr>
          </w:p>
        </w:tc>
        <w:tc>
          <w:tcPr>
            <w:tcW w:w="52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740" w:type="dxa"/>
            <w:vAlign w:val="bottom"/>
            <w:tcBorders>
              <w:bottom w:val="single" w:sz="8" w:color="7F7F7F"/>
            </w:tcBorders>
          </w:tcPr>
          <w:p>
            <w:pPr>
              <w:spacing w:after="0"/>
              <w:rPr>
                <w:sz w:val="16"/>
                <w:szCs w:val="16"/>
                <w:color w:val="auto"/>
              </w:rPr>
            </w:pPr>
          </w:p>
        </w:tc>
        <w:tc>
          <w:tcPr>
            <w:tcW w:w="280" w:type="dxa"/>
            <w:vAlign w:val="bottom"/>
            <w:tcBorders>
              <w:bottom w:val="single" w:sz="8" w:color="7F7F7F"/>
            </w:tcBorders>
          </w:tcPr>
          <w:p>
            <w:pPr>
              <w:spacing w:after="0"/>
              <w:rPr>
                <w:sz w:val="16"/>
                <w:szCs w:val="16"/>
                <w:color w:val="auto"/>
              </w:rPr>
            </w:pPr>
          </w:p>
        </w:tc>
        <w:tc>
          <w:tcPr>
            <w:tcW w:w="120" w:type="dxa"/>
            <w:vAlign w:val="bottom"/>
            <w:tcBorders>
              <w:bottom w:val="single" w:sz="8" w:color="7F7F7F"/>
            </w:tcBorders>
          </w:tcPr>
          <w:p>
            <w:pPr>
              <w:spacing w:after="0"/>
              <w:rPr>
                <w:sz w:val="16"/>
                <w:szCs w:val="16"/>
                <w:color w:val="auto"/>
              </w:rPr>
            </w:pPr>
          </w:p>
        </w:tc>
        <w:tc>
          <w:tcPr>
            <w:tcW w:w="840" w:type="dxa"/>
            <w:vAlign w:val="bottom"/>
            <w:tcBorders>
              <w:bottom w:val="single" w:sz="8" w:color="7F7F7F"/>
            </w:tcBorders>
          </w:tcPr>
          <w:p>
            <w:pPr>
              <w:spacing w:after="0"/>
              <w:rPr>
                <w:sz w:val="16"/>
                <w:szCs w:val="16"/>
                <w:color w:val="auto"/>
              </w:rPr>
            </w:pPr>
          </w:p>
        </w:tc>
        <w:tc>
          <w:tcPr>
            <w:tcW w:w="1560" w:type="dxa"/>
            <w:vAlign w:val="bottom"/>
            <w:tcBorders>
              <w:bottom w:val="single" w:sz="8" w:color="7F7F7F"/>
            </w:tcBorders>
          </w:tcPr>
          <w:p>
            <w:pPr>
              <w:spacing w:after="0"/>
              <w:rPr>
                <w:sz w:val="16"/>
                <w:szCs w:val="16"/>
                <w:color w:val="auto"/>
              </w:rPr>
            </w:pPr>
          </w:p>
        </w:tc>
        <w:tc>
          <w:tcPr>
            <w:tcW w:w="190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1706880" cy="347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06880" cy="34798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Notice of Annual</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44"/>
          <w:szCs w:val="44"/>
          <w:color w:val="001689"/>
        </w:rPr>
        <w:t>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232410</wp:posOffset>
            </wp:positionV>
            <wp:extent cx="6929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1066165</wp:posOffset>
            </wp:positionH>
            <wp:positionV relativeFrom="paragraph">
              <wp:posOffset>342265</wp:posOffset>
            </wp:positionV>
            <wp:extent cx="373380" cy="365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3380" cy="36512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342265</wp:posOffset>
            </wp:positionV>
            <wp:extent cx="365125" cy="322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5125" cy="322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488 8th Avenue</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San Diego, California 92101</w:t>
      </w:r>
    </w:p>
    <w:p>
      <w:pPr>
        <w:jc w:val="right"/>
        <w:spacing w:after="0"/>
        <w:rPr>
          <w:sz w:val="20"/>
          <w:szCs w:val="20"/>
          <w:color w:val="auto"/>
        </w:rPr>
      </w:pPr>
      <w:r>
        <w:rPr>
          <w:rFonts w:ascii="Arial" w:cs="Arial" w:eastAsia="Arial" w:hAnsi="Arial"/>
          <w:sz w:val="14"/>
          <w:szCs w:val="14"/>
          <w:color w:val="auto"/>
        </w:rPr>
        <w:t>(877) 736-7727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344805</wp:posOffset>
            </wp:positionV>
            <wp:extent cx="365125" cy="331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5125" cy="33147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8580" w:space="720"/>
            <w:col w:w="178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00" w:type="dxa"/>
            <w:vAlign w:val="bottom"/>
          </w:tcPr>
          <w:p>
            <w:pPr>
              <w:jc w:val="center"/>
              <w:ind w:right="9"/>
              <w:spacing w:after="0"/>
              <w:rPr>
                <w:sz w:val="20"/>
                <w:szCs w:val="20"/>
                <w:color w:val="auto"/>
              </w:rPr>
            </w:pPr>
            <w:r>
              <w:rPr>
                <w:rFonts w:ascii="Arial" w:cs="Arial" w:eastAsia="Arial" w:hAnsi="Arial"/>
                <w:sz w:val="14"/>
                <w:szCs w:val="14"/>
                <w:b w:val="1"/>
                <w:bCs w:val="1"/>
                <w:color w:val="005CB9"/>
              </w:rPr>
              <w:t>DATE AND TIME</w:t>
            </w:r>
          </w:p>
        </w:tc>
        <w:tc>
          <w:tcPr>
            <w:tcW w:w="920" w:type="dxa"/>
            <w:vAlign w:val="bottom"/>
          </w:tcPr>
          <w:p>
            <w:pPr>
              <w:spacing w:after="0"/>
              <w:rPr>
                <w:sz w:val="14"/>
                <w:szCs w:val="14"/>
                <w:color w:val="auto"/>
              </w:rPr>
            </w:pPr>
          </w:p>
        </w:tc>
        <w:tc>
          <w:tcPr>
            <w:tcW w:w="2660" w:type="dxa"/>
            <w:vAlign w:val="bottom"/>
            <w:gridSpan w:val="2"/>
          </w:tcPr>
          <w:p>
            <w:pPr>
              <w:jc w:val="center"/>
              <w:ind w:right="769"/>
              <w:spacing w:after="0"/>
              <w:rPr>
                <w:sz w:val="20"/>
                <w:szCs w:val="20"/>
                <w:color w:val="auto"/>
              </w:rPr>
            </w:pPr>
            <w:r>
              <w:rPr>
                <w:rFonts w:ascii="Arial" w:cs="Arial" w:eastAsia="Arial" w:hAnsi="Arial"/>
                <w:sz w:val="14"/>
                <w:szCs w:val="14"/>
                <w:b w:val="1"/>
                <w:bCs w:val="1"/>
                <w:color w:val="005CB9"/>
              </w:rPr>
              <w:t>LOCATION</w:t>
            </w:r>
          </w:p>
        </w:tc>
        <w:tc>
          <w:tcPr>
            <w:tcW w:w="3640" w:type="dxa"/>
            <w:vAlign w:val="bottom"/>
          </w:tcPr>
          <w:p>
            <w:pPr>
              <w:ind w:left="1380"/>
              <w:spacing w:after="0"/>
              <w:rPr>
                <w:sz w:val="20"/>
                <w:szCs w:val="20"/>
                <w:color w:val="auto"/>
              </w:rPr>
            </w:pPr>
            <w:r>
              <w:rPr>
                <w:rFonts w:ascii="Arial" w:cs="Arial" w:eastAsia="Arial" w:hAnsi="Arial"/>
                <w:sz w:val="14"/>
                <w:szCs w:val="14"/>
                <w:b w:val="1"/>
                <w:bCs w:val="1"/>
                <w:color w:val="005CB9"/>
              </w:rPr>
              <w:t>RECORD DATE</w:t>
            </w:r>
          </w:p>
        </w:tc>
      </w:tr>
      <w:tr>
        <w:trPr>
          <w:trHeight w:val="160"/>
        </w:trPr>
        <w:tc>
          <w:tcPr>
            <w:tcW w:w="3700" w:type="dxa"/>
            <w:vAlign w:val="bottom"/>
          </w:tcPr>
          <w:p>
            <w:pPr>
              <w:jc w:val="center"/>
              <w:ind w:right="9"/>
              <w:spacing w:after="0"/>
              <w:rPr>
                <w:sz w:val="20"/>
                <w:szCs w:val="20"/>
                <w:color w:val="auto"/>
              </w:rPr>
            </w:pPr>
            <w:r>
              <w:rPr>
                <w:rFonts w:ascii="Arial" w:cs="Arial" w:eastAsia="Arial" w:hAnsi="Arial"/>
                <w:sz w:val="14"/>
                <w:szCs w:val="14"/>
                <w:b w:val="1"/>
                <w:bCs w:val="1"/>
                <w:color w:val="auto"/>
                <w:w w:val="99"/>
              </w:rPr>
              <w:t>Tuesday, May 12, 2026</w:t>
            </w:r>
          </w:p>
        </w:tc>
        <w:tc>
          <w:tcPr>
            <w:tcW w:w="920" w:type="dxa"/>
            <w:vAlign w:val="bottom"/>
          </w:tcPr>
          <w:p>
            <w:pPr>
              <w:spacing w:after="0"/>
              <w:rPr>
                <w:sz w:val="13"/>
                <w:szCs w:val="13"/>
                <w:color w:val="auto"/>
              </w:rPr>
            </w:pPr>
          </w:p>
        </w:tc>
        <w:tc>
          <w:tcPr>
            <w:tcW w:w="2660" w:type="dxa"/>
            <w:vAlign w:val="bottom"/>
            <w:gridSpan w:val="2"/>
          </w:tcPr>
          <w:p>
            <w:pPr>
              <w:jc w:val="center"/>
              <w:ind w:right="769"/>
              <w:spacing w:after="0"/>
              <w:rPr>
                <w:sz w:val="20"/>
                <w:szCs w:val="20"/>
                <w:color w:val="auto"/>
              </w:rPr>
            </w:pPr>
            <w:r>
              <w:rPr>
                <w:rFonts w:ascii="Arial" w:cs="Arial" w:eastAsia="Arial" w:hAnsi="Arial"/>
                <w:sz w:val="14"/>
                <w:szCs w:val="14"/>
                <w:b w:val="1"/>
                <w:bCs w:val="1"/>
                <w:color w:val="auto"/>
              </w:rPr>
              <w:t>Virtual-only meeting at</w:t>
            </w:r>
          </w:p>
        </w:tc>
        <w:tc>
          <w:tcPr>
            <w:tcW w:w="3640" w:type="dxa"/>
            <w:vAlign w:val="bottom"/>
          </w:tcPr>
          <w:p>
            <w:pPr>
              <w:ind w:left="1380"/>
              <w:spacing w:after="0"/>
              <w:rPr>
                <w:sz w:val="20"/>
                <w:szCs w:val="20"/>
                <w:color w:val="auto"/>
              </w:rPr>
            </w:pPr>
            <w:r>
              <w:rPr>
                <w:rFonts w:ascii="Arial" w:cs="Arial" w:eastAsia="Arial" w:hAnsi="Arial"/>
                <w:sz w:val="14"/>
                <w:szCs w:val="14"/>
                <w:b w:val="1"/>
                <w:bCs w:val="1"/>
                <w:color w:val="auto"/>
              </w:rPr>
              <w:t>March 20, 2026</w:t>
            </w:r>
          </w:p>
        </w:tc>
      </w:tr>
      <w:tr>
        <w:trPr>
          <w:trHeight w:val="183"/>
        </w:trPr>
        <w:tc>
          <w:tcPr>
            <w:tcW w:w="3700" w:type="dxa"/>
            <w:vAlign w:val="bottom"/>
            <w:tcBorders>
              <w:bottom w:val="single" w:sz="8" w:color="001689"/>
            </w:tcBorders>
          </w:tcPr>
          <w:p>
            <w:pPr>
              <w:jc w:val="center"/>
              <w:ind w:right="9"/>
              <w:spacing w:after="0"/>
              <w:rPr>
                <w:sz w:val="20"/>
                <w:szCs w:val="20"/>
                <w:color w:val="auto"/>
              </w:rPr>
            </w:pPr>
            <w:r>
              <w:rPr>
                <w:rFonts w:ascii="Arial" w:cs="Arial" w:eastAsia="Arial" w:hAnsi="Arial"/>
                <w:sz w:val="14"/>
                <w:szCs w:val="14"/>
                <w:b w:val="1"/>
                <w:bCs w:val="1"/>
                <w:color w:val="auto"/>
              </w:rPr>
              <w:t>9 a.m. Pacific Time</w:t>
            </w:r>
          </w:p>
        </w:tc>
        <w:tc>
          <w:tcPr>
            <w:tcW w:w="3580" w:type="dxa"/>
            <w:vAlign w:val="bottom"/>
            <w:tcBorders>
              <w:bottom w:val="single" w:sz="8" w:color="001689"/>
            </w:tcBorders>
            <w:gridSpan w:val="3"/>
          </w:tcPr>
          <w:p>
            <w:pPr>
              <w:jc w:val="center"/>
              <w:ind w:left="9"/>
              <w:spacing w:after="0"/>
              <w:rPr>
                <w:sz w:val="20"/>
                <w:szCs w:val="20"/>
                <w:color w:val="auto"/>
              </w:rPr>
            </w:pPr>
            <w:r>
              <w:rPr>
                <w:rFonts w:ascii="Arial" w:cs="Arial" w:eastAsia="Arial" w:hAnsi="Arial"/>
                <w:sz w:val="14"/>
                <w:szCs w:val="14"/>
                <w:b w:val="1"/>
                <w:bCs w:val="1"/>
                <w:color w:val="auto"/>
              </w:rPr>
              <w:t>www.virtualshareholdermeeting.com/SRE2026</w:t>
            </w:r>
          </w:p>
        </w:tc>
        <w:tc>
          <w:tcPr>
            <w:tcW w:w="3640" w:type="dxa"/>
            <w:vAlign w:val="bottom"/>
            <w:tcBorders>
              <w:bottom w:val="single" w:sz="8" w:color="001689"/>
            </w:tcBorders>
          </w:tcPr>
          <w:p>
            <w:pPr>
              <w:spacing w:after="0"/>
              <w:rPr>
                <w:sz w:val="15"/>
                <w:szCs w:val="15"/>
                <w:color w:val="auto"/>
              </w:rPr>
            </w:pPr>
          </w:p>
        </w:tc>
      </w:tr>
      <w:tr>
        <w:trPr>
          <w:trHeight w:val="354"/>
        </w:trPr>
        <w:tc>
          <w:tcPr>
            <w:tcW w:w="3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4"/>
        </w:trPr>
        <w:tc>
          <w:tcPr>
            <w:tcW w:w="3700" w:type="dxa"/>
            <w:vAlign w:val="bottom"/>
            <w:tcBorders>
              <w:bottom w:val="single" w:sz="8" w:color="005CB9"/>
            </w:tcBorders>
            <w:shd w:val="clear" w:color="auto" w:fill="005CB9"/>
          </w:tcPr>
          <w:p>
            <w:pPr>
              <w:ind w:left="160"/>
              <w:spacing w:after="0"/>
              <w:rPr>
                <w:sz w:val="20"/>
                <w:szCs w:val="20"/>
                <w:color w:val="auto"/>
              </w:rPr>
            </w:pPr>
            <w:r>
              <w:rPr>
                <w:rFonts w:ascii="Arial" w:cs="Arial" w:eastAsia="Arial" w:hAnsi="Arial"/>
                <w:sz w:val="14"/>
                <w:szCs w:val="14"/>
                <w:b w:val="1"/>
                <w:bCs w:val="1"/>
                <w:color w:val="FFFFFF"/>
              </w:rPr>
              <w:t>Business Items</w:t>
            </w:r>
          </w:p>
        </w:tc>
        <w:tc>
          <w:tcPr>
            <w:tcW w:w="920" w:type="dxa"/>
            <w:vAlign w:val="bottom"/>
            <w:tcBorders>
              <w:bottom w:val="single" w:sz="8" w:color="005CB9"/>
            </w:tcBorders>
            <w:shd w:val="clear" w:color="auto" w:fill="005CB9"/>
          </w:tcPr>
          <w:p>
            <w:pPr>
              <w:spacing w:after="0"/>
              <w:rPr>
                <w:sz w:val="23"/>
                <w:szCs w:val="23"/>
                <w:color w:val="auto"/>
              </w:rPr>
            </w:pPr>
          </w:p>
        </w:tc>
        <w:tc>
          <w:tcPr>
            <w:tcW w:w="1000" w:type="dxa"/>
            <w:vAlign w:val="bottom"/>
            <w:tcBorders>
              <w:bottom w:val="single" w:sz="8" w:color="005CB9"/>
            </w:tcBorders>
            <w:shd w:val="clear" w:color="auto" w:fill="005CB9"/>
          </w:tcPr>
          <w:p>
            <w:pPr>
              <w:spacing w:after="0"/>
              <w:rPr>
                <w:sz w:val="23"/>
                <w:szCs w:val="23"/>
                <w:color w:val="auto"/>
              </w:rPr>
            </w:pPr>
          </w:p>
        </w:tc>
        <w:tc>
          <w:tcPr>
            <w:tcW w:w="1660" w:type="dxa"/>
            <w:vAlign w:val="bottom"/>
            <w:tcBorders>
              <w:bottom w:val="single" w:sz="8" w:color="005CB9"/>
            </w:tcBorders>
            <w:shd w:val="clear" w:color="auto" w:fill="005CB9"/>
          </w:tcPr>
          <w:p>
            <w:pPr>
              <w:spacing w:after="0"/>
              <w:rPr>
                <w:sz w:val="23"/>
                <w:szCs w:val="23"/>
                <w:color w:val="auto"/>
              </w:rPr>
            </w:pPr>
          </w:p>
        </w:tc>
        <w:tc>
          <w:tcPr>
            <w:tcW w:w="3640" w:type="dxa"/>
            <w:vAlign w:val="bottom"/>
            <w:tcBorders>
              <w:bottom w:val="single" w:sz="8" w:color="005CB9"/>
            </w:tcBorders>
            <w:shd w:val="clear" w:color="auto" w:fill="005CB9"/>
          </w:tcPr>
          <w:p>
            <w:pPr>
              <w:ind w:left="180"/>
              <w:spacing w:after="0"/>
              <w:rPr>
                <w:sz w:val="20"/>
                <w:szCs w:val="20"/>
                <w:color w:val="auto"/>
              </w:rPr>
            </w:pPr>
            <w:r>
              <w:rPr>
                <w:rFonts w:ascii="Arial" w:cs="Arial" w:eastAsia="Arial" w:hAnsi="Arial"/>
                <w:sz w:val="14"/>
                <w:szCs w:val="14"/>
                <w:b w:val="1"/>
                <w:bCs w:val="1"/>
                <w:color w:val="FFFFFF"/>
              </w:rPr>
              <w:t>Board Recommendations</w:t>
            </w:r>
          </w:p>
        </w:tc>
      </w:tr>
      <w:tr>
        <w:trPr>
          <w:trHeight w:val="218"/>
        </w:trPr>
        <w:tc>
          <w:tcPr>
            <w:tcW w:w="5620" w:type="dxa"/>
            <w:vAlign w:val="bottom"/>
            <w:gridSpan w:val="3"/>
          </w:tcPr>
          <w:p>
            <w:pPr>
              <w:ind w:left="160"/>
              <w:spacing w:after="0"/>
              <w:rPr>
                <w:sz w:val="20"/>
                <w:szCs w:val="20"/>
                <w:color w:val="auto"/>
              </w:rPr>
            </w:pPr>
            <w:r>
              <w:rPr>
                <w:rFonts w:ascii="Arial" w:cs="Arial" w:eastAsia="Arial" w:hAnsi="Arial"/>
                <w:sz w:val="14"/>
                <w:szCs w:val="14"/>
                <w:color w:val="auto"/>
              </w:rPr>
              <w:t>1.   Election of the 11 director nominees named in the accompanying proxy statement</w:t>
            </w:r>
          </w:p>
        </w:tc>
        <w:tc>
          <w:tcPr>
            <w:tcW w:w="530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each of the 11 director nominees named in the accompanying proxy</w:t>
            </w:r>
          </w:p>
        </w:tc>
      </w:tr>
      <w:tr>
        <w:trPr>
          <w:trHeight w:val="189"/>
        </w:trPr>
        <w:tc>
          <w:tcPr>
            <w:tcW w:w="3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ind w:left="120"/>
              <w:spacing w:after="0"/>
              <w:rPr>
                <w:sz w:val="20"/>
                <w:szCs w:val="20"/>
                <w:color w:val="auto"/>
              </w:rPr>
            </w:pPr>
            <w:r>
              <w:rPr>
                <w:rFonts w:ascii="Arial" w:cs="Arial" w:eastAsia="Arial" w:hAnsi="Arial"/>
                <w:sz w:val="14"/>
                <w:szCs w:val="14"/>
                <w:color w:val="auto"/>
              </w:rPr>
              <w:t>statement</w:t>
            </w:r>
          </w:p>
        </w:tc>
        <w:tc>
          <w:tcPr>
            <w:tcW w:w="3640" w:type="dxa"/>
            <w:vAlign w:val="bottom"/>
          </w:tcPr>
          <w:p>
            <w:pPr>
              <w:spacing w:after="0"/>
              <w:rPr>
                <w:sz w:val="16"/>
                <w:szCs w:val="16"/>
                <w:color w:val="auto"/>
              </w:rPr>
            </w:pPr>
          </w:p>
        </w:tc>
      </w:tr>
      <w:tr>
        <w:trPr>
          <w:trHeight w:val="48"/>
        </w:trPr>
        <w:tc>
          <w:tcPr>
            <w:tcW w:w="5620" w:type="dxa"/>
            <w:vAlign w:val="bottom"/>
            <w:tcBorders>
              <w:bottom w:val="single" w:sz="8" w:color="7F7F7F"/>
            </w:tcBorders>
            <w:gridSpan w:val="3"/>
          </w:tcPr>
          <w:p>
            <w:pPr>
              <w:spacing w:after="0"/>
              <w:rPr>
                <w:sz w:val="4"/>
                <w:szCs w:val="4"/>
                <w:color w:val="auto"/>
              </w:rPr>
            </w:pPr>
          </w:p>
        </w:tc>
        <w:tc>
          <w:tcPr>
            <w:tcW w:w="5300" w:type="dxa"/>
            <w:vAlign w:val="bottom"/>
            <w:tcBorders>
              <w:bottom w:val="single" w:sz="8" w:color="7F7F7F"/>
            </w:tcBorders>
            <w:gridSpan w:val="2"/>
          </w:tcPr>
          <w:p>
            <w:pPr>
              <w:spacing w:after="0"/>
              <w:rPr>
                <w:sz w:val="4"/>
                <w:szCs w:val="4"/>
                <w:color w:val="auto"/>
              </w:rPr>
            </w:pPr>
          </w:p>
        </w:tc>
      </w:tr>
      <w:tr>
        <w:trPr>
          <w:trHeight w:val="279"/>
        </w:trPr>
        <w:tc>
          <w:tcPr>
            <w:tcW w:w="5620" w:type="dxa"/>
            <w:vAlign w:val="bottom"/>
            <w:tcBorders>
              <w:bottom w:val="single" w:sz="8" w:color="F2F2F2"/>
            </w:tcBorders>
            <w:gridSpan w:val="3"/>
            <w:shd w:val="clear" w:color="auto" w:fill="F2F2F2"/>
          </w:tcPr>
          <w:p>
            <w:pPr>
              <w:ind w:left="160"/>
              <w:spacing w:after="0"/>
              <w:rPr>
                <w:sz w:val="20"/>
                <w:szCs w:val="20"/>
                <w:color w:val="auto"/>
              </w:rPr>
            </w:pPr>
            <w:r>
              <w:rPr>
                <w:rFonts w:ascii="Arial" w:cs="Arial" w:eastAsia="Arial" w:hAnsi="Arial"/>
                <w:sz w:val="14"/>
                <w:szCs w:val="14"/>
                <w:color w:val="auto"/>
              </w:rPr>
              <w:t>2.   Ratification of appointment of independent registered public accounting firm</w:t>
            </w:r>
          </w:p>
        </w:tc>
        <w:tc>
          <w:tcPr>
            <w:tcW w:w="5300" w:type="dxa"/>
            <w:vAlign w:val="bottom"/>
            <w:tcBorders>
              <w:bottom w:val="single" w:sz="8" w:color="F2F2F2"/>
            </w:tcBorders>
            <w:gridSpan w:val="2"/>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ratification of appointment of independent registered public accounting firm</w:t>
            </w:r>
          </w:p>
        </w:tc>
      </w:tr>
      <w:tr>
        <w:trPr>
          <w:trHeight w:val="233"/>
        </w:trPr>
        <w:tc>
          <w:tcPr>
            <w:tcW w:w="3700" w:type="dxa"/>
            <w:vAlign w:val="bottom"/>
            <w:tcBorders>
              <w:top w:val="single" w:sz="8" w:color="7F7F7F"/>
            </w:tcBorders>
          </w:tcPr>
          <w:p>
            <w:pPr>
              <w:ind w:left="160"/>
              <w:spacing w:after="0"/>
              <w:rPr>
                <w:sz w:val="20"/>
                <w:szCs w:val="20"/>
                <w:color w:val="auto"/>
              </w:rPr>
            </w:pPr>
            <w:r>
              <w:rPr>
                <w:rFonts w:ascii="Arial" w:cs="Arial" w:eastAsia="Arial" w:hAnsi="Arial"/>
                <w:sz w:val="14"/>
                <w:szCs w:val="14"/>
                <w:color w:val="auto"/>
              </w:rPr>
              <w:t>3.   Advisory approval of our executive compensation</w:t>
            </w:r>
          </w:p>
        </w:tc>
        <w:tc>
          <w:tcPr>
            <w:tcW w:w="920" w:type="dxa"/>
            <w:vAlign w:val="bottom"/>
            <w:tcBorders>
              <w:top w:val="single" w:sz="8" w:color="7F7F7F"/>
            </w:tcBorders>
          </w:tcPr>
          <w:p>
            <w:pPr>
              <w:spacing w:after="0"/>
              <w:rPr>
                <w:sz w:val="20"/>
                <w:szCs w:val="20"/>
                <w:color w:val="auto"/>
              </w:rPr>
            </w:pPr>
          </w:p>
        </w:tc>
        <w:tc>
          <w:tcPr>
            <w:tcW w:w="1000" w:type="dxa"/>
            <w:vAlign w:val="bottom"/>
            <w:tcBorders>
              <w:top w:val="single" w:sz="8" w:color="7F7F7F"/>
            </w:tcBorders>
          </w:tcPr>
          <w:p>
            <w:pPr>
              <w:spacing w:after="0"/>
              <w:rPr>
                <w:sz w:val="20"/>
                <w:szCs w:val="20"/>
                <w:color w:val="auto"/>
              </w:rPr>
            </w:pPr>
          </w:p>
        </w:tc>
        <w:tc>
          <w:tcPr>
            <w:tcW w:w="5300" w:type="dxa"/>
            <w:vAlign w:val="bottom"/>
            <w:tcBorders>
              <w:top w:val="single" w:sz="8" w:color="7F7F7F"/>
            </w:tcBorders>
            <w:gridSpan w:val="2"/>
          </w:tcPr>
          <w:p>
            <w:pPr>
              <w:ind w:left="1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advisory approval of our executive compensation</w:t>
            </w:r>
          </w:p>
        </w:tc>
      </w:tr>
      <w:tr>
        <w:trPr>
          <w:trHeight w:val="42"/>
        </w:trPr>
        <w:tc>
          <w:tcPr>
            <w:tcW w:w="4620" w:type="dxa"/>
            <w:vAlign w:val="bottom"/>
            <w:tcBorders>
              <w:bottom w:val="single" w:sz="8" w:color="7F7F7F"/>
            </w:tcBorders>
            <w:gridSpan w:val="2"/>
          </w:tcPr>
          <w:p>
            <w:pPr>
              <w:spacing w:after="0"/>
              <w:rPr>
                <w:sz w:val="3"/>
                <w:szCs w:val="3"/>
                <w:color w:val="auto"/>
              </w:rPr>
            </w:pPr>
          </w:p>
        </w:tc>
        <w:tc>
          <w:tcPr>
            <w:tcW w:w="1000" w:type="dxa"/>
            <w:vAlign w:val="bottom"/>
            <w:tcBorders>
              <w:bottom w:val="single" w:sz="8" w:color="7F7F7F"/>
            </w:tcBorders>
          </w:tcPr>
          <w:p>
            <w:pPr>
              <w:spacing w:after="0"/>
              <w:rPr>
                <w:sz w:val="3"/>
                <w:szCs w:val="3"/>
                <w:color w:val="auto"/>
              </w:rPr>
            </w:pPr>
          </w:p>
        </w:tc>
        <w:tc>
          <w:tcPr>
            <w:tcW w:w="5300" w:type="dxa"/>
            <w:vAlign w:val="bottom"/>
            <w:tcBorders>
              <w:bottom w:val="single" w:sz="8" w:color="7F7F7F"/>
            </w:tcBorders>
            <w:gridSpan w:val="2"/>
          </w:tcPr>
          <w:p>
            <w:pPr>
              <w:spacing w:after="0"/>
              <w:rPr>
                <w:sz w:val="3"/>
                <w:szCs w:val="3"/>
                <w:color w:val="auto"/>
              </w:rPr>
            </w:pPr>
          </w:p>
        </w:tc>
      </w:tr>
      <w:tr>
        <w:trPr>
          <w:trHeight w:val="254"/>
        </w:trPr>
        <w:tc>
          <w:tcPr>
            <w:tcW w:w="4620" w:type="dxa"/>
            <w:vAlign w:val="bottom"/>
            <w:tcBorders>
              <w:bottom w:val="single" w:sz="8" w:color="F2F2F2"/>
            </w:tcBorders>
            <w:gridSpan w:val="2"/>
            <w:shd w:val="clear" w:color="auto" w:fill="F2F2F2"/>
          </w:tcPr>
          <w:p>
            <w:pPr>
              <w:ind w:left="160"/>
              <w:spacing w:after="0"/>
              <w:rPr>
                <w:sz w:val="20"/>
                <w:szCs w:val="20"/>
                <w:color w:val="auto"/>
              </w:rPr>
            </w:pPr>
            <w:r>
              <w:rPr>
                <w:rFonts w:ascii="Arial" w:cs="Arial" w:eastAsia="Arial" w:hAnsi="Arial"/>
                <w:sz w:val="14"/>
                <w:szCs w:val="14"/>
                <w:color w:val="auto"/>
              </w:rPr>
              <w:t>4.   Shareholder proposal requesting an independent board chairman</w:t>
            </w:r>
          </w:p>
        </w:tc>
        <w:tc>
          <w:tcPr>
            <w:tcW w:w="1000" w:type="dxa"/>
            <w:vAlign w:val="bottom"/>
            <w:tcBorders>
              <w:bottom w:val="single" w:sz="8" w:color="F2F2F2"/>
            </w:tcBorders>
            <w:shd w:val="clear" w:color="auto" w:fill="F2F2F2"/>
          </w:tcPr>
          <w:p>
            <w:pPr>
              <w:spacing w:after="0"/>
              <w:rPr>
                <w:sz w:val="22"/>
                <w:szCs w:val="22"/>
                <w:color w:val="auto"/>
              </w:rPr>
            </w:pPr>
          </w:p>
        </w:tc>
        <w:tc>
          <w:tcPr>
            <w:tcW w:w="5300" w:type="dxa"/>
            <w:vAlign w:val="bottom"/>
            <w:tcBorders>
              <w:bottom w:val="single" w:sz="8" w:color="F2F2F2"/>
            </w:tcBorders>
            <w:gridSpan w:val="2"/>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AGAINST </w:t>
            </w:r>
            <w:r>
              <w:rPr>
                <w:rFonts w:ascii="Arial" w:cs="Arial" w:eastAsia="Arial" w:hAnsi="Arial"/>
                <w:sz w:val="14"/>
                <w:szCs w:val="14"/>
                <w:color w:val="auto"/>
              </w:rPr>
              <w:t>shareholder proposal requesting an independent board chairman</w:t>
            </w:r>
          </w:p>
        </w:tc>
      </w:tr>
      <w:tr>
        <w:trPr>
          <w:trHeight w:val="20"/>
        </w:trPr>
        <w:tc>
          <w:tcPr>
            <w:tcW w:w="3700" w:type="dxa"/>
            <w:vAlign w:val="bottom"/>
            <w:shd w:val="clear" w:color="auto" w:fill="7F7F7F"/>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1000" w:type="dxa"/>
            <w:vAlign w:val="bottom"/>
            <w:shd w:val="clear" w:color="auto" w:fill="7F7F7F"/>
          </w:tcPr>
          <w:p>
            <w:pPr>
              <w:spacing w:after="0" w:line="20" w:lineRule="exact"/>
              <w:rPr>
                <w:sz w:val="1"/>
                <w:szCs w:val="1"/>
                <w:color w:val="auto"/>
              </w:rPr>
            </w:pPr>
          </w:p>
        </w:tc>
        <w:tc>
          <w:tcPr>
            <w:tcW w:w="1660" w:type="dxa"/>
            <w:vAlign w:val="bottom"/>
            <w:shd w:val="clear" w:color="auto" w:fill="7F7F7F"/>
          </w:tcPr>
          <w:p>
            <w:pPr>
              <w:spacing w:after="0" w:line="20" w:lineRule="exact"/>
              <w:rPr>
                <w:sz w:val="1"/>
                <w:szCs w:val="1"/>
                <w:color w:val="auto"/>
              </w:rPr>
            </w:pPr>
          </w:p>
        </w:tc>
        <w:tc>
          <w:tcPr>
            <w:tcW w:w="3640" w:type="dxa"/>
            <w:vAlign w:val="bottom"/>
            <w:shd w:val="clear" w:color="auto" w:fill="7F7F7F"/>
          </w:tcPr>
          <w:p>
            <w:pPr>
              <w:spacing w:after="0" w:line="20" w:lineRule="exact"/>
              <w:rPr>
                <w:sz w:val="1"/>
                <w:szCs w:val="1"/>
                <w:color w:val="auto"/>
              </w:rPr>
            </w:pPr>
          </w:p>
        </w:tc>
      </w:tr>
    </w:tbl>
    <w:p>
      <w:pPr>
        <w:spacing w:after="0" w:line="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Consideration of other matters that may properly come before the meeting and any adjournments or postponements thereof,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69297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67" w:lineRule="exact"/>
        <w:rPr>
          <w:sz w:val="20"/>
          <w:szCs w:val="20"/>
          <w:color w:val="auto"/>
        </w:rPr>
      </w:pPr>
    </w:p>
    <w:p>
      <w:pPr>
        <w:ind w:left="160" w:right="100"/>
        <w:spacing w:after="0" w:line="253" w:lineRule="auto"/>
        <w:rPr>
          <w:sz w:val="20"/>
          <w:szCs w:val="20"/>
          <w:color w:val="auto"/>
        </w:rPr>
      </w:pPr>
      <w:r>
        <w:rPr>
          <w:rFonts w:ascii="Arial" w:cs="Arial" w:eastAsia="Arial" w:hAnsi="Arial"/>
          <w:sz w:val="14"/>
          <w:szCs w:val="14"/>
          <w:color w:val="auto"/>
        </w:rPr>
        <w:t>The 2026 annual meeting of shareholders of Sempra (Annual Shareholders Meeting) will be conducted online via live audiovisual webcast at www.virtualshareholdermeeting.com/SRE2026. The meeting will begin promptly at 9 a.m. Pacific Time and we encourage you to access the meeting site and enter your 16-digit control number prior to the meeting start time. Online check-in will begin at 8:30 a.m. Pacific Time, and you should allow ample time for check-in procedures on the day of the meeting.</w:t>
      </w:r>
    </w:p>
    <w:p>
      <w:pPr>
        <w:spacing w:after="0" w:line="70" w:lineRule="exact"/>
        <w:rPr>
          <w:sz w:val="20"/>
          <w:szCs w:val="20"/>
          <w:color w:val="auto"/>
        </w:rPr>
      </w:pPr>
    </w:p>
    <w:p>
      <w:pPr>
        <w:ind w:left="160" w:right="180"/>
        <w:spacing w:after="0" w:line="246" w:lineRule="auto"/>
        <w:rPr>
          <w:sz w:val="20"/>
          <w:szCs w:val="20"/>
          <w:color w:val="auto"/>
        </w:rPr>
      </w:pPr>
      <w:r>
        <w:rPr>
          <w:rFonts w:ascii="Arial" w:cs="Arial" w:eastAsia="Arial" w:hAnsi="Arial"/>
          <w:sz w:val="14"/>
          <w:szCs w:val="14"/>
          <w:color w:val="auto"/>
        </w:rPr>
        <w:t>If you were a shareholder as of the record date for the meeting, you are eligible to participate in the Annual Shareholders Meeting, including to submit questions at and in advance of the meeting and vote your shares at the meeting prior to the closing of the polls. You can attend the meeting by logging into the meeting site using the 16-digit control number shown on your notice about the Internet availability of our proxy materials, proxy card or voting instruction form. If you are a beneficial owner of shares held through a bank, broker or other nominee and your voting instruction form does not indicate that you may vote your shares through www.proxyvote.com, please follow the specific instructions provided by your bank, broker or other nominee to obtain a 16-digit control number that may be used to log into the meeting site. Owners of shares in any of the Employee Savings Plans, as defined in the accompanying proxy statement, may submit questions at and in advance of the meeting but will not be able to vote these shares at the meeting.</w:t>
      </w:r>
    </w:p>
    <w:p>
      <w:pPr>
        <w:spacing w:after="0" w:line="75" w:lineRule="exact"/>
        <w:rPr>
          <w:sz w:val="20"/>
          <w:szCs w:val="20"/>
          <w:color w:val="auto"/>
        </w:rPr>
      </w:pPr>
    </w:p>
    <w:p>
      <w:pPr>
        <w:ind w:left="160" w:right="40"/>
        <w:spacing w:after="0" w:line="246" w:lineRule="auto"/>
        <w:rPr>
          <w:sz w:val="20"/>
          <w:szCs w:val="20"/>
          <w:color w:val="auto"/>
        </w:rPr>
      </w:pPr>
      <w:r>
        <w:rPr>
          <w:rFonts w:ascii="Arial" w:cs="Arial" w:eastAsia="Arial" w:hAnsi="Arial"/>
          <w:sz w:val="14"/>
          <w:szCs w:val="14"/>
          <w:color w:val="auto"/>
        </w:rPr>
        <w:t>Your vote is important. Whether or not you plan to attend the Annual Shareholders Meeting, we encourage you to read the accompanying proxy statement and vote your shares in advance of the meeting. To do so, you may vote via the Internet, by telephone or, if you received a paper copy of our proxy materials, by mail. Internet and telephone voting for holders of record will be available until 11:59 p.m. Eastern Time on May 11, 2026. For specific instructions on how to attend and participate in the Annual Shareholders Meeting, see “About the Annual Shareholders Meeting and Voting” in the accompanying proxy statement, the instructions on your notice about the Internet availability of our proxy materials, proxy card or voting instruction form, and the additional instructions that are or will be posted at www.proxyvote.com. Our proxy materials, including this Notice of Annual Shareholders Meeting and the accompanying proxy statement and form of proxy card or voting instruction form, are being provided to shareholders beginning on March 27, 2026.</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Diana L. Day</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132715</wp:posOffset>
            </wp:positionV>
            <wp:extent cx="6938010" cy="704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8010" cy="704850"/>
                    </a:xfrm>
                    <a:prstGeom prst="rect">
                      <a:avLst/>
                    </a:prstGeom>
                    <a:noFill/>
                  </pic:spPr>
                </pic:pic>
              </a:graphicData>
            </a:graphic>
          </wp:anchor>
        </w:drawing>
      </w:r>
    </w:p>
    <w:p>
      <w:pPr>
        <w:spacing w:after="0" w:line="282"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FFFFFF"/>
        </w:rPr>
        <w:t>Important Notice Regarding the Availability of Proxy Materials for the</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FFFFFF"/>
        </w:rPr>
        <w:t>Annual Shareholders Meeting to be Held on May 12, 2026.</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FFFFFF"/>
        </w:rPr>
        <w:t>This Notice of Annual Shareholders Meeting, the accompanying Proxy Statement, the Proxy Card and the</w:t>
      </w:r>
    </w:p>
    <w:p>
      <w:pPr>
        <w:spacing w:after="0" w:line="19"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FFFFFF"/>
        </w:rPr>
        <w:t>Annual Report to Shareholders are available on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187960</wp:posOffset>
            </wp:positionV>
            <wp:extent cx="6929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297815</wp:posOffset>
            </wp:positionV>
            <wp:extent cx="739140" cy="144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1</w:t>
      </w:r>
    </w:p>
    <w:p>
      <w:pPr>
        <w:sectPr>
          <w:pgSz w:w="11900" w:h="16838" w:orient="portrait"/>
          <w:cols w:equalWidth="0" w:num="1">
            <w:col w:w="11080"/>
          </w:cols>
          <w:pgMar w:left="320" w:top="478" w:right="4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Proxy Statement Summary</w:t>
      </w:r>
    </w:p>
    <w:p>
      <w:pPr>
        <w:spacing w:after="0" w:line="349" w:lineRule="exact"/>
        <w:rPr>
          <w:sz w:val="20"/>
          <w:szCs w:val="20"/>
          <w:color w:val="auto"/>
        </w:rPr>
      </w:pPr>
    </w:p>
    <w:p>
      <w:pPr>
        <w:ind w:left="160" w:right="20"/>
        <w:spacing w:after="0" w:line="243" w:lineRule="auto"/>
        <w:rPr>
          <w:sz w:val="20"/>
          <w:szCs w:val="20"/>
          <w:color w:val="auto"/>
        </w:rPr>
      </w:pPr>
      <w:r>
        <w:rPr>
          <w:rFonts w:ascii="Arial" w:cs="Arial" w:eastAsia="Arial" w:hAnsi="Arial"/>
          <w:sz w:val="14"/>
          <w:szCs w:val="14"/>
          <w:color w:val="auto"/>
        </w:rPr>
        <w:t>This proxy statement is being provided in connection with the 2026 annual meeting of shareholders of Sempra (Annual Shareholders Meeting). This summary highlights selected information to assist you in your review of this proxy statement. It does not contain all the information you should consider, and you should read the entire proxy statement carefully before voting. More information regarding the performance of Sempra is available in the company’s Annual Report to Shareholders for the year ended December 31, 2025, which accompanies this proxy statement and is available on the Internet on the company’s website at www.sempra.com/2026-annual-meeting, at www.proxyvote.com and on the SEC’s website at www.sec.gov. For additional information about the Annual Shareholders Meeting and voting, see “About the Annual Shareholders Meeting and Voting” below. This proxy statement and the accompanying form of proxy card or voting instruction form are first being made available to shareholders on March 27, 2026. All share and per share information in this proxy statement reflects the two-for-one split of our common stock in the form of a 100% stock dividend that was distributed to shareholders on August 21, 2023. All website references in our proxy materials are inactive textual references, and the information on, or that can be accessed through, such websites does not constitute a part of these materials. This proxy statement contains forward-looking statements within the meaning of the Private Securities Litigation Reform Act of 1995, which are subject to risks and uncertainties. See Appendix C to this proxy statement for more information.</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Annual Shareholders Meeting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158115</wp:posOffset>
            </wp:positionV>
            <wp:extent cx="69297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53" w:lineRule="exact"/>
        <w:rPr>
          <w:sz w:val="20"/>
          <w:szCs w:val="20"/>
          <w:color w:val="auto"/>
        </w:rPr>
      </w:pPr>
    </w:p>
    <w:p>
      <w:pPr>
        <w:ind w:left="160"/>
        <w:spacing w:after="0"/>
        <w:tabs>
          <w:tab w:leader="none" w:pos="5840" w:val="left"/>
        </w:tabs>
        <w:rPr>
          <w:sz w:val="20"/>
          <w:szCs w:val="20"/>
          <w:color w:val="auto"/>
        </w:rPr>
      </w:pPr>
      <w:r>
        <w:rPr>
          <w:rFonts w:ascii="Arial" w:cs="Arial" w:eastAsia="Arial" w:hAnsi="Arial"/>
          <w:sz w:val="14"/>
          <w:szCs w:val="14"/>
          <w:b w:val="1"/>
          <w:bCs w:val="1"/>
          <w:color w:val="005CB9"/>
        </w:rPr>
        <w:t xml:space="preserve">DATE AND TIME: </w:t>
      </w:r>
      <w:r>
        <w:rPr>
          <w:rFonts w:ascii="Arial" w:cs="Arial" w:eastAsia="Arial" w:hAnsi="Arial"/>
          <w:sz w:val="14"/>
          <w:szCs w:val="14"/>
          <w:color w:val="000000"/>
        </w:rPr>
        <w:t>Tuesday, May 12, 2026 at 9 a.m. Pacific Time</w:t>
      </w:r>
      <w:r>
        <w:rPr>
          <w:sz w:val="20"/>
          <w:szCs w:val="20"/>
          <w:color w:val="auto"/>
        </w:rPr>
        <w:tab/>
      </w:r>
      <w:r>
        <w:rPr>
          <w:rFonts w:ascii="Arial" w:cs="Arial" w:eastAsia="Arial" w:hAnsi="Arial"/>
          <w:sz w:val="14"/>
          <w:szCs w:val="14"/>
          <w:b w:val="1"/>
          <w:bCs w:val="1"/>
          <w:color w:val="005CB9"/>
        </w:rPr>
        <w:t xml:space="preserve">LOCATION: </w:t>
      </w:r>
      <w:r>
        <w:rPr>
          <w:rFonts w:ascii="Arial" w:cs="Arial" w:eastAsia="Arial" w:hAnsi="Arial"/>
          <w:sz w:val="14"/>
          <w:szCs w:val="14"/>
          <w:color w:val="000000"/>
        </w:rPr>
        <w:t>www.virtualshareholdermeeting.com/SRE2026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90805</wp:posOffset>
            </wp:positionV>
            <wp:extent cx="6929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2"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Shareholder Voting Matters</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100" w:type="dxa"/>
            <w:vAlign w:val="bottom"/>
            <w:shd w:val="clear" w:color="auto" w:fill="005CB9"/>
          </w:tcPr>
          <w:p>
            <w:pPr>
              <w:spacing w:after="0"/>
              <w:rPr>
                <w:sz w:val="18"/>
                <w:szCs w:val="18"/>
                <w:color w:val="auto"/>
              </w:rPr>
            </w:pPr>
          </w:p>
        </w:tc>
        <w:tc>
          <w:tcPr>
            <w:tcW w:w="1660" w:type="dxa"/>
            <w:vAlign w:val="bottom"/>
            <w:shd w:val="clear" w:color="auto" w:fill="005CB9"/>
          </w:tcPr>
          <w:p>
            <w:pPr>
              <w:spacing w:after="0"/>
              <w:rPr>
                <w:sz w:val="18"/>
                <w:szCs w:val="18"/>
                <w:color w:val="auto"/>
              </w:rPr>
            </w:pPr>
          </w:p>
        </w:tc>
        <w:tc>
          <w:tcPr>
            <w:tcW w:w="1880" w:type="dxa"/>
            <w:vAlign w:val="bottom"/>
            <w:shd w:val="clear" w:color="auto" w:fill="005CB9"/>
          </w:tcPr>
          <w:p>
            <w:pPr>
              <w:jc w:val="center"/>
              <w:ind w:left="109"/>
              <w:spacing w:after="0"/>
              <w:rPr>
                <w:sz w:val="20"/>
                <w:szCs w:val="20"/>
                <w:color w:val="auto"/>
              </w:rPr>
            </w:pPr>
            <w:r>
              <w:rPr>
                <w:rFonts w:ascii="Arial" w:cs="Arial" w:eastAsia="Arial" w:hAnsi="Arial"/>
                <w:sz w:val="14"/>
                <w:szCs w:val="14"/>
                <w:b w:val="1"/>
                <w:bCs w:val="1"/>
                <w:color w:val="FFFFFF"/>
              </w:rPr>
              <w:t>Board’s</w:t>
            </w:r>
          </w:p>
        </w:tc>
        <w:tc>
          <w:tcPr>
            <w:tcW w:w="1780" w:type="dxa"/>
            <w:vAlign w:val="bottom"/>
            <w:shd w:val="clear" w:color="auto" w:fill="005CB9"/>
          </w:tcPr>
          <w:p>
            <w:pPr>
              <w:spacing w:after="0"/>
              <w:rPr>
                <w:sz w:val="18"/>
                <w:szCs w:val="18"/>
                <w:color w:val="auto"/>
              </w:rPr>
            </w:pPr>
          </w:p>
        </w:tc>
        <w:tc>
          <w:tcPr>
            <w:tcW w:w="160" w:type="dxa"/>
            <w:vAlign w:val="bottom"/>
            <w:shd w:val="clear" w:color="auto" w:fill="005CB9"/>
          </w:tcPr>
          <w:p>
            <w:pPr>
              <w:spacing w:after="0"/>
              <w:rPr>
                <w:sz w:val="18"/>
                <w:szCs w:val="18"/>
                <w:color w:val="auto"/>
              </w:rPr>
            </w:pPr>
          </w:p>
        </w:tc>
        <w:tc>
          <w:tcPr>
            <w:tcW w:w="640" w:type="dxa"/>
            <w:vAlign w:val="bottom"/>
            <w:shd w:val="clear" w:color="auto" w:fill="005CB9"/>
          </w:tcPr>
          <w:p>
            <w:pPr>
              <w:spacing w:after="0"/>
              <w:rPr>
                <w:sz w:val="18"/>
                <w:szCs w:val="18"/>
                <w:color w:val="auto"/>
              </w:rPr>
            </w:pPr>
          </w:p>
        </w:tc>
        <w:tc>
          <w:tcPr>
            <w:tcW w:w="160" w:type="dxa"/>
            <w:vAlign w:val="bottom"/>
            <w:shd w:val="clear" w:color="auto" w:fill="005CB9"/>
          </w:tcPr>
          <w:p>
            <w:pPr>
              <w:spacing w:after="0"/>
              <w:rPr>
                <w:sz w:val="18"/>
                <w:szCs w:val="18"/>
                <w:color w:val="auto"/>
              </w:rPr>
            </w:pPr>
          </w:p>
        </w:tc>
        <w:tc>
          <w:tcPr>
            <w:tcW w:w="2540" w:type="dxa"/>
            <w:vAlign w:val="bottom"/>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100" w:type="dxa"/>
            <w:vAlign w:val="bottom"/>
            <w:tcBorders>
              <w:bottom w:val="single" w:sz="8" w:color="005CB9"/>
            </w:tcBorders>
            <w:shd w:val="clear" w:color="auto" w:fill="005CB9"/>
          </w:tcPr>
          <w:p>
            <w:pPr>
              <w:ind w:left="120"/>
              <w:spacing w:after="0"/>
              <w:rPr>
                <w:sz w:val="20"/>
                <w:szCs w:val="20"/>
                <w:color w:val="auto"/>
              </w:rPr>
            </w:pPr>
            <w:r>
              <w:rPr>
                <w:rFonts w:ascii="Arial" w:cs="Arial" w:eastAsia="Arial" w:hAnsi="Arial"/>
                <w:sz w:val="14"/>
                <w:szCs w:val="14"/>
                <w:b w:val="1"/>
                <w:bCs w:val="1"/>
                <w:color w:val="FFFFFF"/>
              </w:rPr>
              <w:t>Business Items</w:t>
            </w:r>
          </w:p>
        </w:tc>
        <w:tc>
          <w:tcPr>
            <w:tcW w:w="1660" w:type="dxa"/>
            <w:vAlign w:val="bottom"/>
            <w:tcBorders>
              <w:bottom w:val="single" w:sz="8" w:color="005CB9"/>
            </w:tcBorders>
            <w:shd w:val="clear" w:color="auto" w:fill="005CB9"/>
          </w:tcPr>
          <w:p>
            <w:pPr>
              <w:spacing w:after="0"/>
              <w:rPr>
                <w:sz w:val="18"/>
                <w:szCs w:val="18"/>
                <w:color w:val="auto"/>
              </w:rPr>
            </w:pPr>
          </w:p>
        </w:tc>
        <w:tc>
          <w:tcPr>
            <w:tcW w:w="1880" w:type="dxa"/>
            <w:vAlign w:val="bottom"/>
            <w:tcBorders>
              <w:bottom w:val="single" w:sz="8" w:color="005CB9"/>
            </w:tcBorders>
            <w:shd w:val="clear" w:color="auto" w:fill="005CB9"/>
          </w:tcPr>
          <w:p>
            <w:pPr>
              <w:jc w:val="center"/>
              <w:ind w:left="109"/>
              <w:spacing w:after="0"/>
              <w:rPr>
                <w:sz w:val="20"/>
                <w:szCs w:val="20"/>
                <w:color w:val="auto"/>
              </w:rPr>
            </w:pPr>
            <w:r>
              <w:rPr>
                <w:rFonts w:ascii="Arial" w:cs="Arial" w:eastAsia="Arial" w:hAnsi="Arial"/>
                <w:sz w:val="14"/>
                <w:szCs w:val="14"/>
                <w:b w:val="1"/>
                <w:bCs w:val="1"/>
                <w:color w:val="FFFFFF"/>
              </w:rPr>
              <w:t>Recommendation</w:t>
            </w:r>
          </w:p>
        </w:tc>
        <w:tc>
          <w:tcPr>
            <w:tcW w:w="1780" w:type="dxa"/>
            <w:vAlign w:val="bottom"/>
            <w:tcBorders>
              <w:bottom w:val="single" w:sz="8" w:color="005CB9"/>
            </w:tcBorders>
            <w:shd w:val="clear" w:color="auto" w:fill="005CB9"/>
          </w:tcPr>
          <w:p>
            <w:pPr>
              <w:spacing w:after="0"/>
              <w:rPr>
                <w:sz w:val="18"/>
                <w:szCs w:val="18"/>
                <w:color w:val="auto"/>
              </w:rPr>
            </w:pPr>
          </w:p>
        </w:tc>
        <w:tc>
          <w:tcPr>
            <w:tcW w:w="160" w:type="dxa"/>
            <w:vAlign w:val="bottom"/>
            <w:tcBorders>
              <w:bottom w:val="single" w:sz="8" w:color="005CB9"/>
            </w:tcBorders>
            <w:shd w:val="clear" w:color="auto" w:fill="005CB9"/>
          </w:tcPr>
          <w:p>
            <w:pPr>
              <w:spacing w:after="0"/>
              <w:rPr>
                <w:sz w:val="18"/>
                <w:szCs w:val="18"/>
                <w:color w:val="auto"/>
              </w:rPr>
            </w:pPr>
          </w:p>
        </w:tc>
        <w:tc>
          <w:tcPr>
            <w:tcW w:w="3340" w:type="dxa"/>
            <w:vAlign w:val="bottom"/>
            <w:tcBorders>
              <w:bottom w:val="single" w:sz="8" w:color="005CB9"/>
            </w:tcBorders>
            <w:gridSpan w:val="3"/>
            <w:shd w:val="clear" w:color="auto" w:fill="005CB9"/>
          </w:tcPr>
          <w:p>
            <w:pPr>
              <w:ind w:left="420"/>
              <w:spacing w:after="0"/>
              <w:rPr>
                <w:sz w:val="20"/>
                <w:szCs w:val="20"/>
                <w:color w:val="auto"/>
              </w:rPr>
            </w:pPr>
            <w:r>
              <w:rPr>
                <w:rFonts w:ascii="Arial" w:cs="Arial" w:eastAsia="Arial" w:hAnsi="Arial"/>
                <w:sz w:val="14"/>
                <w:szCs w:val="14"/>
                <w:b w:val="1"/>
                <w:bCs w:val="1"/>
                <w:color w:val="FFFFFF"/>
              </w:rPr>
              <w:t>Rationale</w:t>
            </w:r>
          </w:p>
        </w:tc>
        <w:tc>
          <w:tcPr>
            <w:tcW w:w="0" w:type="dxa"/>
            <w:vAlign w:val="bottom"/>
          </w:tcPr>
          <w:p>
            <w:pPr>
              <w:spacing w:after="0"/>
              <w:rPr>
                <w:sz w:val="1"/>
                <w:szCs w:val="1"/>
                <w:color w:val="auto"/>
              </w:rPr>
            </w:pPr>
          </w:p>
        </w:tc>
      </w:tr>
      <w:tr>
        <w:trPr>
          <w:trHeight w:val="253"/>
        </w:trPr>
        <w:tc>
          <w:tcPr>
            <w:tcW w:w="2100" w:type="dxa"/>
            <w:vAlign w:val="bottom"/>
          </w:tcPr>
          <w:p>
            <w:pPr>
              <w:ind w:left="120"/>
              <w:spacing w:after="0"/>
              <w:rPr>
                <w:sz w:val="20"/>
                <w:szCs w:val="20"/>
                <w:color w:val="auto"/>
              </w:rPr>
            </w:pPr>
            <w:r>
              <w:rPr>
                <w:rFonts w:ascii="Arial" w:cs="Arial" w:eastAsia="Arial" w:hAnsi="Arial"/>
                <w:sz w:val="14"/>
                <w:szCs w:val="14"/>
                <w:b w:val="1"/>
                <w:bCs w:val="1"/>
                <w:color w:val="auto"/>
              </w:rPr>
              <w:t>BOARD PROPOSALS</w:t>
            </w:r>
          </w:p>
        </w:tc>
        <w:tc>
          <w:tcPr>
            <w:tcW w:w="1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2100" w:type="dxa"/>
            <w:vAlign w:val="bottom"/>
            <w:tcBorders>
              <w:bottom w:val="single" w:sz="8" w:color="7F7F7F"/>
            </w:tcBorders>
          </w:tcPr>
          <w:p>
            <w:pPr>
              <w:spacing w:after="0"/>
              <w:rPr>
                <w:sz w:val="3"/>
                <w:szCs w:val="3"/>
                <w:color w:val="auto"/>
              </w:rPr>
            </w:pPr>
          </w:p>
        </w:tc>
        <w:tc>
          <w:tcPr>
            <w:tcW w:w="1660" w:type="dxa"/>
            <w:vAlign w:val="bottom"/>
            <w:tcBorders>
              <w:bottom w:val="single" w:sz="8" w:color="7F7F7F"/>
            </w:tcBorders>
          </w:tcPr>
          <w:p>
            <w:pPr>
              <w:spacing w:after="0"/>
              <w:rPr>
                <w:sz w:val="3"/>
                <w:szCs w:val="3"/>
                <w:color w:val="auto"/>
              </w:rPr>
            </w:pPr>
          </w:p>
        </w:tc>
        <w:tc>
          <w:tcPr>
            <w:tcW w:w="1880" w:type="dxa"/>
            <w:vAlign w:val="bottom"/>
            <w:tcBorders>
              <w:bottom w:val="single" w:sz="8" w:color="7F7F7F"/>
            </w:tcBorders>
          </w:tcPr>
          <w:p>
            <w:pPr>
              <w:spacing w:after="0"/>
              <w:rPr>
                <w:sz w:val="3"/>
                <w:szCs w:val="3"/>
                <w:color w:val="auto"/>
              </w:rPr>
            </w:pPr>
          </w:p>
        </w:tc>
        <w:tc>
          <w:tcPr>
            <w:tcW w:w="17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5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F2F2F2"/>
          </w:tcPr>
          <w:p>
            <w:pPr>
              <w:spacing w:after="0"/>
              <w:rPr>
                <w:sz w:val="17"/>
                <w:szCs w:val="17"/>
                <w:color w:val="auto"/>
              </w:rPr>
            </w:pPr>
          </w:p>
        </w:tc>
        <w:tc>
          <w:tcPr>
            <w:tcW w:w="1660" w:type="dxa"/>
            <w:vAlign w:val="bottom"/>
            <w:shd w:val="clear" w:color="auto" w:fill="F2F2F2"/>
          </w:tcPr>
          <w:p>
            <w:pPr>
              <w:spacing w:after="0"/>
              <w:rPr>
                <w:sz w:val="17"/>
                <w:szCs w:val="17"/>
                <w:color w:val="auto"/>
              </w:rPr>
            </w:pPr>
          </w:p>
        </w:tc>
        <w:tc>
          <w:tcPr>
            <w:tcW w:w="1880" w:type="dxa"/>
            <w:vAlign w:val="bottom"/>
            <w:shd w:val="clear" w:color="auto" w:fill="F2F2F2"/>
          </w:tcPr>
          <w:p>
            <w:pPr>
              <w:spacing w:after="0"/>
              <w:rPr>
                <w:sz w:val="17"/>
                <w:szCs w:val="17"/>
                <w:color w:val="auto"/>
              </w:rPr>
            </w:pP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The board believes that each of the 11 director nominees possesses a broad</w:t>
            </w:r>
          </w:p>
        </w:tc>
        <w:tc>
          <w:tcPr>
            <w:tcW w:w="0" w:type="dxa"/>
            <w:vAlign w:val="bottom"/>
          </w:tcPr>
          <w:p>
            <w:pPr>
              <w:spacing w:after="0"/>
              <w:rPr>
                <w:sz w:val="1"/>
                <w:szCs w:val="1"/>
                <w:color w:val="auto"/>
              </w:rPr>
            </w:pPr>
          </w:p>
        </w:tc>
      </w:tr>
      <w:tr>
        <w:trPr>
          <w:trHeight w:val="160"/>
        </w:trPr>
        <w:tc>
          <w:tcPr>
            <w:tcW w:w="3760" w:type="dxa"/>
            <w:vAlign w:val="bottom"/>
            <w:gridSpan w:val="2"/>
            <w:vMerge w:val="restart"/>
            <w:shd w:val="clear" w:color="auto" w:fill="F2F2F2"/>
          </w:tcPr>
          <w:p>
            <w:pPr>
              <w:ind w:left="160"/>
              <w:spacing w:after="0"/>
              <w:rPr>
                <w:sz w:val="20"/>
                <w:szCs w:val="20"/>
                <w:color w:val="auto"/>
              </w:rPr>
            </w:pPr>
            <w:r>
              <w:rPr>
                <w:rFonts w:ascii="Arial" w:cs="Arial" w:eastAsia="Arial" w:hAnsi="Arial"/>
                <w:sz w:val="14"/>
                <w:szCs w:val="14"/>
                <w:color w:val="auto"/>
              </w:rPr>
              <w:t>1.   Election of the 11 director nominees named in this</w:t>
            </w:r>
          </w:p>
        </w:tc>
        <w:tc>
          <w:tcPr>
            <w:tcW w:w="1880" w:type="dxa"/>
            <w:vAlign w:val="bottom"/>
            <w:vMerge w:val="restart"/>
            <w:shd w:val="clear" w:color="auto" w:fill="F2F2F2"/>
          </w:tcPr>
          <w:p>
            <w:pPr>
              <w:jc w:val="center"/>
              <w:ind w:left="109"/>
              <w:spacing w:after="0"/>
              <w:rPr>
                <w:sz w:val="20"/>
                <w:szCs w:val="20"/>
                <w:color w:val="auto"/>
              </w:rPr>
            </w:pPr>
            <w:r>
              <w:rPr>
                <w:rFonts w:ascii="Arial" w:cs="Arial" w:eastAsia="Arial" w:hAnsi="Arial"/>
                <w:sz w:val="14"/>
                <w:szCs w:val="14"/>
                <w:b w:val="1"/>
                <w:bCs w:val="1"/>
                <w:color w:val="auto"/>
              </w:rPr>
              <w:t>FOR</w:t>
            </w: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range of critical skills and qualifications that collectively contribute to the effective</w:t>
            </w:r>
          </w:p>
        </w:tc>
        <w:tc>
          <w:tcPr>
            <w:tcW w:w="0" w:type="dxa"/>
            <w:vAlign w:val="bottom"/>
          </w:tcPr>
          <w:p>
            <w:pPr>
              <w:spacing w:after="0"/>
              <w:rPr>
                <w:sz w:val="1"/>
                <w:szCs w:val="1"/>
                <w:color w:val="auto"/>
              </w:rPr>
            </w:pPr>
          </w:p>
        </w:tc>
      </w:tr>
      <w:tr>
        <w:trPr>
          <w:trHeight w:val="143"/>
        </w:trPr>
        <w:tc>
          <w:tcPr>
            <w:tcW w:w="3760" w:type="dxa"/>
            <w:vAlign w:val="bottom"/>
            <w:gridSpan w:val="2"/>
            <w:vMerge w:val="continue"/>
            <w:shd w:val="clear" w:color="auto" w:fill="F2F2F2"/>
          </w:tcPr>
          <w:p>
            <w:pPr>
              <w:spacing w:after="0"/>
              <w:rPr>
                <w:sz w:val="12"/>
                <w:szCs w:val="12"/>
                <w:color w:val="auto"/>
              </w:rPr>
            </w:pPr>
          </w:p>
        </w:tc>
        <w:tc>
          <w:tcPr>
            <w:tcW w:w="1880" w:type="dxa"/>
            <w:vAlign w:val="bottom"/>
            <w:vMerge w:val="continue"/>
            <w:shd w:val="clear" w:color="auto" w:fill="F2F2F2"/>
          </w:tcPr>
          <w:p>
            <w:pPr>
              <w:spacing w:after="0"/>
              <w:rPr>
                <w:sz w:val="12"/>
                <w:szCs w:val="12"/>
                <w:color w:val="auto"/>
              </w:rPr>
            </w:pPr>
          </w:p>
        </w:tc>
        <w:tc>
          <w:tcPr>
            <w:tcW w:w="5280" w:type="dxa"/>
            <w:vAlign w:val="bottom"/>
            <w:gridSpan w:val="5"/>
            <w:shd w:val="clear" w:color="auto" w:fill="F2F2F2"/>
          </w:tcPr>
          <w:p>
            <w:pPr>
              <w:ind w:left="140"/>
              <w:spacing w:after="0" w:line="143" w:lineRule="exact"/>
              <w:rPr>
                <w:sz w:val="20"/>
                <w:szCs w:val="20"/>
                <w:color w:val="auto"/>
              </w:rPr>
            </w:pPr>
            <w:r>
              <w:rPr>
                <w:rFonts w:ascii="Arial" w:cs="Arial" w:eastAsia="Arial" w:hAnsi="Arial"/>
                <w:sz w:val="14"/>
                <w:szCs w:val="14"/>
                <w:color w:val="auto"/>
              </w:rPr>
              <w:t>oversight of Sempra’s evolving strategy and the material risks and opportunities</w:t>
            </w:r>
          </w:p>
        </w:tc>
        <w:tc>
          <w:tcPr>
            <w:tcW w:w="0" w:type="dxa"/>
            <w:vAlign w:val="bottom"/>
          </w:tcPr>
          <w:p>
            <w:pPr>
              <w:spacing w:after="0"/>
              <w:rPr>
                <w:sz w:val="1"/>
                <w:szCs w:val="1"/>
                <w:color w:val="auto"/>
              </w:rPr>
            </w:pPr>
          </w:p>
        </w:tc>
      </w:tr>
      <w:tr>
        <w:trPr>
          <w:trHeight w:val="206"/>
        </w:trPr>
        <w:tc>
          <w:tcPr>
            <w:tcW w:w="2100" w:type="dxa"/>
            <w:vAlign w:val="bottom"/>
            <w:shd w:val="clear" w:color="auto" w:fill="F2F2F2"/>
          </w:tcPr>
          <w:p>
            <w:pPr>
              <w:ind w:left="360"/>
              <w:spacing w:after="0"/>
              <w:rPr>
                <w:sz w:val="20"/>
                <w:szCs w:val="20"/>
                <w:color w:val="auto"/>
              </w:rPr>
            </w:pPr>
            <w:r>
              <w:rPr>
                <w:rFonts w:ascii="Arial" w:cs="Arial" w:eastAsia="Arial" w:hAnsi="Arial"/>
                <w:sz w:val="14"/>
                <w:szCs w:val="14"/>
                <w:color w:val="auto"/>
              </w:rPr>
              <w:t>proxy statement</w:t>
            </w:r>
          </w:p>
        </w:tc>
        <w:tc>
          <w:tcPr>
            <w:tcW w:w="1660" w:type="dxa"/>
            <w:vAlign w:val="bottom"/>
            <w:shd w:val="clear" w:color="auto" w:fill="F2F2F2"/>
          </w:tcPr>
          <w:p>
            <w:pPr>
              <w:spacing w:after="0"/>
              <w:rPr>
                <w:sz w:val="17"/>
                <w:szCs w:val="17"/>
                <w:color w:val="auto"/>
              </w:rPr>
            </w:pPr>
          </w:p>
        </w:tc>
        <w:tc>
          <w:tcPr>
            <w:tcW w:w="1880" w:type="dxa"/>
            <w:vAlign w:val="bottom"/>
            <w:shd w:val="clear" w:color="auto" w:fill="F2F2F2"/>
          </w:tcPr>
          <w:p>
            <w:pPr>
              <w:jc w:val="center"/>
              <w:ind w:left="109"/>
              <w:spacing w:after="0"/>
              <w:rPr>
                <w:sz w:val="20"/>
                <w:szCs w:val="20"/>
                <w:color w:val="auto"/>
              </w:rPr>
            </w:pPr>
            <w:r>
              <w:rPr>
                <w:rFonts w:ascii="Arial" w:cs="Arial" w:eastAsia="Arial" w:hAnsi="Arial"/>
                <w:sz w:val="14"/>
                <w:szCs w:val="14"/>
                <w:color w:val="auto"/>
              </w:rPr>
              <w:t>each director nominee</w:t>
            </w: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facing our business.</w:t>
            </w:r>
          </w:p>
        </w:tc>
        <w:tc>
          <w:tcPr>
            <w:tcW w:w="0" w:type="dxa"/>
            <w:vAlign w:val="bottom"/>
          </w:tcPr>
          <w:p>
            <w:pPr>
              <w:spacing w:after="0"/>
              <w:rPr>
                <w:sz w:val="1"/>
                <w:szCs w:val="1"/>
                <w:color w:val="auto"/>
              </w:rPr>
            </w:pPr>
          </w:p>
        </w:tc>
      </w:tr>
      <w:tr>
        <w:trPr>
          <w:trHeight w:val="208"/>
        </w:trPr>
        <w:tc>
          <w:tcPr>
            <w:tcW w:w="2100" w:type="dxa"/>
            <w:vAlign w:val="bottom"/>
            <w:shd w:val="clear" w:color="auto" w:fill="F2F2F2"/>
          </w:tcPr>
          <w:p>
            <w:pPr>
              <w:spacing w:after="0"/>
              <w:rPr>
                <w:sz w:val="18"/>
                <w:szCs w:val="18"/>
                <w:color w:val="auto"/>
              </w:rPr>
            </w:pPr>
          </w:p>
        </w:tc>
        <w:tc>
          <w:tcPr>
            <w:tcW w:w="1660" w:type="dxa"/>
            <w:vAlign w:val="bottom"/>
            <w:shd w:val="clear" w:color="auto" w:fill="F2F2F2"/>
          </w:tcPr>
          <w:p>
            <w:pPr>
              <w:spacing w:after="0"/>
              <w:rPr>
                <w:sz w:val="18"/>
                <w:szCs w:val="18"/>
                <w:color w:val="auto"/>
              </w:rPr>
            </w:pPr>
          </w:p>
        </w:tc>
        <w:tc>
          <w:tcPr>
            <w:tcW w:w="1880" w:type="dxa"/>
            <w:vAlign w:val="bottom"/>
            <w:shd w:val="clear" w:color="auto" w:fill="F2F2F2"/>
          </w:tcPr>
          <w:p>
            <w:pPr>
              <w:spacing w:after="0"/>
              <w:rPr>
                <w:sz w:val="18"/>
                <w:szCs w:val="18"/>
                <w:color w:val="auto"/>
              </w:rPr>
            </w:pP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 xml:space="preserve">See the disclosure beginning on page </w:t>
            </w:r>
            <w:r>
              <w:rPr>
                <w:rFonts w:ascii="Arial" w:cs="Arial" w:eastAsia="Arial" w:hAnsi="Arial"/>
                <w:sz w:val="14"/>
                <w:szCs w:val="14"/>
                <w:color w:val="0000EE"/>
              </w:rPr>
              <w:t>26</w:t>
            </w:r>
            <w:r>
              <w:rPr>
                <w:rFonts w:ascii="Arial" w:cs="Arial" w:eastAsia="Arial" w:hAnsi="Arial"/>
                <w:sz w:val="14"/>
                <w:szCs w:val="14"/>
                <w:color w:val="auto"/>
              </w:rPr>
              <w:t xml:space="preserve"> for more detail.</w:t>
            </w:r>
          </w:p>
        </w:tc>
        <w:tc>
          <w:tcPr>
            <w:tcW w:w="0" w:type="dxa"/>
            <w:vAlign w:val="bottom"/>
          </w:tcPr>
          <w:p>
            <w:pPr>
              <w:spacing w:after="0"/>
              <w:rPr>
                <w:sz w:val="1"/>
                <w:szCs w:val="1"/>
                <w:color w:val="auto"/>
              </w:rPr>
            </w:pPr>
          </w:p>
        </w:tc>
      </w:tr>
      <w:tr>
        <w:trPr>
          <w:trHeight w:val="74"/>
        </w:trPr>
        <w:tc>
          <w:tcPr>
            <w:tcW w:w="2100" w:type="dxa"/>
            <w:vAlign w:val="bottom"/>
            <w:tcBorders>
              <w:top w:val="single" w:sz="8" w:color="F2F2F2"/>
              <w:bottom w:val="single" w:sz="8" w:color="7F7F7F"/>
            </w:tcBorders>
            <w:shd w:val="clear" w:color="auto" w:fill="F2F2F2"/>
          </w:tcPr>
          <w:p>
            <w:pPr>
              <w:spacing w:after="0"/>
              <w:rPr>
                <w:sz w:val="6"/>
                <w:szCs w:val="6"/>
                <w:color w:val="auto"/>
              </w:rPr>
            </w:pPr>
          </w:p>
        </w:tc>
        <w:tc>
          <w:tcPr>
            <w:tcW w:w="1660" w:type="dxa"/>
            <w:vAlign w:val="bottom"/>
            <w:tcBorders>
              <w:top w:val="single" w:sz="8" w:color="F2F2F2"/>
              <w:bottom w:val="single" w:sz="8" w:color="7F7F7F"/>
            </w:tcBorders>
            <w:shd w:val="clear" w:color="auto" w:fill="F2F2F2"/>
          </w:tcPr>
          <w:p>
            <w:pPr>
              <w:spacing w:after="0"/>
              <w:rPr>
                <w:sz w:val="6"/>
                <w:szCs w:val="6"/>
                <w:color w:val="auto"/>
              </w:rPr>
            </w:pPr>
          </w:p>
        </w:tc>
        <w:tc>
          <w:tcPr>
            <w:tcW w:w="1880" w:type="dxa"/>
            <w:vAlign w:val="bottom"/>
            <w:tcBorders>
              <w:top w:val="single" w:sz="8" w:color="F2F2F2"/>
              <w:bottom w:val="single" w:sz="8" w:color="7F7F7F"/>
            </w:tcBorders>
            <w:shd w:val="clear" w:color="auto" w:fill="F2F2F2"/>
          </w:tcPr>
          <w:p>
            <w:pPr>
              <w:spacing w:after="0"/>
              <w:rPr>
                <w:sz w:val="6"/>
                <w:szCs w:val="6"/>
                <w:color w:val="auto"/>
              </w:rPr>
            </w:pPr>
          </w:p>
        </w:tc>
        <w:tc>
          <w:tcPr>
            <w:tcW w:w="1780" w:type="dxa"/>
            <w:vAlign w:val="bottom"/>
            <w:tcBorders>
              <w:top w:val="single" w:sz="8" w:color="F2F2F2"/>
              <w:bottom w:val="single" w:sz="8" w:color="7F7F7F"/>
            </w:tcBorders>
            <w:shd w:val="clear" w:color="auto" w:fill="F2F2F2"/>
          </w:tcPr>
          <w:p>
            <w:pPr>
              <w:spacing w:after="0"/>
              <w:rPr>
                <w:sz w:val="6"/>
                <w:szCs w:val="6"/>
                <w:color w:val="auto"/>
              </w:rPr>
            </w:pPr>
          </w:p>
        </w:tc>
        <w:tc>
          <w:tcPr>
            <w:tcW w:w="160" w:type="dxa"/>
            <w:vAlign w:val="bottom"/>
            <w:tcBorders>
              <w:top w:val="single" w:sz="8" w:color="F2F2F2"/>
              <w:bottom w:val="single" w:sz="8" w:color="7F7F7F"/>
            </w:tcBorders>
            <w:shd w:val="clear" w:color="auto" w:fill="F2F2F2"/>
          </w:tcPr>
          <w:p>
            <w:pPr>
              <w:spacing w:after="0"/>
              <w:rPr>
                <w:sz w:val="6"/>
                <w:szCs w:val="6"/>
                <w:color w:val="auto"/>
              </w:rPr>
            </w:pPr>
          </w:p>
        </w:tc>
        <w:tc>
          <w:tcPr>
            <w:tcW w:w="640" w:type="dxa"/>
            <w:vAlign w:val="bottom"/>
            <w:tcBorders>
              <w:top w:val="single" w:sz="8" w:color="F2F2F2"/>
              <w:bottom w:val="single" w:sz="8" w:color="7F7F7F"/>
            </w:tcBorders>
            <w:shd w:val="clear" w:color="auto" w:fill="F2F2F2"/>
          </w:tcPr>
          <w:p>
            <w:pPr>
              <w:spacing w:after="0"/>
              <w:rPr>
                <w:sz w:val="6"/>
                <w:szCs w:val="6"/>
                <w:color w:val="auto"/>
              </w:rPr>
            </w:pPr>
          </w:p>
        </w:tc>
        <w:tc>
          <w:tcPr>
            <w:tcW w:w="160" w:type="dxa"/>
            <w:vAlign w:val="bottom"/>
            <w:tcBorders>
              <w:top w:val="single" w:sz="8" w:color="0000EE"/>
              <w:bottom w:val="single" w:sz="8" w:color="7F7F7F"/>
            </w:tcBorders>
            <w:shd w:val="clear" w:color="auto" w:fill="F2F2F2"/>
          </w:tcPr>
          <w:p>
            <w:pPr>
              <w:spacing w:after="0"/>
              <w:rPr>
                <w:sz w:val="6"/>
                <w:szCs w:val="6"/>
                <w:color w:val="auto"/>
              </w:rPr>
            </w:pPr>
          </w:p>
        </w:tc>
        <w:tc>
          <w:tcPr>
            <w:tcW w:w="2540" w:type="dxa"/>
            <w:vAlign w:val="bottom"/>
            <w:tcBorders>
              <w:top w:val="single" w:sz="8" w:color="F2F2F2"/>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280" w:type="dxa"/>
            <w:vAlign w:val="bottom"/>
            <w:gridSpan w:val="5"/>
          </w:tcPr>
          <w:p>
            <w:pPr>
              <w:ind w:left="140"/>
              <w:spacing w:after="0"/>
              <w:rPr>
                <w:sz w:val="20"/>
                <w:szCs w:val="20"/>
                <w:color w:val="auto"/>
              </w:rPr>
            </w:pPr>
            <w:r>
              <w:rPr>
                <w:rFonts w:ascii="Arial" w:cs="Arial" w:eastAsia="Arial" w:hAnsi="Arial"/>
                <w:sz w:val="14"/>
                <w:szCs w:val="14"/>
                <w:color w:val="auto"/>
              </w:rPr>
              <w:t>The board believes it is in the best interests of Sempra and its shareholders for</w:t>
            </w:r>
          </w:p>
        </w:tc>
        <w:tc>
          <w:tcPr>
            <w:tcW w:w="0" w:type="dxa"/>
            <w:vAlign w:val="bottom"/>
          </w:tcPr>
          <w:p>
            <w:pPr>
              <w:spacing w:after="0"/>
              <w:rPr>
                <w:sz w:val="1"/>
                <w:szCs w:val="1"/>
                <w:color w:val="auto"/>
              </w:rPr>
            </w:pPr>
          </w:p>
        </w:tc>
      </w:tr>
      <w:tr>
        <w:trPr>
          <w:trHeight w:val="183"/>
        </w:trPr>
        <w:tc>
          <w:tcPr>
            <w:tcW w:w="3760" w:type="dxa"/>
            <w:vAlign w:val="bottom"/>
            <w:gridSpan w:val="2"/>
          </w:tcPr>
          <w:p>
            <w:pPr>
              <w:ind w:left="160"/>
              <w:spacing w:after="0"/>
              <w:rPr>
                <w:sz w:val="20"/>
                <w:szCs w:val="20"/>
                <w:color w:val="auto"/>
              </w:rPr>
            </w:pPr>
            <w:r>
              <w:rPr>
                <w:rFonts w:ascii="Arial" w:cs="Arial" w:eastAsia="Arial" w:hAnsi="Arial"/>
                <w:sz w:val="14"/>
                <w:szCs w:val="14"/>
                <w:color w:val="auto"/>
              </w:rPr>
              <w:t>2.   Ratification of appointment of independent registered</w:t>
            </w:r>
          </w:p>
        </w:tc>
        <w:tc>
          <w:tcPr>
            <w:tcW w:w="188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rPr>
              <w:t>FOR</w:t>
            </w:r>
          </w:p>
        </w:tc>
        <w:tc>
          <w:tcPr>
            <w:tcW w:w="5280" w:type="dxa"/>
            <w:vAlign w:val="bottom"/>
            <w:gridSpan w:val="5"/>
          </w:tcPr>
          <w:p>
            <w:pPr>
              <w:ind w:left="140"/>
              <w:spacing w:after="0"/>
              <w:rPr>
                <w:sz w:val="20"/>
                <w:szCs w:val="20"/>
                <w:color w:val="auto"/>
              </w:rPr>
            </w:pPr>
            <w:r>
              <w:rPr>
                <w:rFonts w:ascii="Arial" w:cs="Arial" w:eastAsia="Arial" w:hAnsi="Arial"/>
                <w:sz w:val="14"/>
                <w:szCs w:val="14"/>
                <w:color w:val="auto"/>
              </w:rPr>
              <w:t>Deloitte &amp; Touche LLP to continue to serve as the company’s independent</w:t>
            </w:r>
          </w:p>
        </w:tc>
        <w:tc>
          <w:tcPr>
            <w:tcW w:w="0" w:type="dxa"/>
            <w:vAlign w:val="bottom"/>
          </w:tcPr>
          <w:p>
            <w:pPr>
              <w:spacing w:after="0"/>
              <w:rPr>
                <w:sz w:val="1"/>
                <w:szCs w:val="1"/>
                <w:color w:val="auto"/>
              </w:rPr>
            </w:pPr>
          </w:p>
        </w:tc>
      </w:tr>
      <w:tr>
        <w:trPr>
          <w:trHeight w:val="206"/>
        </w:trPr>
        <w:tc>
          <w:tcPr>
            <w:tcW w:w="2100" w:type="dxa"/>
            <w:vAlign w:val="bottom"/>
          </w:tcPr>
          <w:p>
            <w:pPr>
              <w:ind w:left="360"/>
              <w:spacing w:after="0"/>
              <w:rPr>
                <w:sz w:val="20"/>
                <w:szCs w:val="20"/>
                <w:color w:val="auto"/>
              </w:rPr>
            </w:pPr>
            <w:r>
              <w:rPr>
                <w:rFonts w:ascii="Arial" w:cs="Arial" w:eastAsia="Arial" w:hAnsi="Arial"/>
                <w:sz w:val="14"/>
                <w:szCs w:val="14"/>
                <w:color w:val="auto"/>
              </w:rPr>
              <w:t>public accounting firm</w:t>
            </w:r>
          </w:p>
        </w:tc>
        <w:tc>
          <w:tcPr>
            <w:tcW w:w="1660" w:type="dxa"/>
            <w:vAlign w:val="bottom"/>
          </w:tcPr>
          <w:p>
            <w:pPr>
              <w:spacing w:after="0"/>
              <w:rPr>
                <w:sz w:val="17"/>
                <w:szCs w:val="17"/>
                <w:color w:val="auto"/>
              </w:rPr>
            </w:pPr>
          </w:p>
        </w:tc>
        <w:tc>
          <w:tcPr>
            <w:tcW w:w="1880" w:type="dxa"/>
            <w:vAlign w:val="bottom"/>
            <w:vMerge w:val="continue"/>
          </w:tcPr>
          <w:p>
            <w:pPr>
              <w:spacing w:after="0"/>
              <w:rPr>
                <w:sz w:val="17"/>
                <w:szCs w:val="17"/>
                <w:color w:val="auto"/>
              </w:rPr>
            </w:pPr>
          </w:p>
        </w:tc>
        <w:tc>
          <w:tcPr>
            <w:tcW w:w="5280" w:type="dxa"/>
            <w:vAlign w:val="bottom"/>
            <w:gridSpan w:val="5"/>
          </w:tcPr>
          <w:p>
            <w:pPr>
              <w:ind w:left="140"/>
              <w:spacing w:after="0"/>
              <w:rPr>
                <w:sz w:val="20"/>
                <w:szCs w:val="20"/>
                <w:color w:val="auto"/>
              </w:rPr>
            </w:pPr>
            <w:r>
              <w:rPr>
                <w:rFonts w:ascii="Arial" w:cs="Arial" w:eastAsia="Arial" w:hAnsi="Arial"/>
                <w:sz w:val="14"/>
                <w:szCs w:val="14"/>
                <w:color w:val="auto"/>
              </w:rPr>
              <w:t>registered public accounting firm for 2026.</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80" w:type="dxa"/>
            <w:vAlign w:val="bottom"/>
            <w:gridSpan w:val="5"/>
          </w:tcPr>
          <w:p>
            <w:pPr>
              <w:ind w:left="140"/>
              <w:spacing w:after="0"/>
              <w:rPr>
                <w:sz w:val="20"/>
                <w:szCs w:val="20"/>
                <w:color w:val="auto"/>
              </w:rPr>
            </w:pPr>
            <w:r>
              <w:rPr>
                <w:rFonts w:ascii="Arial" w:cs="Arial" w:eastAsia="Arial" w:hAnsi="Arial"/>
                <w:sz w:val="14"/>
                <w:szCs w:val="14"/>
                <w:color w:val="auto"/>
              </w:rPr>
              <w:t xml:space="preserve">See the disclosure beginning on page </w:t>
            </w:r>
            <w:r>
              <w:rPr>
                <w:rFonts w:ascii="Arial" w:cs="Arial" w:eastAsia="Arial" w:hAnsi="Arial"/>
                <w:sz w:val="14"/>
                <w:szCs w:val="14"/>
                <w:color w:val="0000EE"/>
              </w:rPr>
              <w:t>34</w:t>
            </w:r>
            <w:r>
              <w:rPr>
                <w:rFonts w:ascii="Arial" w:cs="Arial" w:eastAsia="Arial" w:hAnsi="Arial"/>
                <w:sz w:val="14"/>
                <w:szCs w:val="14"/>
                <w:color w:val="auto"/>
              </w:rPr>
              <w:t xml:space="preserve"> for more detail.</w:t>
            </w:r>
          </w:p>
        </w:tc>
        <w:tc>
          <w:tcPr>
            <w:tcW w:w="0" w:type="dxa"/>
            <w:vAlign w:val="bottom"/>
          </w:tcPr>
          <w:p>
            <w:pPr>
              <w:spacing w:after="0"/>
              <w:rPr>
                <w:sz w:val="1"/>
                <w:szCs w:val="1"/>
                <w:color w:val="auto"/>
              </w:rPr>
            </w:pPr>
          </w:p>
        </w:tc>
      </w:tr>
      <w:tr>
        <w:trPr>
          <w:trHeight w:val="74"/>
        </w:trPr>
        <w:tc>
          <w:tcPr>
            <w:tcW w:w="2100" w:type="dxa"/>
            <w:vAlign w:val="bottom"/>
            <w:tcBorders>
              <w:bottom w:val="single" w:sz="8" w:color="7F7F7F"/>
            </w:tcBorders>
          </w:tcPr>
          <w:p>
            <w:pPr>
              <w:spacing w:after="0"/>
              <w:rPr>
                <w:sz w:val="6"/>
                <w:szCs w:val="6"/>
                <w:color w:val="auto"/>
              </w:rPr>
            </w:pPr>
          </w:p>
        </w:tc>
        <w:tc>
          <w:tcPr>
            <w:tcW w:w="1660" w:type="dxa"/>
            <w:vAlign w:val="bottom"/>
            <w:tcBorders>
              <w:bottom w:val="single" w:sz="8" w:color="7F7F7F"/>
            </w:tcBorders>
          </w:tcPr>
          <w:p>
            <w:pPr>
              <w:spacing w:after="0"/>
              <w:rPr>
                <w:sz w:val="6"/>
                <w:szCs w:val="6"/>
                <w:color w:val="auto"/>
              </w:rPr>
            </w:pPr>
          </w:p>
        </w:tc>
        <w:tc>
          <w:tcPr>
            <w:tcW w:w="1880" w:type="dxa"/>
            <w:vAlign w:val="bottom"/>
            <w:tcBorders>
              <w:bottom w:val="single" w:sz="8" w:color="7F7F7F"/>
            </w:tcBorders>
          </w:tcPr>
          <w:p>
            <w:pPr>
              <w:spacing w:after="0"/>
              <w:rPr>
                <w:sz w:val="6"/>
                <w:szCs w:val="6"/>
                <w:color w:val="auto"/>
              </w:rPr>
            </w:pPr>
          </w:p>
        </w:tc>
        <w:tc>
          <w:tcPr>
            <w:tcW w:w="178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640" w:type="dxa"/>
            <w:vAlign w:val="bottom"/>
            <w:tcBorders>
              <w:bottom w:val="single" w:sz="8" w:color="7F7F7F"/>
            </w:tcBorders>
          </w:tcPr>
          <w:p>
            <w:pPr>
              <w:spacing w:after="0"/>
              <w:rPr>
                <w:sz w:val="6"/>
                <w:szCs w:val="6"/>
                <w:color w:val="auto"/>
              </w:rPr>
            </w:pPr>
          </w:p>
        </w:tc>
        <w:tc>
          <w:tcPr>
            <w:tcW w:w="160" w:type="dxa"/>
            <w:vAlign w:val="bottom"/>
            <w:tcBorders>
              <w:top w:val="single" w:sz="8" w:color="0000EE"/>
              <w:bottom w:val="single" w:sz="8" w:color="7F7F7F"/>
            </w:tcBorders>
          </w:tcPr>
          <w:p>
            <w:pPr>
              <w:spacing w:after="0"/>
              <w:rPr>
                <w:sz w:val="6"/>
                <w:szCs w:val="6"/>
                <w:color w:val="auto"/>
              </w:rPr>
            </w:pPr>
          </w:p>
        </w:tc>
        <w:tc>
          <w:tcPr>
            <w:tcW w:w="254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F2F2F2"/>
          </w:tcPr>
          <w:p>
            <w:pPr>
              <w:spacing w:after="0"/>
              <w:rPr>
                <w:sz w:val="17"/>
                <w:szCs w:val="17"/>
                <w:color w:val="auto"/>
              </w:rPr>
            </w:pPr>
          </w:p>
        </w:tc>
        <w:tc>
          <w:tcPr>
            <w:tcW w:w="1660" w:type="dxa"/>
            <w:vAlign w:val="bottom"/>
            <w:shd w:val="clear" w:color="auto" w:fill="F2F2F2"/>
          </w:tcPr>
          <w:p>
            <w:pPr>
              <w:spacing w:after="0"/>
              <w:rPr>
                <w:sz w:val="17"/>
                <w:szCs w:val="17"/>
                <w:color w:val="auto"/>
              </w:rPr>
            </w:pPr>
          </w:p>
        </w:tc>
        <w:tc>
          <w:tcPr>
            <w:tcW w:w="1880" w:type="dxa"/>
            <w:vAlign w:val="bottom"/>
            <w:shd w:val="clear" w:color="auto" w:fill="F2F2F2"/>
          </w:tcPr>
          <w:p>
            <w:pPr>
              <w:spacing w:after="0"/>
              <w:rPr>
                <w:sz w:val="17"/>
                <w:szCs w:val="17"/>
                <w:color w:val="auto"/>
              </w:rPr>
            </w:pP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The board believes that our compensation programs are effectively structured to</w:t>
            </w:r>
          </w:p>
        </w:tc>
        <w:tc>
          <w:tcPr>
            <w:tcW w:w="0" w:type="dxa"/>
            <w:vAlign w:val="bottom"/>
          </w:tcPr>
          <w:p>
            <w:pPr>
              <w:spacing w:after="0"/>
              <w:rPr>
                <w:sz w:val="1"/>
                <w:szCs w:val="1"/>
                <w:color w:val="auto"/>
              </w:rPr>
            </w:pPr>
          </w:p>
        </w:tc>
      </w:tr>
      <w:tr>
        <w:trPr>
          <w:trHeight w:val="160"/>
        </w:trPr>
        <w:tc>
          <w:tcPr>
            <w:tcW w:w="2100" w:type="dxa"/>
            <w:vAlign w:val="bottom"/>
            <w:shd w:val="clear" w:color="auto" w:fill="F2F2F2"/>
          </w:tcPr>
          <w:p>
            <w:pPr>
              <w:spacing w:after="0"/>
              <w:rPr>
                <w:sz w:val="13"/>
                <w:szCs w:val="13"/>
                <w:color w:val="auto"/>
              </w:rPr>
            </w:pPr>
          </w:p>
        </w:tc>
        <w:tc>
          <w:tcPr>
            <w:tcW w:w="1660" w:type="dxa"/>
            <w:vAlign w:val="bottom"/>
            <w:shd w:val="clear" w:color="auto" w:fill="F2F2F2"/>
          </w:tcPr>
          <w:p>
            <w:pPr>
              <w:spacing w:after="0"/>
              <w:rPr>
                <w:sz w:val="13"/>
                <w:szCs w:val="13"/>
                <w:color w:val="auto"/>
              </w:rPr>
            </w:pPr>
          </w:p>
        </w:tc>
        <w:tc>
          <w:tcPr>
            <w:tcW w:w="1880" w:type="dxa"/>
            <w:vAlign w:val="bottom"/>
            <w:shd w:val="clear" w:color="auto" w:fill="F2F2F2"/>
          </w:tcPr>
          <w:p>
            <w:pPr>
              <w:spacing w:after="0"/>
              <w:rPr>
                <w:sz w:val="13"/>
                <w:szCs w:val="13"/>
                <w:color w:val="auto"/>
              </w:rPr>
            </w:pP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prioritize pay-for-performance alignment, attract and retain a high-performing</w:t>
            </w:r>
          </w:p>
        </w:tc>
        <w:tc>
          <w:tcPr>
            <w:tcW w:w="0" w:type="dxa"/>
            <w:vAlign w:val="bottom"/>
          </w:tcPr>
          <w:p>
            <w:pPr>
              <w:spacing w:after="0"/>
              <w:rPr>
                <w:sz w:val="1"/>
                <w:szCs w:val="1"/>
                <w:color w:val="auto"/>
              </w:rPr>
            </w:pPr>
          </w:p>
        </w:tc>
      </w:tr>
      <w:tr>
        <w:trPr>
          <w:trHeight w:val="160"/>
        </w:trPr>
        <w:tc>
          <w:tcPr>
            <w:tcW w:w="2100" w:type="dxa"/>
            <w:vAlign w:val="bottom"/>
            <w:shd w:val="clear" w:color="auto" w:fill="F2F2F2"/>
          </w:tcPr>
          <w:p>
            <w:pPr>
              <w:spacing w:after="0"/>
              <w:rPr>
                <w:sz w:val="13"/>
                <w:szCs w:val="13"/>
                <w:color w:val="auto"/>
              </w:rPr>
            </w:pPr>
          </w:p>
        </w:tc>
        <w:tc>
          <w:tcPr>
            <w:tcW w:w="1660" w:type="dxa"/>
            <w:vAlign w:val="bottom"/>
            <w:shd w:val="clear" w:color="auto" w:fill="F2F2F2"/>
          </w:tcPr>
          <w:p>
            <w:pPr>
              <w:spacing w:after="0"/>
              <w:rPr>
                <w:sz w:val="13"/>
                <w:szCs w:val="13"/>
                <w:color w:val="auto"/>
              </w:rPr>
            </w:pPr>
          </w:p>
        </w:tc>
        <w:tc>
          <w:tcPr>
            <w:tcW w:w="1880" w:type="dxa"/>
            <w:vAlign w:val="bottom"/>
            <w:shd w:val="clear" w:color="auto" w:fill="F2F2F2"/>
          </w:tcPr>
          <w:p>
            <w:pPr>
              <w:spacing w:after="0"/>
              <w:rPr>
                <w:sz w:val="13"/>
                <w:szCs w:val="13"/>
                <w:color w:val="auto"/>
              </w:rPr>
            </w:pP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leadership team and motivate these leaders to execute Sempra’s strategic</w:t>
            </w:r>
          </w:p>
        </w:tc>
        <w:tc>
          <w:tcPr>
            <w:tcW w:w="0" w:type="dxa"/>
            <w:vAlign w:val="bottom"/>
          </w:tcPr>
          <w:p>
            <w:pPr>
              <w:spacing w:after="0"/>
              <w:rPr>
                <w:sz w:val="1"/>
                <w:szCs w:val="1"/>
                <w:color w:val="auto"/>
              </w:rPr>
            </w:pPr>
          </w:p>
        </w:tc>
      </w:tr>
      <w:tr>
        <w:trPr>
          <w:trHeight w:val="235"/>
        </w:trPr>
        <w:tc>
          <w:tcPr>
            <w:tcW w:w="3760" w:type="dxa"/>
            <w:vAlign w:val="bottom"/>
            <w:gridSpan w:val="2"/>
            <w:shd w:val="clear" w:color="auto" w:fill="F2F2F2"/>
          </w:tcPr>
          <w:p>
            <w:pPr>
              <w:ind w:left="160"/>
              <w:spacing w:after="0"/>
              <w:rPr>
                <w:sz w:val="20"/>
                <w:szCs w:val="20"/>
                <w:color w:val="auto"/>
              </w:rPr>
            </w:pPr>
            <w:r>
              <w:rPr>
                <w:rFonts w:ascii="Arial" w:cs="Arial" w:eastAsia="Arial" w:hAnsi="Arial"/>
                <w:sz w:val="14"/>
                <w:szCs w:val="14"/>
                <w:color w:val="auto"/>
              </w:rPr>
              <w:t>3.   Advisory approval of our executive compensation</w:t>
            </w:r>
          </w:p>
        </w:tc>
        <w:tc>
          <w:tcPr>
            <w:tcW w:w="1880" w:type="dxa"/>
            <w:vAlign w:val="bottom"/>
            <w:shd w:val="clear" w:color="auto" w:fill="F2F2F2"/>
          </w:tcPr>
          <w:p>
            <w:pPr>
              <w:jc w:val="center"/>
              <w:ind w:left="109"/>
              <w:spacing w:after="0"/>
              <w:rPr>
                <w:sz w:val="20"/>
                <w:szCs w:val="20"/>
                <w:color w:val="auto"/>
              </w:rPr>
            </w:pPr>
            <w:r>
              <w:rPr>
                <w:rFonts w:ascii="Arial" w:cs="Arial" w:eastAsia="Arial" w:hAnsi="Arial"/>
                <w:sz w:val="14"/>
                <w:szCs w:val="14"/>
                <w:b w:val="1"/>
                <w:bCs w:val="1"/>
                <w:color w:val="auto"/>
              </w:rPr>
              <w:t>FOR</w:t>
            </w: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priorities and drive long-term shareholder value creation.</w:t>
            </w:r>
          </w:p>
        </w:tc>
        <w:tc>
          <w:tcPr>
            <w:tcW w:w="0" w:type="dxa"/>
            <w:vAlign w:val="bottom"/>
          </w:tcPr>
          <w:p>
            <w:pPr>
              <w:spacing w:after="0"/>
              <w:rPr>
                <w:sz w:val="1"/>
                <w:szCs w:val="1"/>
                <w:color w:val="auto"/>
              </w:rPr>
            </w:pPr>
          </w:p>
        </w:tc>
      </w:tr>
      <w:tr>
        <w:trPr>
          <w:trHeight w:val="166"/>
        </w:trPr>
        <w:tc>
          <w:tcPr>
            <w:tcW w:w="2100" w:type="dxa"/>
            <w:vAlign w:val="bottom"/>
            <w:shd w:val="clear" w:color="auto" w:fill="F2F2F2"/>
          </w:tcPr>
          <w:p>
            <w:pPr>
              <w:spacing w:after="0"/>
              <w:rPr>
                <w:sz w:val="14"/>
                <w:szCs w:val="14"/>
                <w:color w:val="auto"/>
              </w:rPr>
            </w:pPr>
          </w:p>
        </w:tc>
        <w:tc>
          <w:tcPr>
            <w:tcW w:w="1660" w:type="dxa"/>
            <w:vAlign w:val="bottom"/>
            <w:shd w:val="clear" w:color="auto" w:fill="F2F2F2"/>
          </w:tcPr>
          <w:p>
            <w:pPr>
              <w:spacing w:after="0"/>
              <w:rPr>
                <w:sz w:val="14"/>
                <w:szCs w:val="14"/>
                <w:color w:val="auto"/>
              </w:rPr>
            </w:pPr>
          </w:p>
        </w:tc>
        <w:tc>
          <w:tcPr>
            <w:tcW w:w="1880" w:type="dxa"/>
            <w:vAlign w:val="bottom"/>
            <w:shd w:val="clear" w:color="auto" w:fill="F2F2F2"/>
          </w:tcPr>
          <w:p>
            <w:pPr>
              <w:spacing w:after="0"/>
              <w:rPr>
                <w:sz w:val="14"/>
                <w:szCs w:val="14"/>
                <w:color w:val="auto"/>
              </w:rPr>
            </w:pP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See our “Compensation Discussion and Analysis” and subsequent compensation</w:t>
            </w:r>
          </w:p>
        </w:tc>
        <w:tc>
          <w:tcPr>
            <w:tcW w:w="0" w:type="dxa"/>
            <w:vAlign w:val="bottom"/>
          </w:tcPr>
          <w:p>
            <w:pPr>
              <w:spacing w:after="0"/>
              <w:rPr>
                <w:sz w:val="1"/>
                <w:szCs w:val="1"/>
                <w:color w:val="auto"/>
              </w:rPr>
            </w:pPr>
          </w:p>
        </w:tc>
      </w:tr>
      <w:tr>
        <w:trPr>
          <w:trHeight w:val="156"/>
        </w:trPr>
        <w:tc>
          <w:tcPr>
            <w:tcW w:w="2100" w:type="dxa"/>
            <w:vAlign w:val="bottom"/>
            <w:shd w:val="clear" w:color="auto" w:fill="F2F2F2"/>
          </w:tcPr>
          <w:p>
            <w:pPr>
              <w:spacing w:after="0"/>
              <w:rPr>
                <w:sz w:val="13"/>
                <w:szCs w:val="13"/>
                <w:color w:val="auto"/>
              </w:rPr>
            </w:pPr>
          </w:p>
        </w:tc>
        <w:tc>
          <w:tcPr>
            <w:tcW w:w="1660" w:type="dxa"/>
            <w:vAlign w:val="bottom"/>
            <w:shd w:val="clear" w:color="auto" w:fill="F2F2F2"/>
          </w:tcPr>
          <w:p>
            <w:pPr>
              <w:spacing w:after="0"/>
              <w:rPr>
                <w:sz w:val="13"/>
                <w:szCs w:val="13"/>
                <w:color w:val="auto"/>
              </w:rPr>
            </w:pPr>
          </w:p>
        </w:tc>
        <w:tc>
          <w:tcPr>
            <w:tcW w:w="1880" w:type="dxa"/>
            <w:vAlign w:val="bottom"/>
            <w:shd w:val="clear" w:color="auto" w:fill="F2F2F2"/>
          </w:tcPr>
          <w:p>
            <w:pPr>
              <w:spacing w:after="0"/>
              <w:rPr>
                <w:sz w:val="13"/>
                <w:szCs w:val="13"/>
                <w:color w:val="auto"/>
              </w:rPr>
            </w:pPr>
          </w:p>
        </w:tc>
        <w:tc>
          <w:tcPr>
            <w:tcW w:w="5280" w:type="dxa"/>
            <w:vAlign w:val="bottom"/>
            <w:gridSpan w:val="5"/>
            <w:shd w:val="clear" w:color="auto" w:fill="F2F2F2"/>
          </w:tcPr>
          <w:p>
            <w:pPr>
              <w:ind w:left="140"/>
              <w:spacing w:after="0" w:line="157" w:lineRule="exact"/>
              <w:rPr>
                <w:sz w:val="20"/>
                <w:szCs w:val="20"/>
                <w:color w:val="auto"/>
              </w:rPr>
            </w:pPr>
            <w:r>
              <w:rPr>
                <w:rFonts w:ascii="Arial" w:cs="Arial" w:eastAsia="Arial" w:hAnsi="Arial"/>
                <w:sz w:val="14"/>
                <w:szCs w:val="14"/>
                <w:color w:val="auto"/>
              </w:rPr>
              <w:t xml:space="preserve">tables beginning on page </w:t>
            </w:r>
            <w:r>
              <w:rPr>
                <w:rFonts w:ascii="Arial" w:cs="Arial" w:eastAsia="Arial" w:hAnsi="Arial"/>
                <w:sz w:val="14"/>
                <w:szCs w:val="14"/>
                <w:color w:val="0000EE"/>
              </w:rPr>
              <w:t>40</w:t>
            </w:r>
            <w:r>
              <w:rPr>
                <w:rFonts w:ascii="Arial" w:cs="Arial" w:eastAsia="Arial" w:hAnsi="Arial"/>
                <w:sz w:val="14"/>
                <w:szCs w:val="14"/>
                <w:color w:val="auto"/>
              </w:rPr>
              <w:t xml:space="preserve"> for more detail on our compensation philosophy and</w:t>
            </w:r>
          </w:p>
        </w:tc>
        <w:tc>
          <w:tcPr>
            <w:tcW w:w="0" w:type="dxa"/>
            <w:vAlign w:val="bottom"/>
          </w:tcPr>
          <w:p>
            <w:pPr>
              <w:spacing w:after="0"/>
              <w:rPr>
                <w:sz w:val="1"/>
                <w:szCs w:val="1"/>
                <w:color w:val="auto"/>
              </w:rPr>
            </w:pPr>
          </w:p>
        </w:tc>
      </w:tr>
      <w:tr>
        <w:trPr>
          <w:trHeight w:val="173"/>
        </w:trPr>
        <w:tc>
          <w:tcPr>
            <w:tcW w:w="2100" w:type="dxa"/>
            <w:vAlign w:val="bottom"/>
            <w:tcBorders>
              <w:top w:val="single" w:sz="8" w:color="F2F2F2"/>
            </w:tcBorders>
            <w:shd w:val="clear" w:color="auto" w:fill="F2F2F2"/>
          </w:tcPr>
          <w:p>
            <w:pPr>
              <w:spacing w:after="0"/>
              <w:rPr>
                <w:sz w:val="15"/>
                <w:szCs w:val="15"/>
                <w:color w:val="auto"/>
              </w:rPr>
            </w:pPr>
          </w:p>
        </w:tc>
        <w:tc>
          <w:tcPr>
            <w:tcW w:w="1660" w:type="dxa"/>
            <w:vAlign w:val="bottom"/>
            <w:tcBorders>
              <w:top w:val="single" w:sz="8" w:color="F2F2F2"/>
            </w:tcBorders>
            <w:shd w:val="clear" w:color="auto" w:fill="F2F2F2"/>
          </w:tcPr>
          <w:p>
            <w:pPr>
              <w:spacing w:after="0"/>
              <w:rPr>
                <w:sz w:val="15"/>
                <w:szCs w:val="15"/>
                <w:color w:val="auto"/>
              </w:rPr>
            </w:pPr>
          </w:p>
        </w:tc>
        <w:tc>
          <w:tcPr>
            <w:tcW w:w="1880" w:type="dxa"/>
            <w:vAlign w:val="bottom"/>
            <w:tcBorders>
              <w:top w:val="single" w:sz="8" w:color="F2F2F2"/>
            </w:tcBorders>
            <w:shd w:val="clear" w:color="auto" w:fill="F2F2F2"/>
          </w:tcPr>
          <w:p>
            <w:pPr>
              <w:spacing w:after="0"/>
              <w:rPr>
                <w:sz w:val="15"/>
                <w:szCs w:val="15"/>
                <w:color w:val="auto"/>
              </w:rPr>
            </w:pPr>
          </w:p>
        </w:tc>
        <w:tc>
          <w:tcPr>
            <w:tcW w:w="1780" w:type="dxa"/>
            <w:vAlign w:val="bottom"/>
            <w:tcBorders>
              <w:top w:val="single" w:sz="8" w:color="F2F2F2"/>
            </w:tcBorders>
            <w:shd w:val="clear" w:color="auto" w:fill="F2F2F2"/>
          </w:tcPr>
          <w:p>
            <w:pPr>
              <w:ind w:left="140"/>
              <w:spacing w:after="0"/>
              <w:rPr>
                <w:sz w:val="20"/>
                <w:szCs w:val="20"/>
                <w:color w:val="auto"/>
              </w:rPr>
            </w:pPr>
            <w:r>
              <w:rPr>
                <w:rFonts w:ascii="Arial" w:cs="Arial" w:eastAsia="Arial" w:hAnsi="Arial"/>
                <w:sz w:val="14"/>
                <w:szCs w:val="14"/>
                <w:color w:val="auto"/>
              </w:rPr>
              <w:t>program elements.</w:t>
            </w:r>
          </w:p>
        </w:tc>
        <w:tc>
          <w:tcPr>
            <w:tcW w:w="160" w:type="dxa"/>
            <w:vAlign w:val="bottom"/>
            <w:tcBorders>
              <w:top w:val="single" w:sz="8" w:color="0000EE"/>
            </w:tcBorders>
            <w:shd w:val="clear" w:color="auto" w:fill="F2F2F2"/>
          </w:tcPr>
          <w:p>
            <w:pPr>
              <w:spacing w:after="0"/>
              <w:rPr>
                <w:sz w:val="15"/>
                <w:szCs w:val="15"/>
                <w:color w:val="auto"/>
              </w:rPr>
            </w:pPr>
          </w:p>
        </w:tc>
        <w:tc>
          <w:tcPr>
            <w:tcW w:w="3340" w:type="dxa"/>
            <w:vAlign w:val="bottom"/>
            <w:tcBorders>
              <w:top w:val="single" w:sz="8" w:color="F2F2F2"/>
            </w:tcBorders>
            <w:gridSpan w:val="3"/>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100" w:type="dxa"/>
            <w:vAlign w:val="bottom"/>
            <w:tcBorders>
              <w:bottom w:val="single" w:sz="8" w:color="7F7F7F"/>
            </w:tcBorders>
            <w:shd w:val="clear" w:color="auto" w:fill="F2F2F2"/>
          </w:tcPr>
          <w:p>
            <w:pPr>
              <w:spacing w:after="0"/>
              <w:rPr>
                <w:sz w:val="5"/>
                <w:szCs w:val="5"/>
                <w:color w:val="auto"/>
              </w:rPr>
            </w:pPr>
          </w:p>
        </w:tc>
        <w:tc>
          <w:tcPr>
            <w:tcW w:w="1660" w:type="dxa"/>
            <w:vAlign w:val="bottom"/>
            <w:tcBorders>
              <w:bottom w:val="single" w:sz="8" w:color="7F7F7F"/>
            </w:tcBorders>
            <w:shd w:val="clear" w:color="auto" w:fill="F2F2F2"/>
          </w:tcPr>
          <w:p>
            <w:pPr>
              <w:spacing w:after="0"/>
              <w:rPr>
                <w:sz w:val="5"/>
                <w:szCs w:val="5"/>
                <w:color w:val="auto"/>
              </w:rPr>
            </w:pPr>
          </w:p>
        </w:tc>
        <w:tc>
          <w:tcPr>
            <w:tcW w:w="1880" w:type="dxa"/>
            <w:vAlign w:val="bottom"/>
            <w:tcBorders>
              <w:bottom w:val="single" w:sz="8" w:color="7F7F7F"/>
            </w:tcBorders>
            <w:shd w:val="clear" w:color="auto" w:fill="F2F2F2"/>
          </w:tcPr>
          <w:p>
            <w:pPr>
              <w:spacing w:after="0"/>
              <w:rPr>
                <w:sz w:val="5"/>
                <w:szCs w:val="5"/>
                <w:color w:val="auto"/>
              </w:rPr>
            </w:pPr>
          </w:p>
        </w:tc>
        <w:tc>
          <w:tcPr>
            <w:tcW w:w="1780" w:type="dxa"/>
            <w:vAlign w:val="bottom"/>
            <w:tcBorders>
              <w:bottom w:val="single" w:sz="8" w:color="7F7F7F"/>
            </w:tcBorders>
            <w:shd w:val="clear" w:color="auto" w:fill="F2F2F2"/>
          </w:tcPr>
          <w:p>
            <w:pPr>
              <w:spacing w:after="0"/>
              <w:rPr>
                <w:sz w:val="5"/>
                <w:szCs w:val="5"/>
                <w:color w:val="auto"/>
              </w:rPr>
            </w:pPr>
          </w:p>
        </w:tc>
        <w:tc>
          <w:tcPr>
            <w:tcW w:w="160" w:type="dxa"/>
            <w:vAlign w:val="bottom"/>
            <w:tcBorders>
              <w:bottom w:val="single" w:sz="8" w:color="7F7F7F"/>
            </w:tcBorders>
            <w:shd w:val="clear" w:color="auto" w:fill="F2F2F2"/>
          </w:tcPr>
          <w:p>
            <w:pPr>
              <w:spacing w:after="0"/>
              <w:rPr>
                <w:sz w:val="5"/>
                <w:szCs w:val="5"/>
                <w:color w:val="auto"/>
              </w:rPr>
            </w:pPr>
          </w:p>
        </w:tc>
        <w:tc>
          <w:tcPr>
            <w:tcW w:w="640" w:type="dxa"/>
            <w:vAlign w:val="bottom"/>
            <w:tcBorders>
              <w:bottom w:val="single" w:sz="8" w:color="7F7F7F"/>
            </w:tcBorders>
            <w:shd w:val="clear" w:color="auto" w:fill="F2F2F2"/>
          </w:tcPr>
          <w:p>
            <w:pPr>
              <w:spacing w:after="0"/>
              <w:rPr>
                <w:sz w:val="5"/>
                <w:szCs w:val="5"/>
                <w:color w:val="auto"/>
              </w:rPr>
            </w:pPr>
          </w:p>
        </w:tc>
        <w:tc>
          <w:tcPr>
            <w:tcW w:w="160" w:type="dxa"/>
            <w:vAlign w:val="bottom"/>
            <w:tcBorders>
              <w:bottom w:val="single" w:sz="8" w:color="7F7F7F"/>
            </w:tcBorders>
            <w:shd w:val="clear" w:color="auto" w:fill="F2F2F2"/>
          </w:tcPr>
          <w:p>
            <w:pPr>
              <w:spacing w:after="0"/>
              <w:rPr>
                <w:sz w:val="5"/>
                <w:szCs w:val="5"/>
                <w:color w:val="auto"/>
              </w:rPr>
            </w:pPr>
          </w:p>
        </w:tc>
        <w:tc>
          <w:tcPr>
            <w:tcW w:w="254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2100" w:type="dxa"/>
            <w:vAlign w:val="bottom"/>
          </w:tcPr>
          <w:p>
            <w:pPr>
              <w:ind w:left="120"/>
              <w:spacing w:after="0"/>
              <w:rPr>
                <w:sz w:val="20"/>
                <w:szCs w:val="20"/>
                <w:color w:val="auto"/>
              </w:rPr>
            </w:pPr>
            <w:r>
              <w:rPr>
                <w:rFonts w:ascii="Arial" w:cs="Arial" w:eastAsia="Arial" w:hAnsi="Arial"/>
                <w:sz w:val="14"/>
                <w:szCs w:val="14"/>
                <w:b w:val="1"/>
                <w:bCs w:val="1"/>
                <w:color w:val="auto"/>
              </w:rPr>
              <w:t>SHAREHOLDER PROPOSAL</w:t>
            </w:r>
          </w:p>
        </w:tc>
        <w:tc>
          <w:tcPr>
            <w:tcW w:w="1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2100" w:type="dxa"/>
            <w:vAlign w:val="bottom"/>
            <w:tcBorders>
              <w:bottom w:val="single" w:sz="8" w:color="7F7F7F"/>
            </w:tcBorders>
          </w:tcPr>
          <w:p>
            <w:pPr>
              <w:spacing w:after="0"/>
              <w:rPr>
                <w:sz w:val="3"/>
                <w:szCs w:val="3"/>
                <w:color w:val="auto"/>
              </w:rPr>
            </w:pPr>
          </w:p>
        </w:tc>
        <w:tc>
          <w:tcPr>
            <w:tcW w:w="1660" w:type="dxa"/>
            <w:vAlign w:val="bottom"/>
            <w:tcBorders>
              <w:bottom w:val="single" w:sz="8" w:color="7F7F7F"/>
            </w:tcBorders>
          </w:tcPr>
          <w:p>
            <w:pPr>
              <w:spacing w:after="0"/>
              <w:rPr>
                <w:sz w:val="3"/>
                <w:szCs w:val="3"/>
                <w:color w:val="auto"/>
              </w:rPr>
            </w:pPr>
          </w:p>
        </w:tc>
        <w:tc>
          <w:tcPr>
            <w:tcW w:w="1880" w:type="dxa"/>
            <w:vAlign w:val="bottom"/>
            <w:tcBorders>
              <w:bottom w:val="single" w:sz="8" w:color="7F7F7F"/>
            </w:tcBorders>
          </w:tcPr>
          <w:p>
            <w:pPr>
              <w:spacing w:after="0"/>
              <w:rPr>
                <w:sz w:val="3"/>
                <w:szCs w:val="3"/>
                <w:color w:val="auto"/>
              </w:rPr>
            </w:pPr>
          </w:p>
        </w:tc>
        <w:tc>
          <w:tcPr>
            <w:tcW w:w="178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5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F2F2F2"/>
          </w:tcPr>
          <w:p>
            <w:pPr>
              <w:spacing w:after="0"/>
              <w:rPr>
                <w:sz w:val="17"/>
                <w:szCs w:val="17"/>
                <w:color w:val="auto"/>
              </w:rPr>
            </w:pPr>
          </w:p>
        </w:tc>
        <w:tc>
          <w:tcPr>
            <w:tcW w:w="1660" w:type="dxa"/>
            <w:vAlign w:val="bottom"/>
            <w:shd w:val="clear" w:color="auto" w:fill="F2F2F2"/>
          </w:tcPr>
          <w:p>
            <w:pPr>
              <w:spacing w:after="0"/>
              <w:rPr>
                <w:sz w:val="17"/>
                <w:szCs w:val="17"/>
                <w:color w:val="auto"/>
              </w:rPr>
            </w:pPr>
          </w:p>
        </w:tc>
        <w:tc>
          <w:tcPr>
            <w:tcW w:w="1880" w:type="dxa"/>
            <w:vAlign w:val="bottom"/>
            <w:shd w:val="clear" w:color="auto" w:fill="F2F2F2"/>
          </w:tcPr>
          <w:p>
            <w:pPr>
              <w:spacing w:after="0"/>
              <w:rPr>
                <w:sz w:val="17"/>
                <w:szCs w:val="17"/>
                <w:color w:val="auto"/>
              </w:rPr>
            </w:pP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The board believes it is in the best interests of our company and our</w:t>
            </w:r>
          </w:p>
        </w:tc>
        <w:tc>
          <w:tcPr>
            <w:tcW w:w="0" w:type="dxa"/>
            <w:vAlign w:val="bottom"/>
          </w:tcPr>
          <w:p>
            <w:pPr>
              <w:spacing w:after="0"/>
              <w:rPr>
                <w:sz w:val="1"/>
                <w:szCs w:val="1"/>
                <w:color w:val="auto"/>
              </w:rPr>
            </w:pPr>
          </w:p>
        </w:tc>
      </w:tr>
      <w:tr>
        <w:trPr>
          <w:trHeight w:val="183"/>
        </w:trPr>
        <w:tc>
          <w:tcPr>
            <w:tcW w:w="3760" w:type="dxa"/>
            <w:vAlign w:val="bottom"/>
            <w:gridSpan w:val="2"/>
            <w:shd w:val="clear" w:color="auto" w:fill="F2F2F2"/>
          </w:tcPr>
          <w:p>
            <w:pPr>
              <w:ind w:left="160"/>
              <w:spacing w:after="0"/>
              <w:rPr>
                <w:sz w:val="20"/>
                <w:szCs w:val="20"/>
                <w:color w:val="auto"/>
              </w:rPr>
            </w:pPr>
            <w:r>
              <w:rPr>
                <w:rFonts w:ascii="Arial" w:cs="Arial" w:eastAsia="Arial" w:hAnsi="Arial"/>
                <w:sz w:val="14"/>
                <w:szCs w:val="14"/>
                <w:color w:val="auto"/>
              </w:rPr>
              <w:t>4.   Shareholder proposal requesting an independent</w:t>
            </w:r>
          </w:p>
        </w:tc>
        <w:tc>
          <w:tcPr>
            <w:tcW w:w="1880" w:type="dxa"/>
            <w:vAlign w:val="bottom"/>
            <w:vMerge w:val="restart"/>
            <w:shd w:val="clear" w:color="auto" w:fill="F2F2F2"/>
          </w:tcPr>
          <w:p>
            <w:pPr>
              <w:jc w:val="center"/>
              <w:ind w:left="89"/>
              <w:spacing w:after="0"/>
              <w:rPr>
                <w:sz w:val="20"/>
                <w:szCs w:val="20"/>
                <w:color w:val="auto"/>
              </w:rPr>
            </w:pPr>
            <w:r>
              <w:rPr>
                <w:rFonts w:ascii="Arial" w:cs="Arial" w:eastAsia="Arial" w:hAnsi="Arial"/>
                <w:sz w:val="14"/>
                <w:szCs w:val="14"/>
                <w:b w:val="1"/>
                <w:bCs w:val="1"/>
                <w:color w:val="auto"/>
              </w:rPr>
              <w:t>AGAINST</w:t>
            </w: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shareholders to retain the board’s flexibility to select the leadership structure that</w:t>
            </w:r>
          </w:p>
        </w:tc>
        <w:tc>
          <w:tcPr>
            <w:tcW w:w="0" w:type="dxa"/>
            <w:vAlign w:val="bottom"/>
          </w:tcPr>
          <w:p>
            <w:pPr>
              <w:spacing w:after="0"/>
              <w:rPr>
                <w:sz w:val="1"/>
                <w:szCs w:val="1"/>
                <w:color w:val="auto"/>
              </w:rPr>
            </w:pPr>
          </w:p>
        </w:tc>
      </w:tr>
      <w:tr>
        <w:trPr>
          <w:trHeight w:val="206"/>
        </w:trPr>
        <w:tc>
          <w:tcPr>
            <w:tcW w:w="2100" w:type="dxa"/>
            <w:vAlign w:val="bottom"/>
            <w:shd w:val="clear" w:color="auto" w:fill="F2F2F2"/>
          </w:tcPr>
          <w:p>
            <w:pPr>
              <w:ind w:left="360"/>
              <w:spacing w:after="0"/>
              <w:rPr>
                <w:sz w:val="20"/>
                <w:szCs w:val="20"/>
                <w:color w:val="auto"/>
              </w:rPr>
            </w:pPr>
            <w:r>
              <w:rPr>
                <w:rFonts w:ascii="Arial" w:cs="Arial" w:eastAsia="Arial" w:hAnsi="Arial"/>
                <w:sz w:val="14"/>
                <w:szCs w:val="14"/>
                <w:color w:val="auto"/>
              </w:rPr>
              <w:t>board chairman</w:t>
            </w:r>
          </w:p>
        </w:tc>
        <w:tc>
          <w:tcPr>
            <w:tcW w:w="1660" w:type="dxa"/>
            <w:vAlign w:val="bottom"/>
            <w:shd w:val="clear" w:color="auto" w:fill="F2F2F2"/>
          </w:tcPr>
          <w:p>
            <w:pPr>
              <w:spacing w:after="0"/>
              <w:rPr>
                <w:sz w:val="17"/>
                <w:szCs w:val="17"/>
                <w:color w:val="auto"/>
              </w:rPr>
            </w:pPr>
          </w:p>
        </w:tc>
        <w:tc>
          <w:tcPr>
            <w:tcW w:w="1880" w:type="dxa"/>
            <w:vAlign w:val="bottom"/>
            <w:vMerge w:val="continue"/>
            <w:shd w:val="clear" w:color="auto" w:fill="F2F2F2"/>
          </w:tcPr>
          <w:p>
            <w:pPr>
              <w:spacing w:after="0"/>
              <w:rPr>
                <w:sz w:val="17"/>
                <w:szCs w:val="17"/>
                <w:color w:val="auto"/>
              </w:rPr>
            </w:pP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is best suited to meet our needs in light of prevailing circumstances.</w:t>
            </w:r>
          </w:p>
        </w:tc>
        <w:tc>
          <w:tcPr>
            <w:tcW w:w="0" w:type="dxa"/>
            <w:vAlign w:val="bottom"/>
          </w:tcPr>
          <w:p>
            <w:pPr>
              <w:spacing w:after="0"/>
              <w:rPr>
                <w:sz w:val="1"/>
                <w:szCs w:val="1"/>
                <w:color w:val="auto"/>
              </w:rPr>
            </w:pPr>
          </w:p>
        </w:tc>
      </w:tr>
      <w:tr>
        <w:trPr>
          <w:trHeight w:val="168"/>
        </w:trPr>
        <w:tc>
          <w:tcPr>
            <w:tcW w:w="2100" w:type="dxa"/>
            <w:vAlign w:val="bottom"/>
            <w:shd w:val="clear" w:color="auto" w:fill="F2F2F2"/>
          </w:tcPr>
          <w:p>
            <w:pPr>
              <w:spacing w:after="0"/>
              <w:rPr>
                <w:sz w:val="14"/>
                <w:szCs w:val="14"/>
                <w:color w:val="auto"/>
              </w:rPr>
            </w:pPr>
          </w:p>
        </w:tc>
        <w:tc>
          <w:tcPr>
            <w:tcW w:w="1660" w:type="dxa"/>
            <w:vAlign w:val="bottom"/>
            <w:shd w:val="clear" w:color="auto" w:fill="F2F2F2"/>
          </w:tcPr>
          <w:p>
            <w:pPr>
              <w:spacing w:after="0"/>
              <w:rPr>
                <w:sz w:val="14"/>
                <w:szCs w:val="14"/>
                <w:color w:val="auto"/>
              </w:rPr>
            </w:pPr>
          </w:p>
        </w:tc>
        <w:tc>
          <w:tcPr>
            <w:tcW w:w="1880" w:type="dxa"/>
            <w:vAlign w:val="bottom"/>
            <w:shd w:val="clear" w:color="auto" w:fill="F2F2F2"/>
          </w:tcPr>
          <w:p>
            <w:pPr>
              <w:spacing w:after="0"/>
              <w:rPr>
                <w:sz w:val="14"/>
                <w:szCs w:val="14"/>
                <w:color w:val="auto"/>
              </w:rPr>
            </w:pPr>
          </w:p>
        </w:tc>
        <w:tc>
          <w:tcPr>
            <w:tcW w:w="5280" w:type="dxa"/>
            <w:vAlign w:val="bottom"/>
            <w:gridSpan w:val="5"/>
            <w:shd w:val="clear" w:color="auto" w:fill="F2F2F2"/>
          </w:tcPr>
          <w:p>
            <w:pPr>
              <w:ind w:left="140"/>
              <w:spacing w:after="0"/>
              <w:rPr>
                <w:sz w:val="20"/>
                <w:szCs w:val="20"/>
                <w:color w:val="auto"/>
              </w:rPr>
            </w:pPr>
            <w:r>
              <w:rPr>
                <w:rFonts w:ascii="Arial" w:cs="Arial" w:eastAsia="Arial" w:hAnsi="Arial"/>
                <w:sz w:val="14"/>
                <w:szCs w:val="14"/>
                <w:color w:val="auto"/>
              </w:rPr>
              <w:t xml:space="preserve">See the disclosure beginning on page </w:t>
            </w:r>
            <w:r>
              <w:rPr>
                <w:rFonts w:ascii="Arial" w:cs="Arial" w:eastAsia="Arial" w:hAnsi="Arial"/>
                <w:sz w:val="14"/>
                <w:szCs w:val="14"/>
                <w:color w:val="0000EE"/>
              </w:rPr>
              <w:t>37</w:t>
            </w:r>
            <w:r>
              <w:rPr>
                <w:rFonts w:ascii="Arial" w:cs="Arial" w:eastAsia="Arial" w:hAnsi="Arial"/>
                <w:sz w:val="14"/>
                <w:szCs w:val="14"/>
                <w:color w:val="auto"/>
              </w:rPr>
              <w:t xml:space="preserve"> for more detail.</w:t>
            </w:r>
          </w:p>
        </w:tc>
        <w:tc>
          <w:tcPr>
            <w:tcW w:w="0" w:type="dxa"/>
            <w:vAlign w:val="bottom"/>
          </w:tcPr>
          <w:p>
            <w:pPr>
              <w:spacing w:after="0"/>
              <w:rPr>
                <w:sz w:val="1"/>
                <w:szCs w:val="1"/>
                <w:color w:val="auto"/>
              </w:rPr>
            </w:pPr>
          </w:p>
        </w:tc>
      </w:tr>
      <w:tr>
        <w:trPr>
          <w:trHeight w:val="74"/>
        </w:trPr>
        <w:tc>
          <w:tcPr>
            <w:tcW w:w="2100" w:type="dxa"/>
            <w:vAlign w:val="bottom"/>
            <w:tcBorders>
              <w:top w:val="single" w:sz="8" w:color="F2F2F2"/>
              <w:bottom w:val="single" w:sz="8" w:color="7F7F7F"/>
            </w:tcBorders>
            <w:shd w:val="clear" w:color="auto" w:fill="F2F2F2"/>
          </w:tcPr>
          <w:p>
            <w:pPr>
              <w:spacing w:after="0"/>
              <w:rPr>
                <w:sz w:val="6"/>
                <w:szCs w:val="6"/>
                <w:color w:val="auto"/>
              </w:rPr>
            </w:pPr>
          </w:p>
        </w:tc>
        <w:tc>
          <w:tcPr>
            <w:tcW w:w="1660" w:type="dxa"/>
            <w:vAlign w:val="bottom"/>
            <w:tcBorders>
              <w:top w:val="single" w:sz="8" w:color="F2F2F2"/>
              <w:bottom w:val="single" w:sz="8" w:color="7F7F7F"/>
            </w:tcBorders>
            <w:shd w:val="clear" w:color="auto" w:fill="F2F2F2"/>
          </w:tcPr>
          <w:p>
            <w:pPr>
              <w:spacing w:after="0"/>
              <w:rPr>
                <w:sz w:val="6"/>
                <w:szCs w:val="6"/>
                <w:color w:val="auto"/>
              </w:rPr>
            </w:pPr>
          </w:p>
        </w:tc>
        <w:tc>
          <w:tcPr>
            <w:tcW w:w="1880" w:type="dxa"/>
            <w:vAlign w:val="bottom"/>
            <w:tcBorders>
              <w:top w:val="single" w:sz="8" w:color="F2F2F2"/>
              <w:bottom w:val="single" w:sz="8" w:color="7F7F7F"/>
            </w:tcBorders>
            <w:shd w:val="clear" w:color="auto" w:fill="F2F2F2"/>
          </w:tcPr>
          <w:p>
            <w:pPr>
              <w:spacing w:after="0"/>
              <w:rPr>
                <w:sz w:val="6"/>
                <w:szCs w:val="6"/>
                <w:color w:val="auto"/>
              </w:rPr>
            </w:pPr>
          </w:p>
        </w:tc>
        <w:tc>
          <w:tcPr>
            <w:tcW w:w="1780" w:type="dxa"/>
            <w:vAlign w:val="bottom"/>
            <w:tcBorders>
              <w:top w:val="single" w:sz="8" w:color="F2F2F2"/>
              <w:bottom w:val="single" w:sz="8" w:color="7F7F7F"/>
            </w:tcBorders>
            <w:shd w:val="clear" w:color="auto" w:fill="F2F2F2"/>
          </w:tcPr>
          <w:p>
            <w:pPr>
              <w:spacing w:after="0"/>
              <w:rPr>
                <w:sz w:val="6"/>
                <w:szCs w:val="6"/>
                <w:color w:val="auto"/>
              </w:rPr>
            </w:pPr>
          </w:p>
        </w:tc>
        <w:tc>
          <w:tcPr>
            <w:tcW w:w="160" w:type="dxa"/>
            <w:vAlign w:val="bottom"/>
            <w:tcBorders>
              <w:top w:val="single" w:sz="8" w:color="F2F2F2"/>
              <w:bottom w:val="single" w:sz="8" w:color="7F7F7F"/>
            </w:tcBorders>
            <w:shd w:val="clear" w:color="auto" w:fill="F2F2F2"/>
          </w:tcPr>
          <w:p>
            <w:pPr>
              <w:spacing w:after="0"/>
              <w:rPr>
                <w:sz w:val="6"/>
                <w:szCs w:val="6"/>
                <w:color w:val="auto"/>
              </w:rPr>
            </w:pPr>
          </w:p>
        </w:tc>
        <w:tc>
          <w:tcPr>
            <w:tcW w:w="640" w:type="dxa"/>
            <w:vAlign w:val="bottom"/>
            <w:tcBorders>
              <w:top w:val="single" w:sz="8" w:color="F2F2F2"/>
              <w:bottom w:val="single" w:sz="8" w:color="7F7F7F"/>
            </w:tcBorders>
            <w:shd w:val="clear" w:color="auto" w:fill="F2F2F2"/>
          </w:tcPr>
          <w:p>
            <w:pPr>
              <w:spacing w:after="0"/>
              <w:rPr>
                <w:sz w:val="6"/>
                <w:szCs w:val="6"/>
                <w:color w:val="auto"/>
              </w:rPr>
            </w:pPr>
          </w:p>
        </w:tc>
        <w:tc>
          <w:tcPr>
            <w:tcW w:w="160" w:type="dxa"/>
            <w:vAlign w:val="bottom"/>
            <w:tcBorders>
              <w:top w:val="single" w:sz="8" w:color="0000EE"/>
              <w:bottom w:val="single" w:sz="8" w:color="7F7F7F"/>
            </w:tcBorders>
            <w:shd w:val="clear" w:color="auto" w:fill="F2F2F2"/>
          </w:tcPr>
          <w:p>
            <w:pPr>
              <w:spacing w:after="0"/>
              <w:rPr>
                <w:sz w:val="6"/>
                <w:szCs w:val="6"/>
                <w:color w:val="auto"/>
              </w:rPr>
            </w:pPr>
          </w:p>
        </w:tc>
        <w:tc>
          <w:tcPr>
            <w:tcW w:w="2540" w:type="dxa"/>
            <w:vAlign w:val="bottom"/>
            <w:tcBorders>
              <w:top w:val="single" w:sz="8" w:color="F2F2F2"/>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100" w:type="dxa"/>
            <w:vAlign w:val="bottom"/>
            <w:tcBorders>
              <w:bottom w:val="single" w:sz="8" w:color="7F7F7F"/>
            </w:tcBorders>
          </w:tcPr>
          <w:p>
            <w:pPr>
              <w:spacing w:after="0"/>
              <w:rPr>
                <w:sz w:val="13"/>
                <w:szCs w:val="13"/>
                <w:color w:val="auto"/>
              </w:rPr>
            </w:pPr>
          </w:p>
        </w:tc>
        <w:tc>
          <w:tcPr>
            <w:tcW w:w="1660" w:type="dxa"/>
            <w:vAlign w:val="bottom"/>
            <w:tcBorders>
              <w:bottom w:val="single" w:sz="8" w:color="7F7F7F"/>
            </w:tcBorders>
          </w:tcPr>
          <w:p>
            <w:pPr>
              <w:spacing w:after="0"/>
              <w:rPr>
                <w:sz w:val="13"/>
                <w:szCs w:val="13"/>
                <w:color w:val="auto"/>
              </w:rPr>
            </w:pPr>
          </w:p>
        </w:tc>
        <w:tc>
          <w:tcPr>
            <w:tcW w:w="1880" w:type="dxa"/>
            <w:vAlign w:val="bottom"/>
            <w:tcBorders>
              <w:bottom w:val="single" w:sz="8" w:color="7F7F7F"/>
            </w:tcBorders>
          </w:tcPr>
          <w:p>
            <w:pPr>
              <w:spacing w:after="0"/>
              <w:rPr>
                <w:sz w:val="13"/>
                <w:szCs w:val="13"/>
                <w:color w:val="auto"/>
              </w:rPr>
            </w:pPr>
          </w:p>
        </w:tc>
        <w:tc>
          <w:tcPr>
            <w:tcW w:w="1780" w:type="dxa"/>
            <w:vAlign w:val="bottom"/>
            <w:tcBorders>
              <w:bottom w:val="single" w:sz="8" w:color="7F7F7F"/>
            </w:tcBorders>
          </w:tcPr>
          <w:p>
            <w:pPr>
              <w:spacing w:after="0"/>
              <w:rPr>
                <w:sz w:val="13"/>
                <w:szCs w:val="13"/>
                <w:color w:val="auto"/>
              </w:rPr>
            </w:pPr>
          </w:p>
        </w:tc>
        <w:tc>
          <w:tcPr>
            <w:tcW w:w="160" w:type="dxa"/>
            <w:vAlign w:val="bottom"/>
            <w:tcBorders>
              <w:bottom w:val="single" w:sz="8" w:color="7F7F7F"/>
            </w:tcBorders>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160" w:type="dxa"/>
            <w:vAlign w:val="bottom"/>
            <w:tcBorders>
              <w:bottom w:val="single" w:sz="8" w:color="7F7F7F"/>
            </w:tcBorders>
          </w:tcPr>
          <w:p>
            <w:pPr>
              <w:spacing w:after="0"/>
              <w:rPr>
                <w:sz w:val="13"/>
                <w:szCs w:val="13"/>
                <w:color w:val="auto"/>
              </w:rPr>
            </w:pPr>
          </w:p>
        </w:tc>
        <w:tc>
          <w:tcPr>
            <w:tcW w:w="2540" w:type="dxa"/>
            <w:vAlign w:val="bottom"/>
            <w:tcBorders>
              <w:bottom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2100" w:type="dxa"/>
            <w:vAlign w:val="bottom"/>
          </w:tcPr>
          <w:p>
            <w:pPr>
              <w:spacing w:after="0"/>
              <w:rPr>
                <w:sz w:val="20"/>
                <w:szCs w:val="20"/>
                <w:color w:val="auto"/>
              </w:rPr>
            </w:pPr>
            <w:r>
              <w:rPr>
                <w:rFonts w:ascii="Arial" w:cs="Arial" w:eastAsia="Arial" w:hAnsi="Arial"/>
                <w:sz w:val="12"/>
                <w:szCs w:val="12"/>
                <w:color w:val="auto"/>
              </w:rPr>
              <w:t xml:space="preserve">2          </w:t>
            </w:r>
          </w:p>
        </w:tc>
        <w:tc>
          <w:tcPr>
            <w:tcW w:w="1660" w:type="dxa"/>
            <w:vAlign w:val="bottom"/>
          </w:tcPr>
          <w:p>
            <w:pPr>
              <w:ind w:left="60"/>
              <w:spacing w:after="0"/>
              <w:rPr>
                <w:sz w:val="20"/>
                <w:szCs w:val="20"/>
                <w:color w:val="auto"/>
              </w:rPr>
            </w:pPr>
            <w:r>
              <w:rPr>
                <w:rFonts w:ascii="Arial" w:cs="Arial" w:eastAsia="Arial" w:hAnsi="Arial"/>
                <w:sz w:val="12"/>
                <w:szCs w:val="12"/>
                <w:color w:val="auto"/>
              </w:rPr>
              <w:t>      2026 Proxy Statement</w:t>
            </w:r>
          </w:p>
        </w:tc>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581660</wp:posOffset>
            </wp:positionH>
            <wp:positionV relativeFrom="paragraph">
              <wp:posOffset>-135255</wp:posOffset>
            </wp:positionV>
            <wp:extent cx="739140"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60" w:type="dxa"/>
        <w:tblCellMar>
          <w:top w:w="0" w:type="dxa"/>
          <w:left w:w="0" w:type="dxa"/>
          <w:bottom w:w="0" w:type="dxa"/>
          <w:right w:w="0" w:type="dxa"/>
        </w:tblCellMar>
      </w:tblPr>
      <w:tr>
        <w:trPr>
          <w:trHeight w:val="147"/>
        </w:trPr>
        <w:tc>
          <w:tcPr>
            <w:tcW w:w="5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4"/>
          </w:tcPr>
          <w:p>
            <w:pPr>
              <w:ind w:left="360"/>
              <w:spacing w:after="0"/>
              <w:rPr>
                <w:sz w:val="20"/>
                <w:szCs w:val="20"/>
                <w:color w:val="auto"/>
              </w:rPr>
            </w:pPr>
            <w:r>
              <w:rPr>
                <w:rFonts w:ascii="Arial" w:cs="Arial" w:eastAsia="Arial" w:hAnsi="Arial"/>
                <w:sz w:val="11"/>
                <w:szCs w:val="11"/>
                <w:b w:val="1"/>
                <w:bCs w:val="1"/>
                <w:color w:val="7F7F7F"/>
                <w:w w:val="97"/>
              </w:rPr>
              <w:t>Proxy Statement Summary</w:t>
            </w:r>
          </w:p>
        </w:tc>
        <w:tc>
          <w:tcPr>
            <w:tcW w:w="0" w:type="dxa"/>
            <w:vAlign w:val="bottom"/>
          </w:tcPr>
          <w:p>
            <w:pPr>
              <w:spacing w:after="0"/>
              <w:rPr>
                <w:sz w:val="1"/>
                <w:szCs w:val="1"/>
                <w:color w:val="auto"/>
              </w:rPr>
            </w:pPr>
          </w:p>
        </w:tc>
      </w:tr>
      <w:tr>
        <w:trPr>
          <w:trHeight w:val="530"/>
        </w:trPr>
        <w:tc>
          <w:tcPr>
            <w:tcW w:w="5140" w:type="dxa"/>
            <w:vAlign w:val="bottom"/>
            <w:gridSpan w:val="2"/>
          </w:tcPr>
          <w:p>
            <w:pPr>
              <w:spacing w:after="0"/>
              <w:rPr>
                <w:sz w:val="20"/>
                <w:szCs w:val="20"/>
                <w:color w:val="auto"/>
              </w:rPr>
            </w:pPr>
            <w:r>
              <w:rPr>
                <w:rFonts w:ascii="Arial" w:cs="Arial" w:eastAsia="Arial" w:hAnsi="Arial"/>
                <w:sz w:val="32"/>
                <w:szCs w:val="32"/>
                <w:color w:val="001689"/>
              </w:rPr>
              <w:t>Director Nominees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 w:type="dxa"/>
            <w:vAlign w:val="bottom"/>
            <w:shd w:val="clear" w:color="auto" w:fill="005CB9"/>
          </w:tcPr>
          <w:p>
            <w:pPr>
              <w:spacing w:after="0"/>
              <w:rPr>
                <w:sz w:val="18"/>
                <w:szCs w:val="18"/>
                <w:color w:val="auto"/>
              </w:rPr>
            </w:pPr>
          </w:p>
        </w:tc>
        <w:tc>
          <w:tcPr>
            <w:tcW w:w="4620" w:type="dxa"/>
            <w:vAlign w:val="bottom"/>
            <w:shd w:val="clear" w:color="auto" w:fill="005CB9"/>
          </w:tcPr>
          <w:p>
            <w:pPr>
              <w:spacing w:after="0"/>
              <w:rPr>
                <w:sz w:val="18"/>
                <w:szCs w:val="18"/>
                <w:color w:val="auto"/>
              </w:rPr>
            </w:pPr>
          </w:p>
        </w:tc>
        <w:tc>
          <w:tcPr>
            <w:tcW w:w="720" w:type="dxa"/>
            <w:vAlign w:val="bottom"/>
            <w:shd w:val="clear" w:color="auto" w:fill="005CB9"/>
          </w:tcPr>
          <w:p>
            <w:pPr>
              <w:spacing w:after="0"/>
              <w:rPr>
                <w:sz w:val="18"/>
                <w:szCs w:val="18"/>
                <w:color w:val="auto"/>
              </w:rPr>
            </w:pPr>
          </w:p>
        </w:tc>
        <w:tc>
          <w:tcPr>
            <w:tcW w:w="440" w:type="dxa"/>
            <w:vAlign w:val="bottom"/>
            <w:shd w:val="clear" w:color="auto" w:fill="005CB9"/>
          </w:tcPr>
          <w:p>
            <w:pPr>
              <w:spacing w:after="0"/>
              <w:rPr>
                <w:sz w:val="18"/>
                <w:szCs w:val="18"/>
                <w:color w:val="auto"/>
              </w:rPr>
            </w:pPr>
          </w:p>
        </w:tc>
        <w:tc>
          <w:tcPr>
            <w:tcW w:w="640" w:type="dxa"/>
            <w:vAlign w:val="bottom"/>
            <w:shd w:val="clear" w:color="auto" w:fill="005CB9"/>
          </w:tcPr>
          <w:p>
            <w:pPr>
              <w:spacing w:after="0"/>
              <w:rPr>
                <w:sz w:val="18"/>
                <w:szCs w:val="18"/>
                <w:color w:val="auto"/>
              </w:rPr>
            </w:pPr>
          </w:p>
        </w:tc>
        <w:tc>
          <w:tcPr>
            <w:tcW w:w="1100" w:type="dxa"/>
            <w:vAlign w:val="bottom"/>
            <w:tcBorders>
              <w:right w:val="single" w:sz="8" w:color="005CB9"/>
            </w:tcBorders>
            <w:shd w:val="clear" w:color="auto" w:fill="005CB9"/>
          </w:tcPr>
          <w:p>
            <w:pPr>
              <w:spacing w:after="0"/>
              <w:rPr>
                <w:sz w:val="18"/>
                <w:szCs w:val="18"/>
                <w:color w:val="auto"/>
              </w:rPr>
            </w:pPr>
          </w:p>
        </w:tc>
        <w:tc>
          <w:tcPr>
            <w:tcW w:w="480" w:type="dxa"/>
            <w:vAlign w:val="bottom"/>
            <w:tcBorders>
              <w:right w:val="single" w:sz="8" w:color="005CB9"/>
            </w:tcBorders>
            <w:shd w:val="clear" w:color="auto" w:fill="005CB9"/>
          </w:tcPr>
          <w:p>
            <w:pPr>
              <w:spacing w:after="0"/>
              <w:rPr>
                <w:sz w:val="18"/>
                <w:szCs w:val="18"/>
                <w:color w:val="auto"/>
              </w:rPr>
            </w:pPr>
          </w:p>
        </w:tc>
        <w:tc>
          <w:tcPr>
            <w:tcW w:w="2400" w:type="dxa"/>
            <w:vAlign w:val="bottom"/>
            <w:gridSpan w:val="4"/>
            <w:shd w:val="clear" w:color="auto" w:fill="005CB9"/>
          </w:tcPr>
          <w:p>
            <w:pPr>
              <w:jc w:val="center"/>
              <w:ind w:right="400"/>
              <w:spacing w:after="0"/>
              <w:rPr>
                <w:sz w:val="20"/>
                <w:szCs w:val="20"/>
                <w:color w:val="auto"/>
              </w:rPr>
            </w:pPr>
            <w:r>
              <w:rPr>
                <w:rFonts w:ascii="Arial" w:cs="Arial" w:eastAsia="Arial" w:hAnsi="Arial"/>
                <w:sz w:val="14"/>
                <w:szCs w:val="14"/>
                <w:b w:val="1"/>
                <w:bCs w:val="1"/>
                <w:color w:val="FFFFFF"/>
              </w:rPr>
              <w:t>Standing Board Committee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20" w:type="dxa"/>
            <w:vAlign w:val="bottom"/>
            <w:shd w:val="clear" w:color="auto" w:fill="005CB9"/>
          </w:tcPr>
          <w:p>
            <w:pPr>
              <w:spacing w:after="0"/>
              <w:rPr>
                <w:sz w:val="15"/>
                <w:szCs w:val="15"/>
                <w:color w:val="auto"/>
              </w:rPr>
            </w:pPr>
          </w:p>
        </w:tc>
        <w:tc>
          <w:tcPr>
            <w:tcW w:w="4620" w:type="dxa"/>
            <w:vAlign w:val="bottom"/>
            <w:shd w:val="clear" w:color="auto" w:fill="005CB9"/>
          </w:tcPr>
          <w:p>
            <w:pPr>
              <w:spacing w:after="0"/>
              <w:rPr>
                <w:sz w:val="15"/>
                <w:szCs w:val="15"/>
                <w:color w:val="auto"/>
              </w:rPr>
            </w:pPr>
          </w:p>
        </w:tc>
        <w:tc>
          <w:tcPr>
            <w:tcW w:w="720" w:type="dxa"/>
            <w:vAlign w:val="bottom"/>
            <w:shd w:val="clear" w:color="auto" w:fill="005CB9"/>
          </w:tcPr>
          <w:p>
            <w:pPr>
              <w:spacing w:after="0"/>
              <w:rPr>
                <w:sz w:val="15"/>
                <w:szCs w:val="15"/>
                <w:color w:val="auto"/>
              </w:rPr>
            </w:pPr>
          </w:p>
        </w:tc>
        <w:tc>
          <w:tcPr>
            <w:tcW w:w="440" w:type="dxa"/>
            <w:vAlign w:val="bottom"/>
            <w:shd w:val="clear" w:color="auto" w:fill="005CB9"/>
          </w:tcPr>
          <w:p>
            <w:pPr>
              <w:spacing w:after="0"/>
              <w:rPr>
                <w:sz w:val="15"/>
                <w:szCs w:val="15"/>
                <w:color w:val="auto"/>
              </w:rPr>
            </w:pPr>
          </w:p>
        </w:tc>
        <w:tc>
          <w:tcPr>
            <w:tcW w:w="640" w:type="dxa"/>
            <w:vAlign w:val="bottom"/>
            <w:shd w:val="clear" w:color="auto" w:fill="005CB9"/>
          </w:tcPr>
          <w:p>
            <w:pPr>
              <w:spacing w:after="0"/>
              <w:rPr>
                <w:sz w:val="15"/>
                <w:szCs w:val="15"/>
                <w:color w:val="auto"/>
              </w:rPr>
            </w:pPr>
          </w:p>
        </w:tc>
        <w:tc>
          <w:tcPr>
            <w:tcW w:w="1100" w:type="dxa"/>
            <w:vAlign w:val="bottom"/>
            <w:tcBorders>
              <w:right w:val="single" w:sz="8" w:color="005CB9"/>
            </w:tcBorders>
            <w:shd w:val="clear" w:color="auto" w:fill="005CB9"/>
          </w:tcPr>
          <w:p>
            <w:pPr>
              <w:spacing w:after="0"/>
              <w:rPr>
                <w:sz w:val="15"/>
                <w:szCs w:val="15"/>
                <w:color w:val="auto"/>
              </w:rPr>
            </w:pPr>
          </w:p>
        </w:tc>
        <w:tc>
          <w:tcPr>
            <w:tcW w:w="480" w:type="dxa"/>
            <w:vAlign w:val="bottom"/>
            <w:tcBorders>
              <w:right w:val="single" w:sz="8" w:color="005CB9"/>
            </w:tcBorders>
            <w:shd w:val="clear" w:color="auto" w:fill="005CB9"/>
          </w:tcPr>
          <w:p>
            <w:pPr>
              <w:spacing w:after="0"/>
              <w:rPr>
                <w:sz w:val="15"/>
                <w:szCs w:val="15"/>
                <w:color w:val="auto"/>
              </w:rPr>
            </w:pPr>
          </w:p>
        </w:tc>
        <w:tc>
          <w:tcPr>
            <w:tcW w:w="2400" w:type="dxa"/>
            <w:vAlign w:val="bottom"/>
            <w:gridSpan w:val="4"/>
            <w:shd w:val="clear" w:color="auto" w:fill="005CB9"/>
          </w:tcPr>
          <w:p>
            <w:pPr>
              <w:jc w:val="center"/>
              <w:ind w:right="400"/>
              <w:spacing w:after="0" w:line="174" w:lineRule="exact"/>
              <w:rPr>
                <w:sz w:val="20"/>
                <w:szCs w:val="20"/>
                <w:color w:val="auto"/>
              </w:rPr>
            </w:pPr>
            <w:r>
              <w:rPr>
                <w:rFonts w:ascii="Arial" w:cs="Arial" w:eastAsia="Arial" w:hAnsi="Arial"/>
                <w:sz w:val="14"/>
                <w:szCs w:val="14"/>
                <w:b w:val="1"/>
                <w:bCs w:val="1"/>
                <w:color w:val="FFFFFF"/>
                <w:w w:val="98"/>
              </w:rPr>
              <w:t>Membership</w:t>
            </w:r>
            <w:r>
              <w:rPr>
                <w:rFonts w:ascii="Arial" w:cs="Arial" w:eastAsia="Arial" w:hAnsi="Arial"/>
                <w:sz w:val="20"/>
                <w:szCs w:val="20"/>
                <w:b w:val="1"/>
                <w:bCs w:val="1"/>
                <w:color w:val="FFFFFF"/>
                <w:w w:val="98"/>
                <w:vertAlign w:val="superscript"/>
              </w:rPr>
              <w: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520" w:type="dxa"/>
            <w:vAlign w:val="bottom"/>
            <w:shd w:val="clear" w:color="auto" w:fill="005CB9"/>
          </w:tcPr>
          <w:p>
            <w:pPr>
              <w:spacing w:after="0"/>
              <w:rPr>
                <w:sz w:val="5"/>
                <w:szCs w:val="5"/>
                <w:color w:val="auto"/>
              </w:rPr>
            </w:pPr>
          </w:p>
        </w:tc>
        <w:tc>
          <w:tcPr>
            <w:tcW w:w="4620" w:type="dxa"/>
            <w:vAlign w:val="bottom"/>
            <w:shd w:val="clear" w:color="auto" w:fill="005CB9"/>
          </w:tcPr>
          <w:p>
            <w:pPr>
              <w:spacing w:after="0"/>
              <w:rPr>
                <w:sz w:val="5"/>
                <w:szCs w:val="5"/>
                <w:color w:val="auto"/>
              </w:rPr>
            </w:pPr>
          </w:p>
        </w:tc>
        <w:tc>
          <w:tcPr>
            <w:tcW w:w="720" w:type="dxa"/>
            <w:vAlign w:val="bottom"/>
            <w:shd w:val="clear" w:color="auto" w:fill="005CB9"/>
          </w:tcPr>
          <w:p>
            <w:pPr>
              <w:spacing w:after="0"/>
              <w:rPr>
                <w:sz w:val="5"/>
                <w:szCs w:val="5"/>
                <w:color w:val="auto"/>
              </w:rPr>
            </w:pPr>
          </w:p>
        </w:tc>
        <w:tc>
          <w:tcPr>
            <w:tcW w:w="440" w:type="dxa"/>
            <w:vAlign w:val="bottom"/>
            <w:shd w:val="clear" w:color="auto" w:fill="005CB9"/>
          </w:tcPr>
          <w:p>
            <w:pPr>
              <w:spacing w:after="0"/>
              <w:rPr>
                <w:sz w:val="5"/>
                <w:szCs w:val="5"/>
                <w:color w:val="auto"/>
              </w:rPr>
            </w:pPr>
          </w:p>
        </w:tc>
        <w:tc>
          <w:tcPr>
            <w:tcW w:w="640" w:type="dxa"/>
            <w:vAlign w:val="bottom"/>
            <w:shd w:val="clear" w:color="auto" w:fill="005CB9"/>
          </w:tcPr>
          <w:p>
            <w:pPr>
              <w:spacing w:after="0"/>
              <w:rPr>
                <w:sz w:val="5"/>
                <w:szCs w:val="5"/>
                <w:color w:val="auto"/>
              </w:rPr>
            </w:pPr>
          </w:p>
        </w:tc>
        <w:tc>
          <w:tcPr>
            <w:tcW w:w="1100" w:type="dxa"/>
            <w:vAlign w:val="bottom"/>
            <w:tcBorders>
              <w:right w:val="single" w:sz="8" w:color="005CB9"/>
            </w:tcBorders>
            <w:shd w:val="clear" w:color="auto" w:fill="005CB9"/>
          </w:tcPr>
          <w:p>
            <w:pPr>
              <w:spacing w:after="0"/>
              <w:rPr>
                <w:sz w:val="5"/>
                <w:szCs w:val="5"/>
                <w:color w:val="auto"/>
              </w:rPr>
            </w:pPr>
          </w:p>
        </w:tc>
        <w:tc>
          <w:tcPr>
            <w:tcW w:w="480" w:type="dxa"/>
            <w:vAlign w:val="bottom"/>
            <w:tcBorders>
              <w:right w:val="single" w:sz="8" w:color="005CB9"/>
            </w:tcBorders>
            <w:shd w:val="clear" w:color="auto" w:fill="005CB9"/>
          </w:tcPr>
          <w:p>
            <w:pPr>
              <w:spacing w:after="0"/>
              <w:rPr>
                <w:sz w:val="5"/>
                <w:szCs w:val="5"/>
                <w:color w:val="auto"/>
              </w:rPr>
            </w:pPr>
          </w:p>
        </w:tc>
        <w:tc>
          <w:tcPr>
            <w:tcW w:w="680" w:type="dxa"/>
            <w:vAlign w:val="bottom"/>
            <w:tcBorders>
              <w:right w:val="single" w:sz="8" w:color="005CB9"/>
            </w:tcBorders>
            <w:shd w:val="clear" w:color="auto" w:fill="005CB9"/>
          </w:tcPr>
          <w:p>
            <w:pPr>
              <w:spacing w:after="0"/>
              <w:rPr>
                <w:sz w:val="5"/>
                <w:szCs w:val="5"/>
                <w:color w:val="auto"/>
              </w:rPr>
            </w:pPr>
          </w:p>
        </w:tc>
        <w:tc>
          <w:tcPr>
            <w:tcW w:w="600" w:type="dxa"/>
            <w:vAlign w:val="bottom"/>
            <w:tcBorders>
              <w:right w:val="single" w:sz="8" w:color="005CB9"/>
            </w:tcBorders>
            <w:shd w:val="clear" w:color="auto" w:fill="005CB9"/>
          </w:tcPr>
          <w:p>
            <w:pPr>
              <w:spacing w:after="0"/>
              <w:rPr>
                <w:sz w:val="5"/>
                <w:szCs w:val="5"/>
                <w:color w:val="auto"/>
              </w:rPr>
            </w:pPr>
          </w:p>
        </w:tc>
        <w:tc>
          <w:tcPr>
            <w:tcW w:w="660" w:type="dxa"/>
            <w:vAlign w:val="bottom"/>
            <w:tcBorders>
              <w:right w:val="single" w:sz="8" w:color="005CB9"/>
            </w:tcBorders>
            <w:shd w:val="clear" w:color="auto" w:fill="005CB9"/>
          </w:tcPr>
          <w:p>
            <w:pPr>
              <w:spacing w:after="0"/>
              <w:rPr>
                <w:sz w:val="5"/>
                <w:szCs w:val="5"/>
                <w:color w:val="auto"/>
              </w:rPr>
            </w:pPr>
          </w:p>
        </w:tc>
        <w:tc>
          <w:tcPr>
            <w:tcW w:w="460" w:type="dxa"/>
            <w:vAlign w:val="bottom"/>
            <w:shd w:val="clear" w:color="auto" w:fill="005CB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520" w:type="dxa"/>
            <w:vAlign w:val="bottom"/>
            <w:shd w:val="clear" w:color="auto" w:fill="005CB9"/>
          </w:tcPr>
          <w:p>
            <w:pPr>
              <w:spacing w:after="0"/>
              <w:rPr>
                <w:sz w:val="13"/>
                <w:szCs w:val="13"/>
                <w:color w:val="auto"/>
              </w:rPr>
            </w:pPr>
          </w:p>
        </w:tc>
        <w:tc>
          <w:tcPr>
            <w:tcW w:w="4620" w:type="dxa"/>
            <w:vAlign w:val="bottom"/>
            <w:shd w:val="clear" w:color="auto" w:fill="005CB9"/>
          </w:tcPr>
          <w:p>
            <w:pPr>
              <w:spacing w:after="0"/>
              <w:rPr>
                <w:sz w:val="13"/>
                <w:szCs w:val="13"/>
                <w:color w:val="auto"/>
              </w:rPr>
            </w:pPr>
          </w:p>
        </w:tc>
        <w:tc>
          <w:tcPr>
            <w:tcW w:w="720" w:type="dxa"/>
            <w:vAlign w:val="bottom"/>
            <w:shd w:val="clear" w:color="auto" w:fill="005CB9"/>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center"/>
              <w:spacing w:after="0" w:line="151" w:lineRule="exact"/>
              <w:rPr>
                <w:sz w:val="20"/>
                <w:szCs w:val="20"/>
                <w:color w:val="auto"/>
              </w:rPr>
            </w:pPr>
            <w:r>
              <w:rPr>
                <w:rFonts w:ascii="Arial" w:cs="Arial" w:eastAsia="Arial" w:hAnsi="Arial"/>
                <w:sz w:val="14"/>
                <w:szCs w:val="14"/>
                <w:b w:val="1"/>
                <w:bCs w:val="1"/>
                <w:color w:val="FFFFFF"/>
              </w:rPr>
              <w:t>Director</w:t>
            </w: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005CB9"/>
            </w:tcBorders>
            <w:gridSpan w:val="2"/>
            <w:shd w:val="clear" w:color="auto" w:fill="005CB9"/>
          </w:tcPr>
          <w:p>
            <w:pPr>
              <w:ind w:left="80"/>
              <w:spacing w:after="0"/>
              <w:rPr>
                <w:sz w:val="20"/>
                <w:szCs w:val="20"/>
                <w:color w:val="auto"/>
              </w:rPr>
            </w:pPr>
            <w:r>
              <w:rPr>
                <w:rFonts w:ascii="Arial" w:cs="Arial" w:eastAsia="Arial" w:hAnsi="Arial"/>
                <w:sz w:val="14"/>
                <w:szCs w:val="14"/>
                <w:b w:val="1"/>
                <w:bCs w:val="1"/>
                <w:color w:val="FFFFFF"/>
              </w:rPr>
              <w:t>Name and Occupation</w:t>
            </w:r>
          </w:p>
        </w:tc>
        <w:tc>
          <w:tcPr>
            <w:tcW w:w="720" w:type="dxa"/>
            <w:vAlign w:val="bottom"/>
            <w:tcBorders>
              <w:bottom w:val="single" w:sz="8" w:color="005CB9"/>
            </w:tcBorders>
            <w:shd w:val="clear" w:color="auto" w:fill="005CB9"/>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FFFFFF"/>
              </w:rPr>
              <w:t>Age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FFFFFF"/>
              </w:rPr>
              <w:t>Since</w:t>
            </w:r>
          </w:p>
        </w:tc>
        <w:tc>
          <w:tcPr>
            <w:tcW w:w="4000" w:type="dxa"/>
            <w:vAlign w:val="bottom"/>
            <w:gridSpan w:val="7"/>
          </w:tcPr>
          <w:p>
            <w:pPr>
              <w:ind w:left="60"/>
              <w:spacing w:after="0"/>
              <w:rPr>
                <w:sz w:val="20"/>
                <w:szCs w:val="20"/>
                <w:color w:val="auto"/>
              </w:rPr>
            </w:pPr>
            <w:r>
              <w:rPr>
                <w:rFonts w:ascii="Arial" w:cs="Arial" w:eastAsia="Arial" w:hAnsi="Arial"/>
                <w:sz w:val="14"/>
                <w:szCs w:val="14"/>
                <w:b w:val="1"/>
                <w:bCs w:val="1"/>
                <w:color w:val="FFFFFF"/>
                <w:w w:val="98"/>
              </w:rPr>
              <w:t xml:space="preserve">Independent     AC     CTDC      CGC     SSTC     EC    </w:t>
            </w:r>
          </w:p>
        </w:tc>
        <w:tc>
          <w:tcPr>
            <w:tcW w:w="0" w:type="dxa"/>
            <w:vAlign w:val="bottom"/>
          </w:tcPr>
          <w:p>
            <w:pPr>
              <w:spacing w:after="0"/>
              <w:rPr>
                <w:sz w:val="1"/>
                <w:szCs w:val="1"/>
                <w:color w:val="auto"/>
              </w:rPr>
            </w:pPr>
          </w:p>
        </w:tc>
      </w:tr>
      <w:tr>
        <w:trPr>
          <w:trHeight w:val="352"/>
        </w:trPr>
        <w:tc>
          <w:tcPr>
            <w:tcW w:w="520" w:type="dxa"/>
            <w:vAlign w:val="bottom"/>
          </w:tcPr>
          <w:p>
            <w:pPr>
              <w:spacing w:after="0"/>
              <w:rPr>
                <w:sz w:val="24"/>
                <w:szCs w:val="24"/>
                <w:color w:val="auto"/>
              </w:rPr>
            </w:pPr>
          </w:p>
        </w:tc>
        <w:tc>
          <w:tcPr>
            <w:tcW w:w="4620" w:type="dxa"/>
            <w:vAlign w:val="bottom"/>
          </w:tcPr>
          <w:p>
            <w:pPr>
              <w:ind w:left="220"/>
              <w:spacing w:after="0"/>
              <w:rPr>
                <w:sz w:val="20"/>
                <w:szCs w:val="20"/>
                <w:color w:val="auto"/>
              </w:rPr>
            </w:pPr>
            <w:r>
              <w:rPr>
                <w:rFonts w:ascii="Arial" w:cs="Arial" w:eastAsia="Arial" w:hAnsi="Arial"/>
                <w:sz w:val="14"/>
                <w:szCs w:val="14"/>
                <w:b w:val="1"/>
                <w:bCs w:val="1"/>
                <w:color w:val="auto"/>
              </w:rPr>
              <w:t>Andrés Conesa, Ph.D.</w:t>
            </w:r>
          </w:p>
        </w:tc>
        <w:tc>
          <w:tcPr>
            <w:tcW w:w="720" w:type="dxa"/>
            <w:vAlign w:val="bottom"/>
          </w:tcPr>
          <w:p>
            <w:pPr>
              <w:spacing w:after="0"/>
              <w:rPr>
                <w:sz w:val="24"/>
                <w:szCs w:val="24"/>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rPr>
              <w:t>56</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2017</w:t>
            </w:r>
          </w:p>
        </w:tc>
        <w:tc>
          <w:tcPr>
            <w:tcW w:w="1100" w:type="dxa"/>
            <w:vAlign w:val="bottom"/>
            <w:tcBorders>
              <w:right w:val="single" w:sz="8" w:color="D8D8D8"/>
            </w:tcBorders>
          </w:tcPr>
          <w:p>
            <w:pPr>
              <w:spacing w:after="0"/>
              <w:rPr>
                <w:sz w:val="24"/>
                <w:szCs w:val="24"/>
                <w:color w:val="auto"/>
              </w:rPr>
            </w:pPr>
          </w:p>
        </w:tc>
        <w:tc>
          <w:tcPr>
            <w:tcW w:w="480" w:type="dxa"/>
            <w:vAlign w:val="bottom"/>
            <w:tcBorders>
              <w:right w:val="single" w:sz="8" w:color="D8D8D8"/>
            </w:tcBorders>
          </w:tcPr>
          <w:p>
            <w:pPr>
              <w:spacing w:after="0"/>
              <w:rPr>
                <w:sz w:val="24"/>
                <w:szCs w:val="24"/>
                <w:color w:val="auto"/>
              </w:rPr>
            </w:pPr>
          </w:p>
        </w:tc>
        <w:tc>
          <w:tcPr>
            <w:tcW w:w="680" w:type="dxa"/>
            <w:vAlign w:val="bottom"/>
            <w:tcBorders>
              <w:right w:val="single" w:sz="8" w:color="D8D8D8"/>
            </w:tcBorders>
          </w:tcPr>
          <w:p>
            <w:pPr>
              <w:spacing w:after="0"/>
              <w:rPr>
                <w:sz w:val="24"/>
                <w:szCs w:val="24"/>
                <w:color w:val="auto"/>
              </w:rPr>
            </w:pPr>
          </w:p>
        </w:tc>
        <w:tc>
          <w:tcPr>
            <w:tcW w:w="600" w:type="dxa"/>
            <w:vAlign w:val="bottom"/>
            <w:tcBorders>
              <w:right w:val="single" w:sz="8" w:color="D8D8D8"/>
            </w:tcBorders>
          </w:tcPr>
          <w:p>
            <w:pPr>
              <w:spacing w:after="0"/>
              <w:rPr>
                <w:sz w:val="24"/>
                <w:szCs w:val="24"/>
                <w:color w:val="auto"/>
              </w:rPr>
            </w:pPr>
          </w:p>
        </w:tc>
        <w:tc>
          <w:tcPr>
            <w:tcW w:w="660" w:type="dxa"/>
            <w:vAlign w:val="bottom"/>
            <w:tcBorders>
              <w:right w:val="single" w:sz="8" w:color="D8D8D8"/>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4620" w:type="dxa"/>
            <w:vAlign w:val="bottom"/>
            <w:vMerge w:val="restart"/>
          </w:tcPr>
          <w:p>
            <w:pPr>
              <w:ind w:left="220"/>
              <w:spacing w:after="0"/>
              <w:rPr>
                <w:sz w:val="20"/>
                <w:szCs w:val="20"/>
                <w:color w:val="auto"/>
              </w:rPr>
            </w:pPr>
            <w:r>
              <w:rPr>
                <w:rFonts w:ascii="Arial" w:cs="Arial" w:eastAsia="Arial" w:hAnsi="Arial"/>
                <w:sz w:val="14"/>
                <w:szCs w:val="14"/>
                <w:color w:val="auto"/>
              </w:rPr>
              <w:t>Chief Executive Officer, Grupo Aeroméxico, S.A.B. de C.V.</w:t>
            </w:r>
          </w:p>
        </w:tc>
        <w:tc>
          <w:tcPr>
            <w:tcW w:w="7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tcBorders>
              <w:right w:val="single" w:sz="8" w:color="D8D8D8"/>
            </w:tcBorders>
          </w:tcPr>
          <w:p>
            <w:pPr>
              <w:spacing w:after="0"/>
              <w:rPr>
                <w:sz w:val="9"/>
                <w:szCs w:val="9"/>
                <w:color w:val="auto"/>
              </w:rPr>
            </w:pPr>
          </w:p>
        </w:tc>
        <w:tc>
          <w:tcPr>
            <w:tcW w:w="480" w:type="dxa"/>
            <w:vAlign w:val="bottom"/>
            <w:tcBorders>
              <w:right w:val="single" w:sz="8" w:color="D8D8D8"/>
            </w:tcBorders>
          </w:tcPr>
          <w:p>
            <w:pPr>
              <w:spacing w:after="0"/>
              <w:rPr>
                <w:sz w:val="9"/>
                <w:szCs w:val="9"/>
                <w:color w:val="auto"/>
              </w:rPr>
            </w:pPr>
          </w:p>
        </w:tc>
        <w:tc>
          <w:tcPr>
            <w:tcW w:w="680" w:type="dxa"/>
            <w:vAlign w:val="bottom"/>
            <w:tcBorders>
              <w:right w:val="single" w:sz="8" w:color="D8D8D8"/>
            </w:tcBorders>
          </w:tcPr>
          <w:p>
            <w:pPr>
              <w:spacing w:after="0"/>
              <w:rPr>
                <w:sz w:val="9"/>
                <w:szCs w:val="9"/>
                <w:color w:val="auto"/>
              </w:rPr>
            </w:pPr>
          </w:p>
        </w:tc>
        <w:tc>
          <w:tcPr>
            <w:tcW w:w="600" w:type="dxa"/>
            <w:vAlign w:val="bottom"/>
            <w:tcBorders>
              <w:right w:val="single" w:sz="8" w:color="D8D8D8"/>
            </w:tcBorders>
          </w:tcPr>
          <w:p>
            <w:pPr>
              <w:spacing w:after="0"/>
              <w:rPr>
                <w:sz w:val="9"/>
                <w:szCs w:val="9"/>
                <w:color w:val="auto"/>
              </w:rPr>
            </w:pPr>
          </w:p>
        </w:tc>
        <w:tc>
          <w:tcPr>
            <w:tcW w:w="660" w:type="dxa"/>
            <w:vAlign w:val="bottom"/>
            <w:tcBorders>
              <w:right w:val="single" w:sz="8" w:color="D8D8D8"/>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2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Borders>
              <w:right w:val="single" w:sz="8" w:color="D8D8D8"/>
            </w:tcBorders>
          </w:tcPr>
          <w:p>
            <w:pPr>
              <w:spacing w:after="0"/>
              <w:rPr>
                <w:sz w:val="6"/>
                <w:szCs w:val="6"/>
                <w:color w:val="auto"/>
              </w:rPr>
            </w:pPr>
          </w:p>
        </w:tc>
        <w:tc>
          <w:tcPr>
            <w:tcW w:w="480" w:type="dxa"/>
            <w:vAlign w:val="bottom"/>
            <w:tcBorders>
              <w:right w:val="single" w:sz="8" w:color="D8D8D8"/>
            </w:tcBorders>
          </w:tcPr>
          <w:p>
            <w:pPr>
              <w:spacing w:after="0"/>
              <w:rPr>
                <w:sz w:val="6"/>
                <w:szCs w:val="6"/>
                <w:color w:val="auto"/>
              </w:rPr>
            </w:pPr>
          </w:p>
        </w:tc>
        <w:tc>
          <w:tcPr>
            <w:tcW w:w="680" w:type="dxa"/>
            <w:vAlign w:val="bottom"/>
            <w:tcBorders>
              <w:right w:val="single" w:sz="8" w:color="D8D8D8"/>
            </w:tcBorders>
          </w:tcPr>
          <w:p>
            <w:pPr>
              <w:spacing w:after="0"/>
              <w:rPr>
                <w:sz w:val="6"/>
                <w:szCs w:val="6"/>
                <w:color w:val="auto"/>
              </w:rPr>
            </w:pPr>
          </w:p>
        </w:tc>
        <w:tc>
          <w:tcPr>
            <w:tcW w:w="600" w:type="dxa"/>
            <w:vAlign w:val="bottom"/>
            <w:tcBorders>
              <w:right w:val="single" w:sz="8" w:color="D8D8D8"/>
            </w:tcBorders>
          </w:tcPr>
          <w:p>
            <w:pPr>
              <w:spacing w:after="0"/>
              <w:rPr>
                <w:sz w:val="6"/>
                <w:szCs w:val="6"/>
                <w:color w:val="auto"/>
              </w:rPr>
            </w:pPr>
          </w:p>
        </w:tc>
        <w:tc>
          <w:tcPr>
            <w:tcW w:w="660" w:type="dxa"/>
            <w:vAlign w:val="bottom"/>
            <w:tcBorders>
              <w:right w:val="single" w:sz="8" w:color="D8D8D8"/>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20" w:type="dxa"/>
            <w:vAlign w:val="bottom"/>
            <w:tcBorders>
              <w:bottom w:val="single" w:sz="8" w:color="7F7F7F"/>
            </w:tcBorders>
          </w:tcPr>
          <w:p>
            <w:pPr>
              <w:spacing w:after="0"/>
              <w:rPr>
                <w:sz w:val="16"/>
                <w:szCs w:val="16"/>
                <w:color w:val="auto"/>
              </w:rPr>
            </w:pPr>
          </w:p>
        </w:tc>
        <w:tc>
          <w:tcPr>
            <w:tcW w:w="462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tcPr>
          <w:p>
            <w:pPr>
              <w:spacing w:after="0"/>
              <w:rPr>
                <w:sz w:val="16"/>
                <w:szCs w:val="16"/>
                <w:color w:val="auto"/>
              </w:rPr>
            </w:pPr>
          </w:p>
        </w:tc>
        <w:tc>
          <w:tcPr>
            <w:tcW w:w="440" w:type="dxa"/>
            <w:vAlign w:val="bottom"/>
            <w:tcBorders>
              <w:bottom w:val="single" w:sz="8" w:color="7F7F7F"/>
            </w:tcBorders>
          </w:tcPr>
          <w:p>
            <w:pPr>
              <w:spacing w:after="0"/>
              <w:rPr>
                <w:sz w:val="16"/>
                <w:szCs w:val="16"/>
                <w:color w:val="auto"/>
              </w:rPr>
            </w:pPr>
          </w:p>
        </w:tc>
        <w:tc>
          <w:tcPr>
            <w:tcW w:w="640" w:type="dxa"/>
            <w:vAlign w:val="bottom"/>
            <w:tcBorders>
              <w:bottom w:val="single" w:sz="8" w:color="7F7F7F"/>
            </w:tcBorders>
          </w:tcPr>
          <w:p>
            <w:pPr>
              <w:spacing w:after="0"/>
              <w:rPr>
                <w:sz w:val="16"/>
                <w:szCs w:val="16"/>
                <w:color w:val="auto"/>
              </w:rPr>
            </w:pPr>
          </w:p>
        </w:tc>
        <w:tc>
          <w:tcPr>
            <w:tcW w:w="1100" w:type="dxa"/>
            <w:vAlign w:val="bottom"/>
            <w:tcBorders>
              <w:bottom w:val="single" w:sz="8" w:color="7F7F7F"/>
              <w:right w:val="single" w:sz="8" w:color="D8D8D8"/>
            </w:tcBorders>
          </w:tcPr>
          <w:p>
            <w:pPr>
              <w:spacing w:after="0"/>
              <w:rPr>
                <w:sz w:val="16"/>
                <w:szCs w:val="16"/>
                <w:color w:val="auto"/>
              </w:rPr>
            </w:pPr>
          </w:p>
        </w:tc>
        <w:tc>
          <w:tcPr>
            <w:tcW w:w="480" w:type="dxa"/>
            <w:vAlign w:val="bottom"/>
            <w:tcBorders>
              <w:bottom w:val="single" w:sz="8" w:color="7F7F7F"/>
              <w:right w:val="single" w:sz="8" w:color="D8D8D8"/>
            </w:tcBorders>
          </w:tcPr>
          <w:p>
            <w:pPr>
              <w:spacing w:after="0"/>
              <w:rPr>
                <w:sz w:val="16"/>
                <w:szCs w:val="16"/>
                <w:color w:val="auto"/>
              </w:rPr>
            </w:pPr>
          </w:p>
        </w:tc>
        <w:tc>
          <w:tcPr>
            <w:tcW w:w="680" w:type="dxa"/>
            <w:vAlign w:val="bottom"/>
            <w:tcBorders>
              <w:bottom w:val="single" w:sz="8" w:color="7F7F7F"/>
              <w:right w:val="single" w:sz="8" w:color="D8D8D8"/>
            </w:tcBorders>
          </w:tcPr>
          <w:p>
            <w:pPr>
              <w:spacing w:after="0"/>
              <w:rPr>
                <w:sz w:val="16"/>
                <w:szCs w:val="16"/>
                <w:color w:val="auto"/>
              </w:rPr>
            </w:pPr>
          </w:p>
        </w:tc>
        <w:tc>
          <w:tcPr>
            <w:tcW w:w="600" w:type="dxa"/>
            <w:vAlign w:val="bottom"/>
            <w:tcBorders>
              <w:bottom w:val="single" w:sz="8" w:color="7F7F7F"/>
              <w:right w:val="single" w:sz="8" w:color="D8D8D8"/>
            </w:tcBorders>
          </w:tcPr>
          <w:p>
            <w:pPr>
              <w:spacing w:after="0"/>
              <w:rPr>
                <w:sz w:val="16"/>
                <w:szCs w:val="16"/>
                <w:color w:val="auto"/>
              </w:rPr>
            </w:pPr>
          </w:p>
        </w:tc>
        <w:tc>
          <w:tcPr>
            <w:tcW w:w="660" w:type="dxa"/>
            <w:vAlign w:val="bottom"/>
            <w:tcBorders>
              <w:bottom w:val="single" w:sz="8" w:color="7F7F7F"/>
              <w:right w:val="single" w:sz="8" w:color="D8D8D8"/>
            </w:tcBorders>
          </w:tcPr>
          <w:p>
            <w:pPr>
              <w:spacing w:after="0"/>
              <w:rPr>
                <w:sz w:val="16"/>
                <w:szCs w:val="16"/>
                <w:color w:val="auto"/>
              </w:rPr>
            </w:pPr>
          </w:p>
        </w:tc>
        <w:tc>
          <w:tcPr>
            <w:tcW w:w="460" w:type="dxa"/>
            <w:vAlign w:val="bottom"/>
            <w:tcBorders>
              <w:bottom w:val="single" w:sz="8" w:color="7F7F7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520" w:type="dxa"/>
            <w:vAlign w:val="bottom"/>
            <w:shd w:val="clear" w:color="auto" w:fill="F2F2F2"/>
          </w:tcPr>
          <w:p>
            <w:pPr>
              <w:spacing w:after="0"/>
              <w:rPr>
                <w:sz w:val="24"/>
                <w:szCs w:val="24"/>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b w:val="1"/>
                <w:bCs w:val="1"/>
                <w:color w:val="auto"/>
              </w:rPr>
              <w:t>Pablo A. Ferrero</w:t>
            </w:r>
          </w:p>
        </w:tc>
        <w:tc>
          <w:tcPr>
            <w:tcW w:w="720" w:type="dxa"/>
            <w:vAlign w:val="bottom"/>
            <w:shd w:val="clear" w:color="auto" w:fill="F2F2F2"/>
          </w:tcPr>
          <w:p>
            <w:pPr>
              <w:spacing w:after="0"/>
              <w:rPr>
                <w:sz w:val="24"/>
                <w:szCs w:val="24"/>
                <w:color w:val="auto"/>
              </w:rPr>
            </w:pPr>
          </w:p>
        </w:tc>
        <w:tc>
          <w:tcPr>
            <w:tcW w:w="4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63</w:t>
            </w:r>
          </w:p>
        </w:tc>
        <w:tc>
          <w:tcPr>
            <w:tcW w:w="6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2013</w:t>
            </w:r>
          </w:p>
        </w:tc>
        <w:tc>
          <w:tcPr>
            <w:tcW w:w="1100" w:type="dxa"/>
            <w:vAlign w:val="bottom"/>
            <w:tcBorders>
              <w:right w:val="single" w:sz="8" w:color="D8D8D8"/>
            </w:tcBorders>
            <w:shd w:val="clear" w:color="auto" w:fill="F2F2F2"/>
          </w:tcPr>
          <w:p>
            <w:pPr>
              <w:spacing w:after="0"/>
              <w:rPr>
                <w:sz w:val="24"/>
                <w:szCs w:val="24"/>
                <w:color w:val="auto"/>
              </w:rPr>
            </w:pPr>
          </w:p>
        </w:tc>
        <w:tc>
          <w:tcPr>
            <w:tcW w:w="480" w:type="dxa"/>
            <w:vAlign w:val="bottom"/>
            <w:tcBorders>
              <w:right w:val="single" w:sz="8" w:color="D8D8D8"/>
            </w:tcBorders>
            <w:shd w:val="clear" w:color="auto" w:fill="F2F2F2"/>
          </w:tcPr>
          <w:p>
            <w:pPr>
              <w:spacing w:after="0"/>
              <w:rPr>
                <w:sz w:val="24"/>
                <w:szCs w:val="24"/>
                <w:color w:val="auto"/>
              </w:rPr>
            </w:pPr>
          </w:p>
        </w:tc>
        <w:tc>
          <w:tcPr>
            <w:tcW w:w="680" w:type="dxa"/>
            <w:vAlign w:val="bottom"/>
            <w:tcBorders>
              <w:right w:val="single" w:sz="8" w:color="D8D8D8"/>
            </w:tcBorders>
            <w:shd w:val="clear" w:color="auto" w:fill="F2F2F2"/>
          </w:tcPr>
          <w:p>
            <w:pPr>
              <w:spacing w:after="0"/>
              <w:rPr>
                <w:sz w:val="24"/>
                <w:szCs w:val="24"/>
                <w:color w:val="auto"/>
              </w:rPr>
            </w:pPr>
          </w:p>
        </w:tc>
        <w:tc>
          <w:tcPr>
            <w:tcW w:w="600" w:type="dxa"/>
            <w:vAlign w:val="bottom"/>
            <w:tcBorders>
              <w:right w:val="single" w:sz="8" w:color="D8D8D8"/>
            </w:tcBorders>
            <w:shd w:val="clear" w:color="auto" w:fill="F2F2F2"/>
          </w:tcPr>
          <w:p>
            <w:pPr>
              <w:spacing w:after="0"/>
              <w:rPr>
                <w:sz w:val="24"/>
                <w:szCs w:val="24"/>
                <w:color w:val="auto"/>
              </w:rPr>
            </w:pPr>
          </w:p>
        </w:tc>
        <w:tc>
          <w:tcPr>
            <w:tcW w:w="660" w:type="dxa"/>
            <w:vAlign w:val="bottom"/>
            <w:tcBorders>
              <w:right w:val="single" w:sz="8" w:color="D8D8D8"/>
            </w:tcBorders>
            <w:shd w:val="clear" w:color="auto" w:fill="F2F2F2"/>
          </w:tcPr>
          <w:p>
            <w:pPr>
              <w:spacing w:after="0"/>
              <w:rPr>
                <w:sz w:val="24"/>
                <w:szCs w:val="24"/>
                <w:color w:val="auto"/>
              </w:rPr>
            </w:pPr>
          </w:p>
        </w:tc>
        <w:tc>
          <w:tcPr>
            <w:tcW w:w="46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0" w:type="dxa"/>
            <w:vAlign w:val="bottom"/>
            <w:shd w:val="clear" w:color="auto" w:fill="F2F2F2"/>
          </w:tcPr>
          <w:p>
            <w:pPr>
              <w:spacing w:after="0"/>
              <w:rPr>
                <w:sz w:val="9"/>
                <w:szCs w:val="9"/>
                <w:color w:val="auto"/>
              </w:rPr>
            </w:pPr>
          </w:p>
        </w:tc>
        <w:tc>
          <w:tcPr>
            <w:tcW w:w="4620" w:type="dxa"/>
            <w:vAlign w:val="bottom"/>
            <w:vMerge w:val="restart"/>
            <w:shd w:val="clear" w:color="auto" w:fill="F2F2F2"/>
          </w:tcPr>
          <w:p>
            <w:pPr>
              <w:ind w:left="220"/>
              <w:spacing w:after="0"/>
              <w:rPr>
                <w:sz w:val="20"/>
                <w:szCs w:val="20"/>
                <w:color w:val="auto"/>
              </w:rPr>
            </w:pPr>
            <w:r>
              <w:rPr>
                <w:rFonts w:ascii="Arial" w:cs="Arial" w:eastAsia="Arial" w:hAnsi="Arial"/>
                <w:sz w:val="14"/>
                <w:szCs w:val="14"/>
                <w:color w:val="auto"/>
              </w:rPr>
              <w:t>Independent energy consultant</w:t>
            </w:r>
          </w:p>
        </w:tc>
        <w:tc>
          <w:tcPr>
            <w:tcW w:w="720" w:type="dxa"/>
            <w:vAlign w:val="bottom"/>
            <w:shd w:val="clear" w:color="auto" w:fill="F2F2F2"/>
          </w:tcPr>
          <w:p>
            <w:pPr>
              <w:spacing w:after="0"/>
              <w:rPr>
                <w:sz w:val="9"/>
                <w:szCs w:val="9"/>
                <w:color w:val="auto"/>
              </w:rPr>
            </w:pPr>
          </w:p>
        </w:tc>
        <w:tc>
          <w:tcPr>
            <w:tcW w:w="440" w:type="dxa"/>
            <w:vAlign w:val="bottom"/>
            <w:vMerge w:val="continue"/>
            <w:shd w:val="clear" w:color="auto" w:fill="F2F2F2"/>
          </w:tcPr>
          <w:p>
            <w:pPr>
              <w:spacing w:after="0"/>
              <w:rPr>
                <w:sz w:val="9"/>
                <w:szCs w:val="9"/>
                <w:color w:val="auto"/>
              </w:rPr>
            </w:pPr>
          </w:p>
        </w:tc>
        <w:tc>
          <w:tcPr>
            <w:tcW w:w="640" w:type="dxa"/>
            <w:vAlign w:val="bottom"/>
            <w:vMerge w:val="continue"/>
            <w:shd w:val="clear" w:color="auto" w:fill="F2F2F2"/>
          </w:tcPr>
          <w:p>
            <w:pPr>
              <w:spacing w:after="0"/>
              <w:rPr>
                <w:sz w:val="9"/>
                <w:szCs w:val="9"/>
                <w:color w:val="auto"/>
              </w:rPr>
            </w:pPr>
          </w:p>
        </w:tc>
        <w:tc>
          <w:tcPr>
            <w:tcW w:w="1100" w:type="dxa"/>
            <w:vAlign w:val="bottom"/>
            <w:tcBorders>
              <w:right w:val="single" w:sz="8" w:color="D8D8D8"/>
            </w:tcBorders>
            <w:shd w:val="clear" w:color="auto" w:fill="F2F2F2"/>
          </w:tcPr>
          <w:p>
            <w:pPr>
              <w:spacing w:after="0"/>
              <w:rPr>
                <w:sz w:val="9"/>
                <w:szCs w:val="9"/>
                <w:color w:val="auto"/>
              </w:rPr>
            </w:pPr>
          </w:p>
        </w:tc>
        <w:tc>
          <w:tcPr>
            <w:tcW w:w="480" w:type="dxa"/>
            <w:vAlign w:val="bottom"/>
            <w:tcBorders>
              <w:right w:val="single" w:sz="8" w:color="D8D8D8"/>
            </w:tcBorders>
            <w:shd w:val="clear" w:color="auto" w:fill="F2F2F2"/>
          </w:tcPr>
          <w:p>
            <w:pPr>
              <w:spacing w:after="0"/>
              <w:rPr>
                <w:sz w:val="9"/>
                <w:szCs w:val="9"/>
                <w:color w:val="auto"/>
              </w:rPr>
            </w:pPr>
          </w:p>
        </w:tc>
        <w:tc>
          <w:tcPr>
            <w:tcW w:w="680" w:type="dxa"/>
            <w:vAlign w:val="bottom"/>
            <w:tcBorders>
              <w:right w:val="single" w:sz="8" w:color="D8D8D8"/>
            </w:tcBorders>
            <w:shd w:val="clear" w:color="auto" w:fill="F2F2F2"/>
          </w:tcPr>
          <w:p>
            <w:pPr>
              <w:spacing w:after="0"/>
              <w:rPr>
                <w:sz w:val="9"/>
                <w:szCs w:val="9"/>
                <w:color w:val="auto"/>
              </w:rPr>
            </w:pPr>
          </w:p>
        </w:tc>
        <w:tc>
          <w:tcPr>
            <w:tcW w:w="600" w:type="dxa"/>
            <w:vAlign w:val="bottom"/>
            <w:tcBorders>
              <w:right w:val="single" w:sz="8" w:color="D8D8D8"/>
            </w:tcBorders>
            <w:shd w:val="clear" w:color="auto" w:fill="F2F2F2"/>
          </w:tcPr>
          <w:p>
            <w:pPr>
              <w:spacing w:after="0"/>
              <w:rPr>
                <w:sz w:val="9"/>
                <w:szCs w:val="9"/>
                <w:color w:val="auto"/>
              </w:rPr>
            </w:pPr>
          </w:p>
        </w:tc>
        <w:tc>
          <w:tcPr>
            <w:tcW w:w="660" w:type="dxa"/>
            <w:vAlign w:val="bottom"/>
            <w:tcBorders>
              <w:right w:val="single" w:sz="8" w:color="D8D8D8"/>
            </w:tcBorders>
            <w:shd w:val="clear" w:color="auto" w:fill="F2F2F2"/>
          </w:tcPr>
          <w:p>
            <w:pPr>
              <w:spacing w:after="0"/>
              <w:rPr>
                <w:sz w:val="9"/>
                <w:szCs w:val="9"/>
                <w:color w:val="auto"/>
              </w:rPr>
            </w:pPr>
          </w:p>
        </w:tc>
        <w:tc>
          <w:tcPr>
            <w:tcW w:w="460" w:type="dxa"/>
            <w:vAlign w:val="bottom"/>
            <w:shd w:val="clear" w:color="auto" w:fill="F2F2F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20" w:type="dxa"/>
            <w:vAlign w:val="bottom"/>
            <w:shd w:val="clear" w:color="auto" w:fill="F2F2F2"/>
          </w:tcPr>
          <w:p>
            <w:pPr>
              <w:spacing w:after="0"/>
              <w:rPr>
                <w:sz w:val="6"/>
                <w:szCs w:val="6"/>
                <w:color w:val="auto"/>
              </w:rPr>
            </w:pPr>
          </w:p>
        </w:tc>
        <w:tc>
          <w:tcPr>
            <w:tcW w:w="4620" w:type="dxa"/>
            <w:vAlign w:val="bottom"/>
            <w:vMerge w:val="continue"/>
            <w:shd w:val="clear" w:color="auto" w:fill="F2F2F2"/>
          </w:tcPr>
          <w:p>
            <w:pPr>
              <w:spacing w:after="0"/>
              <w:rPr>
                <w:sz w:val="6"/>
                <w:szCs w:val="6"/>
                <w:color w:val="auto"/>
              </w:rPr>
            </w:pPr>
          </w:p>
        </w:tc>
        <w:tc>
          <w:tcPr>
            <w:tcW w:w="720" w:type="dxa"/>
            <w:vAlign w:val="bottom"/>
            <w:shd w:val="clear" w:color="auto" w:fill="F2F2F2"/>
          </w:tcPr>
          <w:p>
            <w:pPr>
              <w:spacing w:after="0"/>
              <w:rPr>
                <w:sz w:val="6"/>
                <w:szCs w:val="6"/>
                <w:color w:val="auto"/>
              </w:rPr>
            </w:pPr>
          </w:p>
        </w:tc>
        <w:tc>
          <w:tcPr>
            <w:tcW w:w="440" w:type="dxa"/>
            <w:vAlign w:val="bottom"/>
            <w:shd w:val="clear" w:color="auto" w:fill="F2F2F2"/>
          </w:tcPr>
          <w:p>
            <w:pPr>
              <w:spacing w:after="0"/>
              <w:rPr>
                <w:sz w:val="6"/>
                <w:szCs w:val="6"/>
                <w:color w:val="auto"/>
              </w:rPr>
            </w:pPr>
          </w:p>
        </w:tc>
        <w:tc>
          <w:tcPr>
            <w:tcW w:w="640" w:type="dxa"/>
            <w:vAlign w:val="bottom"/>
            <w:shd w:val="clear" w:color="auto" w:fill="F2F2F2"/>
          </w:tcPr>
          <w:p>
            <w:pPr>
              <w:spacing w:after="0"/>
              <w:rPr>
                <w:sz w:val="6"/>
                <w:szCs w:val="6"/>
                <w:color w:val="auto"/>
              </w:rPr>
            </w:pPr>
          </w:p>
        </w:tc>
        <w:tc>
          <w:tcPr>
            <w:tcW w:w="1100" w:type="dxa"/>
            <w:vAlign w:val="bottom"/>
            <w:tcBorders>
              <w:right w:val="single" w:sz="8" w:color="D8D8D8"/>
            </w:tcBorders>
            <w:shd w:val="clear" w:color="auto" w:fill="F2F2F2"/>
          </w:tcPr>
          <w:p>
            <w:pPr>
              <w:spacing w:after="0"/>
              <w:rPr>
                <w:sz w:val="6"/>
                <w:szCs w:val="6"/>
                <w:color w:val="auto"/>
              </w:rPr>
            </w:pPr>
          </w:p>
        </w:tc>
        <w:tc>
          <w:tcPr>
            <w:tcW w:w="480" w:type="dxa"/>
            <w:vAlign w:val="bottom"/>
            <w:tcBorders>
              <w:right w:val="single" w:sz="8" w:color="D8D8D8"/>
            </w:tcBorders>
            <w:shd w:val="clear" w:color="auto" w:fill="F2F2F2"/>
          </w:tcPr>
          <w:p>
            <w:pPr>
              <w:spacing w:after="0"/>
              <w:rPr>
                <w:sz w:val="6"/>
                <w:szCs w:val="6"/>
                <w:color w:val="auto"/>
              </w:rPr>
            </w:pPr>
          </w:p>
        </w:tc>
        <w:tc>
          <w:tcPr>
            <w:tcW w:w="680" w:type="dxa"/>
            <w:vAlign w:val="bottom"/>
            <w:tcBorders>
              <w:right w:val="single" w:sz="8" w:color="D8D8D8"/>
            </w:tcBorders>
            <w:shd w:val="clear" w:color="auto" w:fill="F2F2F2"/>
          </w:tcPr>
          <w:p>
            <w:pPr>
              <w:spacing w:after="0"/>
              <w:rPr>
                <w:sz w:val="6"/>
                <w:szCs w:val="6"/>
                <w:color w:val="auto"/>
              </w:rPr>
            </w:pPr>
          </w:p>
        </w:tc>
        <w:tc>
          <w:tcPr>
            <w:tcW w:w="600" w:type="dxa"/>
            <w:vAlign w:val="bottom"/>
            <w:tcBorders>
              <w:right w:val="single" w:sz="8" w:color="D8D8D8"/>
            </w:tcBorders>
            <w:shd w:val="clear" w:color="auto" w:fill="F2F2F2"/>
          </w:tcPr>
          <w:p>
            <w:pPr>
              <w:spacing w:after="0"/>
              <w:rPr>
                <w:sz w:val="6"/>
                <w:szCs w:val="6"/>
                <w:color w:val="auto"/>
              </w:rPr>
            </w:pPr>
          </w:p>
        </w:tc>
        <w:tc>
          <w:tcPr>
            <w:tcW w:w="660" w:type="dxa"/>
            <w:vAlign w:val="bottom"/>
            <w:tcBorders>
              <w:right w:val="single" w:sz="8" w:color="D8D8D8"/>
            </w:tcBorders>
            <w:shd w:val="clear" w:color="auto" w:fill="F2F2F2"/>
          </w:tcPr>
          <w:p>
            <w:pPr>
              <w:spacing w:after="0"/>
              <w:rPr>
                <w:sz w:val="6"/>
                <w:szCs w:val="6"/>
                <w:color w:val="auto"/>
              </w:rPr>
            </w:pPr>
          </w:p>
        </w:tc>
        <w:tc>
          <w:tcPr>
            <w:tcW w:w="460" w:type="dxa"/>
            <w:vAlign w:val="bottom"/>
            <w:shd w:val="clear" w:color="auto" w:fill="F2F2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20" w:type="dxa"/>
            <w:vAlign w:val="bottom"/>
            <w:tcBorders>
              <w:bottom w:val="single" w:sz="8" w:color="7F7F7F"/>
            </w:tcBorders>
            <w:shd w:val="clear" w:color="auto" w:fill="F2F2F2"/>
          </w:tcPr>
          <w:p>
            <w:pPr>
              <w:spacing w:after="0"/>
              <w:rPr>
                <w:sz w:val="16"/>
                <w:szCs w:val="16"/>
                <w:color w:val="auto"/>
              </w:rPr>
            </w:pPr>
          </w:p>
        </w:tc>
        <w:tc>
          <w:tcPr>
            <w:tcW w:w="4620" w:type="dxa"/>
            <w:vAlign w:val="bottom"/>
            <w:tcBorders>
              <w:bottom w:val="single" w:sz="8" w:color="7F7F7F"/>
            </w:tcBorders>
            <w:shd w:val="clear" w:color="auto" w:fill="F2F2F2"/>
          </w:tcPr>
          <w:p>
            <w:pPr>
              <w:spacing w:after="0"/>
              <w:rPr>
                <w:sz w:val="16"/>
                <w:szCs w:val="16"/>
                <w:color w:val="auto"/>
              </w:rPr>
            </w:pPr>
          </w:p>
        </w:tc>
        <w:tc>
          <w:tcPr>
            <w:tcW w:w="720" w:type="dxa"/>
            <w:vAlign w:val="bottom"/>
            <w:tcBorders>
              <w:bottom w:val="single" w:sz="8" w:color="7F7F7F"/>
            </w:tcBorders>
            <w:shd w:val="clear" w:color="auto" w:fill="F2F2F2"/>
          </w:tcPr>
          <w:p>
            <w:pPr>
              <w:spacing w:after="0"/>
              <w:rPr>
                <w:sz w:val="16"/>
                <w:szCs w:val="16"/>
                <w:color w:val="auto"/>
              </w:rPr>
            </w:pPr>
          </w:p>
        </w:tc>
        <w:tc>
          <w:tcPr>
            <w:tcW w:w="440" w:type="dxa"/>
            <w:vAlign w:val="bottom"/>
            <w:tcBorders>
              <w:bottom w:val="single" w:sz="8" w:color="7F7F7F"/>
            </w:tcBorders>
            <w:shd w:val="clear" w:color="auto" w:fill="F2F2F2"/>
          </w:tcPr>
          <w:p>
            <w:pPr>
              <w:spacing w:after="0"/>
              <w:rPr>
                <w:sz w:val="16"/>
                <w:szCs w:val="16"/>
                <w:color w:val="auto"/>
              </w:rPr>
            </w:pPr>
          </w:p>
        </w:tc>
        <w:tc>
          <w:tcPr>
            <w:tcW w:w="640" w:type="dxa"/>
            <w:vAlign w:val="bottom"/>
            <w:tcBorders>
              <w:bottom w:val="single" w:sz="8" w:color="7F7F7F"/>
            </w:tcBorders>
            <w:shd w:val="clear" w:color="auto" w:fill="F2F2F2"/>
          </w:tcPr>
          <w:p>
            <w:pPr>
              <w:spacing w:after="0"/>
              <w:rPr>
                <w:sz w:val="16"/>
                <w:szCs w:val="16"/>
                <w:color w:val="auto"/>
              </w:rPr>
            </w:pPr>
          </w:p>
        </w:tc>
        <w:tc>
          <w:tcPr>
            <w:tcW w:w="1100" w:type="dxa"/>
            <w:vAlign w:val="bottom"/>
            <w:tcBorders>
              <w:bottom w:val="single" w:sz="8" w:color="7F7F7F"/>
              <w:right w:val="single" w:sz="8" w:color="D8D8D8"/>
            </w:tcBorders>
            <w:shd w:val="clear" w:color="auto" w:fill="F2F2F2"/>
          </w:tcPr>
          <w:p>
            <w:pPr>
              <w:spacing w:after="0"/>
              <w:rPr>
                <w:sz w:val="16"/>
                <w:szCs w:val="16"/>
                <w:color w:val="auto"/>
              </w:rPr>
            </w:pPr>
          </w:p>
        </w:tc>
        <w:tc>
          <w:tcPr>
            <w:tcW w:w="480" w:type="dxa"/>
            <w:vAlign w:val="bottom"/>
            <w:tcBorders>
              <w:bottom w:val="single" w:sz="8" w:color="7F7F7F"/>
              <w:right w:val="single" w:sz="8" w:color="D8D8D8"/>
            </w:tcBorders>
            <w:shd w:val="clear" w:color="auto" w:fill="F2F2F2"/>
          </w:tcPr>
          <w:p>
            <w:pPr>
              <w:spacing w:after="0"/>
              <w:rPr>
                <w:sz w:val="16"/>
                <w:szCs w:val="16"/>
                <w:color w:val="auto"/>
              </w:rPr>
            </w:pPr>
          </w:p>
        </w:tc>
        <w:tc>
          <w:tcPr>
            <w:tcW w:w="680" w:type="dxa"/>
            <w:vAlign w:val="bottom"/>
            <w:tcBorders>
              <w:bottom w:val="single" w:sz="8" w:color="7F7F7F"/>
              <w:right w:val="single" w:sz="8" w:color="D8D8D8"/>
            </w:tcBorders>
            <w:shd w:val="clear" w:color="auto" w:fill="F2F2F2"/>
          </w:tcPr>
          <w:p>
            <w:pPr>
              <w:spacing w:after="0"/>
              <w:rPr>
                <w:sz w:val="16"/>
                <w:szCs w:val="16"/>
                <w:color w:val="auto"/>
              </w:rPr>
            </w:pPr>
          </w:p>
        </w:tc>
        <w:tc>
          <w:tcPr>
            <w:tcW w:w="600" w:type="dxa"/>
            <w:vAlign w:val="bottom"/>
            <w:tcBorders>
              <w:bottom w:val="single" w:sz="8" w:color="7F7F7F"/>
              <w:right w:val="single" w:sz="8" w:color="D8D8D8"/>
            </w:tcBorders>
            <w:shd w:val="clear" w:color="auto" w:fill="F2F2F2"/>
          </w:tcPr>
          <w:p>
            <w:pPr>
              <w:spacing w:after="0"/>
              <w:rPr>
                <w:sz w:val="16"/>
                <w:szCs w:val="16"/>
                <w:color w:val="auto"/>
              </w:rPr>
            </w:pPr>
          </w:p>
        </w:tc>
        <w:tc>
          <w:tcPr>
            <w:tcW w:w="660" w:type="dxa"/>
            <w:vAlign w:val="bottom"/>
            <w:tcBorders>
              <w:bottom w:val="single" w:sz="8" w:color="7F7F7F"/>
              <w:right w:val="single" w:sz="8" w:color="D8D8D8"/>
            </w:tcBorders>
            <w:shd w:val="clear" w:color="auto" w:fill="F2F2F2"/>
          </w:tcPr>
          <w:p>
            <w:pPr>
              <w:spacing w:after="0"/>
              <w:rPr>
                <w:sz w:val="16"/>
                <w:szCs w:val="16"/>
                <w:color w:val="auto"/>
              </w:rPr>
            </w:pPr>
          </w:p>
        </w:tc>
        <w:tc>
          <w:tcPr>
            <w:tcW w:w="460" w:type="dxa"/>
            <w:vAlign w:val="bottom"/>
            <w:tcBorders>
              <w:bottom w:val="single" w:sz="8" w:color="7F7F7F"/>
            </w:tcBorders>
            <w:shd w:val="clear" w:color="auto" w:fill="F2F2F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520" w:type="dxa"/>
            <w:vAlign w:val="bottom"/>
          </w:tcPr>
          <w:p>
            <w:pPr>
              <w:spacing w:after="0"/>
              <w:rPr>
                <w:sz w:val="24"/>
                <w:szCs w:val="24"/>
                <w:color w:val="auto"/>
              </w:rPr>
            </w:pPr>
          </w:p>
        </w:tc>
        <w:tc>
          <w:tcPr>
            <w:tcW w:w="4620" w:type="dxa"/>
            <w:vAlign w:val="bottom"/>
          </w:tcPr>
          <w:p>
            <w:pPr>
              <w:ind w:left="220"/>
              <w:spacing w:after="0"/>
              <w:rPr>
                <w:sz w:val="20"/>
                <w:szCs w:val="20"/>
                <w:color w:val="auto"/>
              </w:rPr>
            </w:pPr>
            <w:r>
              <w:rPr>
                <w:rFonts w:ascii="Arial" w:cs="Arial" w:eastAsia="Arial" w:hAnsi="Arial"/>
                <w:sz w:val="14"/>
                <w:szCs w:val="14"/>
                <w:b w:val="1"/>
                <w:bCs w:val="1"/>
                <w:color w:val="auto"/>
              </w:rPr>
              <w:t>Jennifer M. Kirk</w:t>
            </w:r>
          </w:p>
        </w:tc>
        <w:tc>
          <w:tcPr>
            <w:tcW w:w="720" w:type="dxa"/>
            <w:vAlign w:val="bottom"/>
          </w:tcPr>
          <w:p>
            <w:pPr>
              <w:spacing w:after="0"/>
              <w:rPr>
                <w:sz w:val="24"/>
                <w:szCs w:val="24"/>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rPr>
              <w:t>51</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1100" w:type="dxa"/>
            <w:vAlign w:val="bottom"/>
            <w:tcBorders>
              <w:right w:val="single" w:sz="8" w:color="D8D8D8"/>
            </w:tcBorders>
          </w:tcPr>
          <w:p>
            <w:pPr>
              <w:spacing w:after="0"/>
              <w:rPr>
                <w:sz w:val="24"/>
                <w:szCs w:val="24"/>
                <w:color w:val="auto"/>
              </w:rPr>
            </w:pPr>
          </w:p>
        </w:tc>
        <w:tc>
          <w:tcPr>
            <w:tcW w:w="480" w:type="dxa"/>
            <w:vAlign w:val="bottom"/>
            <w:tcBorders>
              <w:right w:val="single" w:sz="8" w:color="D8D8D8"/>
            </w:tcBorders>
            <w:vMerge w:val="restart"/>
          </w:tcPr>
          <w:p>
            <w:pPr>
              <w:ind w:left="200"/>
              <w:spacing w:after="0"/>
              <w:rPr>
                <w:sz w:val="20"/>
                <w:szCs w:val="20"/>
                <w:color w:val="auto"/>
              </w:rPr>
            </w:pPr>
            <w:r>
              <w:rPr>
                <w:rFonts w:ascii="Times New Roman" w:cs="Times New Roman" w:eastAsia="Times New Roman" w:hAnsi="Times New Roman"/>
                <w:sz w:val="14"/>
                <w:szCs w:val="14"/>
                <w:color w:val="auto"/>
              </w:rPr>
              <w:t xml:space="preserve">   </w:t>
            </w:r>
          </w:p>
        </w:tc>
        <w:tc>
          <w:tcPr>
            <w:tcW w:w="680" w:type="dxa"/>
            <w:vAlign w:val="bottom"/>
            <w:tcBorders>
              <w:right w:val="single" w:sz="8" w:color="D8D8D8"/>
            </w:tcBorders>
          </w:tcPr>
          <w:p>
            <w:pPr>
              <w:spacing w:after="0"/>
              <w:rPr>
                <w:sz w:val="24"/>
                <w:szCs w:val="24"/>
                <w:color w:val="auto"/>
              </w:rPr>
            </w:pPr>
          </w:p>
        </w:tc>
        <w:tc>
          <w:tcPr>
            <w:tcW w:w="600" w:type="dxa"/>
            <w:vAlign w:val="bottom"/>
            <w:tcBorders>
              <w:right w:val="single" w:sz="8" w:color="D8D8D8"/>
            </w:tcBorders>
          </w:tcPr>
          <w:p>
            <w:pPr>
              <w:spacing w:after="0"/>
              <w:rPr>
                <w:sz w:val="24"/>
                <w:szCs w:val="24"/>
                <w:color w:val="auto"/>
              </w:rPr>
            </w:pPr>
          </w:p>
        </w:tc>
        <w:tc>
          <w:tcPr>
            <w:tcW w:w="660" w:type="dxa"/>
            <w:vAlign w:val="bottom"/>
            <w:tcBorders>
              <w:right w:val="single" w:sz="8" w:color="D8D8D8"/>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4620" w:type="dxa"/>
            <w:vAlign w:val="bottom"/>
            <w:vMerge w:val="restart"/>
          </w:tcPr>
          <w:p>
            <w:pPr>
              <w:ind w:left="220"/>
              <w:spacing w:after="0"/>
              <w:rPr>
                <w:sz w:val="20"/>
                <w:szCs w:val="20"/>
                <w:color w:val="auto"/>
              </w:rPr>
            </w:pPr>
            <w:r>
              <w:rPr>
                <w:rFonts w:ascii="Arial" w:cs="Arial" w:eastAsia="Arial" w:hAnsi="Arial"/>
                <w:sz w:val="14"/>
                <w:szCs w:val="14"/>
                <w:color w:val="auto"/>
              </w:rPr>
              <w:t>Chief Executive Officer and Director, Exubrion Therapeutics, Inc.</w:t>
            </w:r>
          </w:p>
        </w:tc>
        <w:tc>
          <w:tcPr>
            <w:tcW w:w="7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tcBorders>
              <w:right w:val="single" w:sz="8" w:color="D8D8D8"/>
            </w:tcBorders>
          </w:tcPr>
          <w:p>
            <w:pPr>
              <w:spacing w:after="0"/>
              <w:rPr>
                <w:sz w:val="9"/>
                <w:szCs w:val="9"/>
                <w:color w:val="auto"/>
              </w:rPr>
            </w:pPr>
          </w:p>
        </w:tc>
        <w:tc>
          <w:tcPr>
            <w:tcW w:w="480" w:type="dxa"/>
            <w:vAlign w:val="bottom"/>
            <w:tcBorders>
              <w:right w:val="single" w:sz="8" w:color="D8D8D8"/>
            </w:tcBorders>
            <w:vMerge w:val="continue"/>
          </w:tcPr>
          <w:p>
            <w:pPr>
              <w:spacing w:after="0"/>
              <w:rPr>
                <w:sz w:val="9"/>
                <w:szCs w:val="9"/>
                <w:color w:val="auto"/>
              </w:rPr>
            </w:pPr>
          </w:p>
        </w:tc>
        <w:tc>
          <w:tcPr>
            <w:tcW w:w="680" w:type="dxa"/>
            <w:vAlign w:val="bottom"/>
            <w:tcBorders>
              <w:right w:val="single" w:sz="8" w:color="D8D8D8"/>
            </w:tcBorders>
          </w:tcPr>
          <w:p>
            <w:pPr>
              <w:spacing w:after="0"/>
              <w:rPr>
                <w:sz w:val="9"/>
                <w:szCs w:val="9"/>
                <w:color w:val="auto"/>
              </w:rPr>
            </w:pPr>
          </w:p>
        </w:tc>
        <w:tc>
          <w:tcPr>
            <w:tcW w:w="600" w:type="dxa"/>
            <w:vAlign w:val="bottom"/>
            <w:tcBorders>
              <w:right w:val="single" w:sz="8" w:color="D8D8D8"/>
            </w:tcBorders>
          </w:tcPr>
          <w:p>
            <w:pPr>
              <w:spacing w:after="0"/>
              <w:rPr>
                <w:sz w:val="9"/>
                <w:szCs w:val="9"/>
                <w:color w:val="auto"/>
              </w:rPr>
            </w:pPr>
          </w:p>
        </w:tc>
        <w:tc>
          <w:tcPr>
            <w:tcW w:w="660" w:type="dxa"/>
            <w:vAlign w:val="bottom"/>
            <w:tcBorders>
              <w:right w:val="single" w:sz="8" w:color="D8D8D8"/>
            </w:tcBorders>
          </w:tcPr>
          <w:p>
            <w:pPr>
              <w:spacing w:after="0"/>
              <w:rPr>
                <w:sz w:val="9"/>
                <w:szCs w:val="9"/>
                <w:color w:val="auto"/>
              </w:rPr>
            </w:pPr>
          </w:p>
        </w:tc>
        <w:tc>
          <w:tcPr>
            <w:tcW w:w="4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2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Borders>
              <w:right w:val="single" w:sz="8" w:color="D8D8D8"/>
            </w:tcBorders>
          </w:tcPr>
          <w:p>
            <w:pPr>
              <w:spacing w:after="0"/>
              <w:rPr>
                <w:sz w:val="6"/>
                <w:szCs w:val="6"/>
                <w:color w:val="auto"/>
              </w:rPr>
            </w:pPr>
          </w:p>
        </w:tc>
        <w:tc>
          <w:tcPr>
            <w:tcW w:w="480" w:type="dxa"/>
            <w:vAlign w:val="bottom"/>
            <w:tcBorders>
              <w:right w:val="single" w:sz="8" w:color="D8D8D8"/>
            </w:tcBorders>
          </w:tcPr>
          <w:p>
            <w:pPr>
              <w:spacing w:after="0"/>
              <w:rPr>
                <w:sz w:val="6"/>
                <w:szCs w:val="6"/>
                <w:color w:val="auto"/>
              </w:rPr>
            </w:pPr>
          </w:p>
        </w:tc>
        <w:tc>
          <w:tcPr>
            <w:tcW w:w="680" w:type="dxa"/>
            <w:vAlign w:val="bottom"/>
            <w:tcBorders>
              <w:right w:val="single" w:sz="8" w:color="D8D8D8"/>
            </w:tcBorders>
          </w:tcPr>
          <w:p>
            <w:pPr>
              <w:spacing w:after="0"/>
              <w:rPr>
                <w:sz w:val="6"/>
                <w:szCs w:val="6"/>
                <w:color w:val="auto"/>
              </w:rPr>
            </w:pPr>
          </w:p>
        </w:tc>
        <w:tc>
          <w:tcPr>
            <w:tcW w:w="600" w:type="dxa"/>
            <w:vAlign w:val="bottom"/>
            <w:tcBorders>
              <w:right w:val="single" w:sz="8" w:color="D8D8D8"/>
            </w:tcBorders>
          </w:tcPr>
          <w:p>
            <w:pPr>
              <w:spacing w:after="0"/>
              <w:rPr>
                <w:sz w:val="6"/>
                <w:szCs w:val="6"/>
                <w:color w:val="auto"/>
              </w:rPr>
            </w:pPr>
          </w:p>
        </w:tc>
        <w:tc>
          <w:tcPr>
            <w:tcW w:w="660" w:type="dxa"/>
            <w:vAlign w:val="bottom"/>
            <w:tcBorders>
              <w:right w:val="single" w:sz="8" w:color="D8D8D8"/>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20" w:type="dxa"/>
            <w:vAlign w:val="bottom"/>
            <w:tcBorders>
              <w:bottom w:val="single" w:sz="8" w:color="7F7F7F"/>
            </w:tcBorders>
          </w:tcPr>
          <w:p>
            <w:pPr>
              <w:spacing w:after="0"/>
              <w:rPr>
                <w:sz w:val="16"/>
                <w:szCs w:val="16"/>
                <w:color w:val="auto"/>
              </w:rPr>
            </w:pPr>
          </w:p>
        </w:tc>
        <w:tc>
          <w:tcPr>
            <w:tcW w:w="462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tcPr>
          <w:p>
            <w:pPr>
              <w:spacing w:after="0"/>
              <w:rPr>
                <w:sz w:val="16"/>
                <w:szCs w:val="16"/>
                <w:color w:val="auto"/>
              </w:rPr>
            </w:pPr>
          </w:p>
        </w:tc>
        <w:tc>
          <w:tcPr>
            <w:tcW w:w="440" w:type="dxa"/>
            <w:vAlign w:val="bottom"/>
            <w:tcBorders>
              <w:bottom w:val="single" w:sz="8" w:color="7F7F7F"/>
            </w:tcBorders>
          </w:tcPr>
          <w:p>
            <w:pPr>
              <w:spacing w:after="0"/>
              <w:rPr>
                <w:sz w:val="16"/>
                <w:szCs w:val="16"/>
                <w:color w:val="auto"/>
              </w:rPr>
            </w:pPr>
          </w:p>
        </w:tc>
        <w:tc>
          <w:tcPr>
            <w:tcW w:w="640" w:type="dxa"/>
            <w:vAlign w:val="bottom"/>
            <w:tcBorders>
              <w:bottom w:val="single" w:sz="8" w:color="7F7F7F"/>
            </w:tcBorders>
          </w:tcPr>
          <w:p>
            <w:pPr>
              <w:spacing w:after="0"/>
              <w:rPr>
                <w:sz w:val="16"/>
                <w:szCs w:val="16"/>
                <w:color w:val="auto"/>
              </w:rPr>
            </w:pPr>
          </w:p>
        </w:tc>
        <w:tc>
          <w:tcPr>
            <w:tcW w:w="1100" w:type="dxa"/>
            <w:vAlign w:val="bottom"/>
            <w:tcBorders>
              <w:bottom w:val="single" w:sz="8" w:color="7F7F7F"/>
              <w:right w:val="single" w:sz="8" w:color="D8D8D8"/>
            </w:tcBorders>
          </w:tcPr>
          <w:p>
            <w:pPr>
              <w:spacing w:after="0"/>
              <w:rPr>
                <w:sz w:val="16"/>
                <w:szCs w:val="16"/>
                <w:color w:val="auto"/>
              </w:rPr>
            </w:pPr>
          </w:p>
        </w:tc>
        <w:tc>
          <w:tcPr>
            <w:tcW w:w="480" w:type="dxa"/>
            <w:vAlign w:val="bottom"/>
            <w:tcBorders>
              <w:bottom w:val="single" w:sz="8" w:color="7F7F7F"/>
              <w:right w:val="single" w:sz="8" w:color="D8D8D8"/>
            </w:tcBorders>
          </w:tcPr>
          <w:p>
            <w:pPr>
              <w:spacing w:after="0"/>
              <w:rPr>
                <w:sz w:val="16"/>
                <w:szCs w:val="16"/>
                <w:color w:val="auto"/>
              </w:rPr>
            </w:pPr>
          </w:p>
        </w:tc>
        <w:tc>
          <w:tcPr>
            <w:tcW w:w="680" w:type="dxa"/>
            <w:vAlign w:val="bottom"/>
            <w:tcBorders>
              <w:bottom w:val="single" w:sz="8" w:color="7F7F7F"/>
              <w:right w:val="single" w:sz="8" w:color="D8D8D8"/>
            </w:tcBorders>
          </w:tcPr>
          <w:p>
            <w:pPr>
              <w:spacing w:after="0"/>
              <w:rPr>
                <w:sz w:val="16"/>
                <w:szCs w:val="16"/>
                <w:color w:val="auto"/>
              </w:rPr>
            </w:pPr>
          </w:p>
        </w:tc>
        <w:tc>
          <w:tcPr>
            <w:tcW w:w="600" w:type="dxa"/>
            <w:vAlign w:val="bottom"/>
            <w:tcBorders>
              <w:bottom w:val="single" w:sz="8" w:color="7F7F7F"/>
              <w:right w:val="single" w:sz="8" w:color="D8D8D8"/>
            </w:tcBorders>
          </w:tcPr>
          <w:p>
            <w:pPr>
              <w:spacing w:after="0"/>
              <w:rPr>
                <w:sz w:val="16"/>
                <w:szCs w:val="16"/>
                <w:color w:val="auto"/>
              </w:rPr>
            </w:pPr>
          </w:p>
        </w:tc>
        <w:tc>
          <w:tcPr>
            <w:tcW w:w="660" w:type="dxa"/>
            <w:vAlign w:val="bottom"/>
            <w:tcBorders>
              <w:bottom w:val="single" w:sz="8" w:color="7F7F7F"/>
              <w:right w:val="single" w:sz="8" w:color="D8D8D8"/>
            </w:tcBorders>
          </w:tcPr>
          <w:p>
            <w:pPr>
              <w:spacing w:after="0"/>
              <w:rPr>
                <w:sz w:val="16"/>
                <w:szCs w:val="16"/>
                <w:color w:val="auto"/>
              </w:rPr>
            </w:pPr>
          </w:p>
        </w:tc>
        <w:tc>
          <w:tcPr>
            <w:tcW w:w="460" w:type="dxa"/>
            <w:vAlign w:val="bottom"/>
            <w:tcBorders>
              <w:bottom w:val="single" w:sz="8" w:color="7F7F7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520" w:type="dxa"/>
            <w:vAlign w:val="bottom"/>
            <w:shd w:val="clear" w:color="auto" w:fill="F2F2F2"/>
          </w:tcPr>
          <w:p>
            <w:pPr>
              <w:spacing w:after="0"/>
              <w:rPr>
                <w:sz w:val="24"/>
                <w:szCs w:val="24"/>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b w:val="1"/>
                <w:bCs w:val="1"/>
                <w:color w:val="auto"/>
              </w:rPr>
              <w:t>Richard J. Mark</w:t>
            </w:r>
          </w:p>
        </w:tc>
        <w:tc>
          <w:tcPr>
            <w:tcW w:w="720" w:type="dxa"/>
            <w:vAlign w:val="bottom"/>
            <w:shd w:val="clear" w:color="auto" w:fill="F2F2F2"/>
          </w:tcPr>
          <w:p>
            <w:pPr>
              <w:spacing w:after="0"/>
              <w:rPr>
                <w:sz w:val="24"/>
                <w:szCs w:val="24"/>
                <w:color w:val="auto"/>
              </w:rPr>
            </w:pPr>
          </w:p>
        </w:tc>
        <w:tc>
          <w:tcPr>
            <w:tcW w:w="4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70</w:t>
            </w:r>
          </w:p>
        </w:tc>
        <w:tc>
          <w:tcPr>
            <w:tcW w:w="640" w:type="dxa"/>
            <w:vAlign w:val="bottom"/>
            <w:vMerge w:val="restart"/>
            <w:shd w:val="clear" w:color="auto" w:fill="F2F2F2"/>
          </w:tcPr>
          <w:p>
            <w:pPr>
              <w:jc w:val="center"/>
              <w:spacing w:after="0"/>
              <w:rPr>
                <w:sz w:val="20"/>
                <w:szCs w:val="20"/>
                <w:color w:val="auto"/>
              </w:rPr>
            </w:pPr>
            <w:r>
              <w:rPr>
                <w:rFonts w:ascii="Arial" w:cs="Arial" w:eastAsia="Arial" w:hAnsi="Arial"/>
                <w:sz w:val="14"/>
                <w:szCs w:val="14"/>
                <w:color w:val="auto"/>
              </w:rPr>
              <w:t>2023</w:t>
            </w:r>
          </w:p>
        </w:tc>
        <w:tc>
          <w:tcPr>
            <w:tcW w:w="1100" w:type="dxa"/>
            <w:vAlign w:val="bottom"/>
            <w:tcBorders>
              <w:right w:val="single" w:sz="8" w:color="D8D8D8"/>
            </w:tcBorders>
            <w:shd w:val="clear" w:color="auto" w:fill="F2F2F2"/>
          </w:tcPr>
          <w:p>
            <w:pPr>
              <w:spacing w:after="0"/>
              <w:rPr>
                <w:sz w:val="24"/>
                <w:szCs w:val="24"/>
                <w:color w:val="auto"/>
              </w:rPr>
            </w:pPr>
          </w:p>
        </w:tc>
        <w:tc>
          <w:tcPr>
            <w:tcW w:w="480" w:type="dxa"/>
            <w:vAlign w:val="bottom"/>
            <w:tcBorders>
              <w:right w:val="single" w:sz="8" w:color="D8D8D8"/>
            </w:tcBorders>
            <w:shd w:val="clear" w:color="auto" w:fill="F2F2F2"/>
          </w:tcPr>
          <w:p>
            <w:pPr>
              <w:spacing w:after="0"/>
              <w:rPr>
                <w:sz w:val="24"/>
                <w:szCs w:val="24"/>
                <w:color w:val="auto"/>
              </w:rPr>
            </w:pPr>
          </w:p>
        </w:tc>
        <w:tc>
          <w:tcPr>
            <w:tcW w:w="680" w:type="dxa"/>
            <w:vAlign w:val="bottom"/>
            <w:tcBorders>
              <w:right w:val="single" w:sz="8" w:color="D8D8D8"/>
            </w:tcBorders>
            <w:shd w:val="clear" w:color="auto" w:fill="F2F2F2"/>
          </w:tcPr>
          <w:p>
            <w:pPr>
              <w:spacing w:after="0"/>
              <w:rPr>
                <w:sz w:val="24"/>
                <w:szCs w:val="24"/>
                <w:color w:val="auto"/>
              </w:rPr>
            </w:pPr>
          </w:p>
        </w:tc>
        <w:tc>
          <w:tcPr>
            <w:tcW w:w="600" w:type="dxa"/>
            <w:vAlign w:val="bottom"/>
            <w:tcBorders>
              <w:right w:val="single" w:sz="8" w:color="D8D8D8"/>
            </w:tcBorders>
            <w:shd w:val="clear" w:color="auto" w:fill="F2F2F2"/>
          </w:tcPr>
          <w:p>
            <w:pPr>
              <w:spacing w:after="0"/>
              <w:rPr>
                <w:sz w:val="24"/>
                <w:szCs w:val="24"/>
                <w:color w:val="auto"/>
              </w:rPr>
            </w:pPr>
          </w:p>
        </w:tc>
        <w:tc>
          <w:tcPr>
            <w:tcW w:w="660" w:type="dxa"/>
            <w:vAlign w:val="bottom"/>
            <w:tcBorders>
              <w:right w:val="single" w:sz="8" w:color="D8D8D8"/>
            </w:tcBorders>
            <w:shd w:val="clear" w:color="auto" w:fill="F2F2F2"/>
          </w:tcPr>
          <w:p>
            <w:pPr>
              <w:spacing w:after="0"/>
              <w:rPr>
                <w:sz w:val="24"/>
                <w:szCs w:val="24"/>
                <w:color w:val="auto"/>
              </w:rPr>
            </w:pPr>
          </w:p>
        </w:tc>
        <w:tc>
          <w:tcPr>
            <w:tcW w:w="460" w:type="dxa"/>
            <w:vAlign w:val="bottom"/>
            <w:shd w:val="clear" w:color="auto" w:fill="F2F2F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0" w:type="dxa"/>
            <w:vAlign w:val="bottom"/>
            <w:shd w:val="clear" w:color="auto" w:fill="F2F2F2"/>
          </w:tcPr>
          <w:p>
            <w:pPr>
              <w:spacing w:after="0"/>
              <w:rPr>
                <w:sz w:val="9"/>
                <w:szCs w:val="9"/>
                <w:color w:val="auto"/>
              </w:rPr>
            </w:pPr>
          </w:p>
        </w:tc>
        <w:tc>
          <w:tcPr>
            <w:tcW w:w="4620" w:type="dxa"/>
            <w:vAlign w:val="bottom"/>
            <w:vMerge w:val="restart"/>
            <w:shd w:val="clear" w:color="auto" w:fill="F2F2F2"/>
          </w:tcPr>
          <w:p>
            <w:pPr>
              <w:ind w:left="220"/>
              <w:spacing w:after="0"/>
              <w:rPr>
                <w:sz w:val="20"/>
                <w:szCs w:val="20"/>
                <w:color w:val="auto"/>
              </w:rPr>
            </w:pPr>
            <w:r>
              <w:rPr>
                <w:rFonts w:ascii="Arial" w:cs="Arial" w:eastAsia="Arial" w:hAnsi="Arial"/>
                <w:sz w:val="14"/>
                <w:szCs w:val="14"/>
                <w:color w:val="auto"/>
              </w:rPr>
              <w:t>Retired Chairman and President, Ameren Illinois Company</w:t>
            </w:r>
          </w:p>
        </w:tc>
        <w:tc>
          <w:tcPr>
            <w:tcW w:w="720" w:type="dxa"/>
            <w:vAlign w:val="bottom"/>
            <w:shd w:val="clear" w:color="auto" w:fill="F2F2F2"/>
          </w:tcPr>
          <w:p>
            <w:pPr>
              <w:spacing w:after="0"/>
              <w:rPr>
                <w:sz w:val="9"/>
                <w:szCs w:val="9"/>
                <w:color w:val="auto"/>
              </w:rPr>
            </w:pPr>
          </w:p>
        </w:tc>
        <w:tc>
          <w:tcPr>
            <w:tcW w:w="440" w:type="dxa"/>
            <w:vAlign w:val="bottom"/>
            <w:vMerge w:val="continue"/>
            <w:shd w:val="clear" w:color="auto" w:fill="F2F2F2"/>
          </w:tcPr>
          <w:p>
            <w:pPr>
              <w:spacing w:after="0"/>
              <w:rPr>
                <w:sz w:val="9"/>
                <w:szCs w:val="9"/>
                <w:color w:val="auto"/>
              </w:rPr>
            </w:pPr>
          </w:p>
        </w:tc>
        <w:tc>
          <w:tcPr>
            <w:tcW w:w="640" w:type="dxa"/>
            <w:vAlign w:val="bottom"/>
            <w:vMerge w:val="continue"/>
            <w:shd w:val="clear" w:color="auto" w:fill="F2F2F2"/>
          </w:tcPr>
          <w:p>
            <w:pPr>
              <w:spacing w:after="0"/>
              <w:rPr>
                <w:sz w:val="9"/>
                <w:szCs w:val="9"/>
                <w:color w:val="auto"/>
              </w:rPr>
            </w:pPr>
          </w:p>
        </w:tc>
        <w:tc>
          <w:tcPr>
            <w:tcW w:w="1100" w:type="dxa"/>
            <w:vAlign w:val="bottom"/>
            <w:tcBorders>
              <w:right w:val="single" w:sz="8" w:color="D8D8D8"/>
            </w:tcBorders>
            <w:shd w:val="clear" w:color="auto" w:fill="F2F2F2"/>
          </w:tcPr>
          <w:p>
            <w:pPr>
              <w:spacing w:after="0"/>
              <w:rPr>
                <w:sz w:val="9"/>
                <w:szCs w:val="9"/>
                <w:color w:val="auto"/>
              </w:rPr>
            </w:pPr>
          </w:p>
        </w:tc>
        <w:tc>
          <w:tcPr>
            <w:tcW w:w="480" w:type="dxa"/>
            <w:vAlign w:val="bottom"/>
            <w:tcBorders>
              <w:right w:val="single" w:sz="8" w:color="D8D8D8"/>
            </w:tcBorders>
            <w:shd w:val="clear" w:color="auto" w:fill="F2F2F2"/>
          </w:tcPr>
          <w:p>
            <w:pPr>
              <w:spacing w:after="0"/>
              <w:rPr>
                <w:sz w:val="9"/>
                <w:szCs w:val="9"/>
                <w:color w:val="auto"/>
              </w:rPr>
            </w:pPr>
          </w:p>
        </w:tc>
        <w:tc>
          <w:tcPr>
            <w:tcW w:w="680" w:type="dxa"/>
            <w:vAlign w:val="bottom"/>
            <w:tcBorders>
              <w:right w:val="single" w:sz="8" w:color="D8D8D8"/>
            </w:tcBorders>
            <w:shd w:val="clear" w:color="auto" w:fill="F2F2F2"/>
          </w:tcPr>
          <w:p>
            <w:pPr>
              <w:spacing w:after="0"/>
              <w:rPr>
                <w:sz w:val="9"/>
                <w:szCs w:val="9"/>
                <w:color w:val="auto"/>
              </w:rPr>
            </w:pPr>
          </w:p>
        </w:tc>
        <w:tc>
          <w:tcPr>
            <w:tcW w:w="600" w:type="dxa"/>
            <w:vAlign w:val="bottom"/>
            <w:tcBorders>
              <w:right w:val="single" w:sz="8" w:color="D8D8D8"/>
            </w:tcBorders>
            <w:shd w:val="clear" w:color="auto" w:fill="F2F2F2"/>
          </w:tcPr>
          <w:p>
            <w:pPr>
              <w:spacing w:after="0"/>
              <w:rPr>
                <w:sz w:val="9"/>
                <w:szCs w:val="9"/>
                <w:color w:val="auto"/>
              </w:rPr>
            </w:pPr>
          </w:p>
        </w:tc>
        <w:tc>
          <w:tcPr>
            <w:tcW w:w="660" w:type="dxa"/>
            <w:vAlign w:val="bottom"/>
            <w:tcBorders>
              <w:right w:val="single" w:sz="8" w:color="D8D8D8"/>
            </w:tcBorders>
            <w:shd w:val="clear" w:color="auto" w:fill="F2F2F2"/>
          </w:tcPr>
          <w:p>
            <w:pPr>
              <w:spacing w:after="0"/>
              <w:rPr>
                <w:sz w:val="9"/>
                <w:szCs w:val="9"/>
                <w:color w:val="auto"/>
              </w:rPr>
            </w:pPr>
          </w:p>
        </w:tc>
        <w:tc>
          <w:tcPr>
            <w:tcW w:w="460" w:type="dxa"/>
            <w:vAlign w:val="bottom"/>
            <w:shd w:val="clear" w:color="auto" w:fill="F2F2F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20" w:type="dxa"/>
            <w:vAlign w:val="bottom"/>
            <w:shd w:val="clear" w:color="auto" w:fill="F2F2F2"/>
          </w:tcPr>
          <w:p>
            <w:pPr>
              <w:spacing w:after="0"/>
              <w:rPr>
                <w:sz w:val="6"/>
                <w:szCs w:val="6"/>
                <w:color w:val="auto"/>
              </w:rPr>
            </w:pPr>
          </w:p>
        </w:tc>
        <w:tc>
          <w:tcPr>
            <w:tcW w:w="4620" w:type="dxa"/>
            <w:vAlign w:val="bottom"/>
            <w:vMerge w:val="continue"/>
            <w:shd w:val="clear" w:color="auto" w:fill="F2F2F2"/>
          </w:tcPr>
          <w:p>
            <w:pPr>
              <w:spacing w:after="0"/>
              <w:rPr>
                <w:sz w:val="6"/>
                <w:szCs w:val="6"/>
                <w:color w:val="auto"/>
              </w:rPr>
            </w:pPr>
          </w:p>
        </w:tc>
        <w:tc>
          <w:tcPr>
            <w:tcW w:w="720" w:type="dxa"/>
            <w:vAlign w:val="bottom"/>
            <w:shd w:val="clear" w:color="auto" w:fill="F2F2F2"/>
          </w:tcPr>
          <w:p>
            <w:pPr>
              <w:spacing w:after="0"/>
              <w:rPr>
                <w:sz w:val="6"/>
                <w:szCs w:val="6"/>
                <w:color w:val="auto"/>
              </w:rPr>
            </w:pPr>
          </w:p>
        </w:tc>
        <w:tc>
          <w:tcPr>
            <w:tcW w:w="440" w:type="dxa"/>
            <w:vAlign w:val="bottom"/>
            <w:shd w:val="clear" w:color="auto" w:fill="F2F2F2"/>
          </w:tcPr>
          <w:p>
            <w:pPr>
              <w:spacing w:after="0"/>
              <w:rPr>
                <w:sz w:val="6"/>
                <w:szCs w:val="6"/>
                <w:color w:val="auto"/>
              </w:rPr>
            </w:pPr>
          </w:p>
        </w:tc>
        <w:tc>
          <w:tcPr>
            <w:tcW w:w="640" w:type="dxa"/>
            <w:vAlign w:val="bottom"/>
            <w:shd w:val="clear" w:color="auto" w:fill="F2F2F2"/>
          </w:tcPr>
          <w:p>
            <w:pPr>
              <w:spacing w:after="0"/>
              <w:rPr>
                <w:sz w:val="6"/>
                <w:szCs w:val="6"/>
                <w:color w:val="auto"/>
              </w:rPr>
            </w:pPr>
          </w:p>
        </w:tc>
        <w:tc>
          <w:tcPr>
            <w:tcW w:w="1100" w:type="dxa"/>
            <w:vAlign w:val="bottom"/>
            <w:tcBorders>
              <w:right w:val="single" w:sz="8" w:color="D8D8D8"/>
            </w:tcBorders>
            <w:shd w:val="clear" w:color="auto" w:fill="F2F2F2"/>
          </w:tcPr>
          <w:p>
            <w:pPr>
              <w:spacing w:after="0"/>
              <w:rPr>
                <w:sz w:val="6"/>
                <w:szCs w:val="6"/>
                <w:color w:val="auto"/>
              </w:rPr>
            </w:pPr>
          </w:p>
        </w:tc>
        <w:tc>
          <w:tcPr>
            <w:tcW w:w="480" w:type="dxa"/>
            <w:vAlign w:val="bottom"/>
            <w:tcBorders>
              <w:right w:val="single" w:sz="8" w:color="D8D8D8"/>
            </w:tcBorders>
            <w:shd w:val="clear" w:color="auto" w:fill="F2F2F2"/>
          </w:tcPr>
          <w:p>
            <w:pPr>
              <w:spacing w:after="0"/>
              <w:rPr>
                <w:sz w:val="6"/>
                <w:szCs w:val="6"/>
                <w:color w:val="auto"/>
              </w:rPr>
            </w:pPr>
          </w:p>
        </w:tc>
        <w:tc>
          <w:tcPr>
            <w:tcW w:w="680" w:type="dxa"/>
            <w:vAlign w:val="bottom"/>
            <w:tcBorders>
              <w:right w:val="single" w:sz="8" w:color="D8D8D8"/>
            </w:tcBorders>
            <w:shd w:val="clear" w:color="auto" w:fill="F2F2F2"/>
          </w:tcPr>
          <w:p>
            <w:pPr>
              <w:spacing w:after="0"/>
              <w:rPr>
                <w:sz w:val="6"/>
                <w:szCs w:val="6"/>
                <w:color w:val="auto"/>
              </w:rPr>
            </w:pPr>
          </w:p>
        </w:tc>
        <w:tc>
          <w:tcPr>
            <w:tcW w:w="600" w:type="dxa"/>
            <w:vAlign w:val="bottom"/>
            <w:tcBorders>
              <w:right w:val="single" w:sz="8" w:color="D8D8D8"/>
            </w:tcBorders>
            <w:shd w:val="clear" w:color="auto" w:fill="F2F2F2"/>
          </w:tcPr>
          <w:p>
            <w:pPr>
              <w:spacing w:after="0"/>
              <w:rPr>
                <w:sz w:val="6"/>
                <w:szCs w:val="6"/>
                <w:color w:val="auto"/>
              </w:rPr>
            </w:pPr>
          </w:p>
        </w:tc>
        <w:tc>
          <w:tcPr>
            <w:tcW w:w="660" w:type="dxa"/>
            <w:vAlign w:val="bottom"/>
            <w:tcBorders>
              <w:right w:val="single" w:sz="8" w:color="D8D8D8"/>
            </w:tcBorders>
            <w:shd w:val="clear" w:color="auto" w:fill="F2F2F2"/>
          </w:tcPr>
          <w:p>
            <w:pPr>
              <w:spacing w:after="0"/>
              <w:rPr>
                <w:sz w:val="6"/>
                <w:szCs w:val="6"/>
                <w:color w:val="auto"/>
              </w:rPr>
            </w:pPr>
          </w:p>
        </w:tc>
        <w:tc>
          <w:tcPr>
            <w:tcW w:w="460" w:type="dxa"/>
            <w:vAlign w:val="bottom"/>
            <w:shd w:val="clear" w:color="auto" w:fill="F2F2F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20" w:type="dxa"/>
            <w:vAlign w:val="bottom"/>
            <w:tcBorders>
              <w:bottom w:val="single" w:sz="8" w:color="7F7F7F"/>
            </w:tcBorders>
            <w:shd w:val="clear" w:color="auto" w:fill="F2F2F2"/>
          </w:tcPr>
          <w:p>
            <w:pPr>
              <w:spacing w:after="0"/>
              <w:rPr>
                <w:sz w:val="16"/>
                <w:szCs w:val="16"/>
                <w:color w:val="auto"/>
              </w:rPr>
            </w:pPr>
          </w:p>
        </w:tc>
        <w:tc>
          <w:tcPr>
            <w:tcW w:w="4620" w:type="dxa"/>
            <w:vAlign w:val="bottom"/>
            <w:tcBorders>
              <w:bottom w:val="single" w:sz="8" w:color="7F7F7F"/>
            </w:tcBorders>
            <w:shd w:val="clear" w:color="auto" w:fill="F2F2F2"/>
          </w:tcPr>
          <w:p>
            <w:pPr>
              <w:spacing w:after="0"/>
              <w:rPr>
                <w:sz w:val="16"/>
                <w:szCs w:val="16"/>
                <w:color w:val="auto"/>
              </w:rPr>
            </w:pPr>
          </w:p>
        </w:tc>
        <w:tc>
          <w:tcPr>
            <w:tcW w:w="720" w:type="dxa"/>
            <w:vAlign w:val="bottom"/>
            <w:tcBorders>
              <w:bottom w:val="single" w:sz="8" w:color="7F7F7F"/>
            </w:tcBorders>
            <w:shd w:val="clear" w:color="auto" w:fill="F2F2F2"/>
          </w:tcPr>
          <w:p>
            <w:pPr>
              <w:spacing w:after="0"/>
              <w:rPr>
                <w:sz w:val="16"/>
                <w:szCs w:val="16"/>
                <w:color w:val="auto"/>
              </w:rPr>
            </w:pPr>
          </w:p>
        </w:tc>
        <w:tc>
          <w:tcPr>
            <w:tcW w:w="440" w:type="dxa"/>
            <w:vAlign w:val="bottom"/>
            <w:tcBorders>
              <w:bottom w:val="single" w:sz="8" w:color="7F7F7F"/>
            </w:tcBorders>
            <w:shd w:val="clear" w:color="auto" w:fill="F2F2F2"/>
          </w:tcPr>
          <w:p>
            <w:pPr>
              <w:spacing w:after="0"/>
              <w:rPr>
                <w:sz w:val="16"/>
                <w:szCs w:val="16"/>
                <w:color w:val="auto"/>
              </w:rPr>
            </w:pPr>
          </w:p>
        </w:tc>
        <w:tc>
          <w:tcPr>
            <w:tcW w:w="640" w:type="dxa"/>
            <w:vAlign w:val="bottom"/>
            <w:tcBorders>
              <w:bottom w:val="single" w:sz="8" w:color="7F7F7F"/>
            </w:tcBorders>
            <w:shd w:val="clear" w:color="auto" w:fill="F2F2F2"/>
          </w:tcPr>
          <w:p>
            <w:pPr>
              <w:spacing w:after="0"/>
              <w:rPr>
                <w:sz w:val="16"/>
                <w:szCs w:val="16"/>
                <w:color w:val="auto"/>
              </w:rPr>
            </w:pPr>
          </w:p>
        </w:tc>
        <w:tc>
          <w:tcPr>
            <w:tcW w:w="1100" w:type="dxa"/>
            <w:vAlign w:val="bottom"/>
            <w:tcBorders>
              <w:bottom w:val="single" w:sz="8" w:color="7F7F7F"/>
              <w:right w:val="single" w:sz="8" w:color="D8D8D8"/>
            </w:tcBorders>
            <w:shd w:val="clear" w:color="auto" w:fill="F2F2F2"/>
          </w:tcPr>
          <w:p>
            <w:pPr>
              <w:spacing w:after="0"/>
              <w:rPr>
                <w:sz w:val="16"/>
                <w:szCs w:val="16"/>
                <w:color w:val="auto"/>
              </w:rPr>
            </w:pPr>
          </w:p>
        </w:tc>
        <w:tc>
          <w:tcPr>
            <w:tcW w:w="480" w:type="dxa"/>
            <w:vAlign w:val="bottom"/>
            <w:tcBorders>
              <w:bottom w:val="single" w:sz="8" w:color="7F7F7F"/>
              <w:right w:val="single" w:sz="8" w:color="D8D8D8"/>
            </w:tcBorders>
            <w:shd w:val="clear" w:color="auto" w:fill="F2F2F2"/>
          </w:tcPr>
          <w:p>
            <w:pPr>
              <w:spacing w:after="0"/>
              <w:rPr>
                <w:sz w:val="16"/>
                <w:szCs w:val="16"/>
                <w:color w:val="auto"/>
              </w:rPr>
            </w:pPr>
          </w:p>
        </w:tc>
        <w:tc>
          <w:tcPr>
            <w:tcW w:w="680" w:type="dxa"/>
            <w:vAlign w:val="bottom"/>
            <w:tcBorders>
              <w:bottom w:val="single" w:sz="8" w:color="7F7F7F"/>
              <w:right w:val="single" w:sz="8" w:color="D8D8D8"/>
            </w:tcBorders>
            <w:shd w:val="clear" w:color="auto" w:fill="F2F2F2"/>
          </w:tcPr>
          <w:p>
            <w:pPr>
              <w:spacing w:after="0"/>
              <w:rPr>
                <w:sz w:val="16"/>
                <w:szCs w:val="16"/>
                <w:color w:val="auto"/>
              </w:rPr>
            </w:pPr>
          </w:p>
        </w:tc>
        <w:tc>
          <w:tcPr>
            <w:tcW w:w="600" w:type="dxa"/>
            <w:vAlign w:val="bottom"/>
            <w:tcBorders>
              <w:bottom w:val="single" w:sz="8" w:color="7F7F7F"/>
              <w:right w:val="single" w:sz="8" w:color="D8D8D8"/>
            </w:tcBorders>
            <w:shd w:val="clear" w:color="auto" w:fill="F2F2F2"/>
          </w:tcPr>
          <w:p>
            <w:pPr>
              <w:spacing w:after="0"/>
              <w:rPr>
                <w:sz w:val="16"/>
                <w:szCs w:val="16"/>
                <w:color w:val="auto"/>
              </w:rPr>
            </w:pPr>
          </w:p>
        </w:tc>
        <w:tc>
          <w:tcPr>
            <w:tcW w:w="660" w:type="dxa"/>
            <w:vAlign w:val="bottom"/>
            <w:tcBorders>
              <w:bottom w:val="single" w:sz="8" w:color="7F7F7F"/>
              <w:right w:val="single" w:sz="8" w:color="D8D8D8"/>
            </w:tcBorders>
            <w:shd w:val="clear" w:color="auto" w:fill="F2F2F2"/>
          </w:tcPr>
          <w:p>
            <w:pPr>
              <w:spacing w:after="0"/>
              <w:rPr>
                <w:sz w:val="16"/>
                <w:szCs w:val="16"/>
                <w:color w:val="auto"/>
              </w:rPr>
            </w:pPr>
          </w:p>
        </w:tc>
        <w:tc>
          <w:tcPr>
            <w:tcW w:w="460" w:type="dxa"/>
            <w:vAlign w:val="bottom"/>
            <w:tcBorders>
              <w:bottom w:val="single" w:sz="8" w:color="7F7F7F"/>
            </w:tcBorders>
            <w:shd w:val="clear" w:color="auto" w:fill="F2F2F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4620" w:type="dxa"/>
            <w:vAlign w:val="bottom"/>
          </w:tcPr>
          <w:p>
            <w:pPr>
              <w:ind w:left="220"/>
              <w:spacing w:after="0"/>
              <w:rPr>
                <w:sz w:val="20"/>
                <w:szCs w:val="20"/>
                <w:color w:val="auto"/>
              </w:rPr>
            </w:pPr>
            <w:r>
              <w:rPr>
                <w:rFonts w:ascii="Arial" w:cs="Arial" w:eastAsia="Arial" w:hAnsi="Arial"/>
                <w:sz w:val="14"/>
                <w:szCs w:val="14"/>
                <w:b w:val="1"/>
                <w:bCs w:val="1"/>
                <w:color w:val="auto"/>
              </w:rPr>
              <w:t>Jeffrey W. Martin</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Borders>
              <w:right w:val="single" w:sz="8" w:color="D8D8D8"/>
            </w:tcBorders>
          </w:tcPr>
          <w:p>
            <w:pPr>
              <w:spacing w:after="0"/>
              <w:rPr>
                <w:sz w:val="21"/>
                <w:szCs w:val="21"/>
                <w:color w:val="auto"/>
              </w:rPr>
            </w:pPr>
          </w:p>
        </w:tc>
        <w:tc>
          <w:tcPr>
            <w:tcW w:w="480" w:type="dxa"/>
            <w:vAlign w:val="bottom"/>
            <w:tcBorders>
              <w:right w:val="single" w:sz="8" w:color="D8D8D8"/>
            </w:tcBorders>
          </w:tcPr>
          <w:p>
            <w:pPr>
              <w:spacing w:after="0"/>
              <w:rPr>
                <w:sz w:val="21"/>
                <w:szCs w:val="21"/>
                <w:color w:val="auto"/>
              </w:rPr>
            </w:pPr>
          </w:p>
        </w:tc>
        <w:tc>
          <w:tcPr>
            <w:tcW w:w="680" w:type="dxa"/>
            <w:vAlign w:val="bottom"/>
            <w:tcBorders>
              <w:right w:val="single" w:sz="8" w:color="D8D8D8"/>
            </w:tcBorders>
          </w:tcPr>
          <w:p>
            <w:pPr>
              <w:spacing w:after="0"/>
              <w:rPr>
                <w:sz w:val="21"/>
                <w:szCs w:val="21"/>
                <w:color w:val="auto"/>
              </w:rPr>
            </w:pPr>
          </w:p>
        </w:tc>
        <w:tc>
          <w:tcPr>
            <w:tcW w:w="600" w:type="dxa"/>
            <w:vAlign w:val="bottom"/>
            <w:tcBorders>
              <w:right w:val="single" w:sz="8" w:color="D8D8D8"/>
            </w:tcBorders>
          </w:tcPr>
          <w:p>
            <w:pPr>
              <w:spacing w:after="0"/>
              <w:rPr>
                <w:sz w:val="21"/>
                <w:szCs w:val="21"/>
                <w:color w:val="auto"/>
              </w:rPr>
            </w:pPr>
          </w:p>
        </w:tc>
        <w:tc>
          <w:tcPr>
            <w:tcW w:w="660" w:type="dxa"/>
            <w:vAlign w:val="bottom"/>
            <w:tcBorders>
              <w:right w:val="single" w:sz="8" w:color="D8D8D8"/>
            </w:tcBorders>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4620" w:type="dxa"/>
            <w:vAlign w:val="bottom"/>
          </w:tcPr>
          <w:p>
            <w:pPr>
              <w:ind w:left="220"/>
              <w:spacing w:after="0"/>
              <w:rPr>
                <w:sz w:val="20"/>
                <w:szCs w:val="20"/>
                <w:color w:val="auto"/>
              </w:rPr>
            </w:pPr>
            <w:r>
              <w:rPr>
                <w:rFonts w:ascii="Arial" w:cs="Arial" w:eastAsia="Arial" w:hAnsi="Arial"/>
                <w:sz w:val="14"/>
                <w:szCs w:val="14"/>
                <w:color w:val="auto"/>
              </w:rPr>
              <w:t>Chairman of the Board, Chief Executive Officer and</w:t>
            </w:r>
          </w:p>
        </w:tc>
        <w:tc>
          <w:tcPr>
            <w:tcW w:w="72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rPr>
              <w:t>64</w:t>
            </w:r>
          </w:p>
        </w:tc>
        <w:tc>
          <w:tcPr>
            <w:tcW w:w="640" w:type="dxa"/>
            <w:vAlign w:val="bottom"/>
          </w:tcPr>
          <w:p>
            <w:pPr>
              <w:jc w:val="center"/>
              <w:spacing w:after="0"/>
              <w:rPr>
                <w:sz w:val="20"/>
                <w:szCs w:val="20"/>
                <w:color w:val="auto"/>
              </w:rPr>
            </w:pPr>
            <w:r>
              <w:rPr>
                <w:rFonts w:ascii="Arial" w:cs="Arial" w:eastAsia="Arial" w:hAnsi="Arial"/>
                <w:sz w:val="14"/>
                <w:szCs w:val="14"/>
                <w:color w:val="auto"/>
              </w:rPr>
              <w:t>2018</w:t>
            </w:r>
          </w:p>
        </w:tc>
        <w:tc>
          <w:tcPr>
            <w:tcW w:w="1100" w:type="dxa"/>
            <w:vAlign w:val="bottom"/>
            <w:tcBorders>
              <w:right w:val="single" w:sz="8" w:color="D8D8D8"/>
            </w:tcBorders>
          </w:tcPr>
          <w:p>
            <w:pPr>
              <w:spacing w:after="0"/>
              <w:rPr>
                <w:sz w:val="13"/>
                <w:szCs w:val="13"/>
                <w:color w:val="auto"/>
              </w:rPr>
            </w:pPr>
          </w:p>
        </w:tc>
        <w:tc>
          <w:tcPr>
            <w:tcW w:w="480" w:type="dxa"/>
            <w:vAlign w:val="bottom"/>
            <w:tcBorders>
              <w:right w:val="single" w:sz="8" w:color="D8D8D8"/>
            </w:tcBorders>
          </w:tcPr>
          <w:p>
            <w:pPr>
              <w:spacing w:after="0"/>
              <w:rPr>
                <w:sz w:val="13"/>
                <w:szCs w:val="13"/>
                <w:color w:val="auto"/>
              </w:rPr>
            </w:pPr>
          </w:p>
        </w:tc>
        <w:tc>
          <w:tcPr>
            <w:tcW w:w="680" w:type="dxa"/>
            <w:vAlign w:val="bottom"/>
            <w:tcBorders>
              <w:right w:val="single" w:sz="8" w:color="D8D8D8"/>
            </w:tcBorders>
          </w:tcPr>
          <w:p>
            <w:pPr>
              <w:spacing w:after="0"/>
              <w:rPr>
                <w:sz w:val="13"/>
                <w:szCs w:val="13"/>
                <w:color w:val="auto"/>
              </w:rPr>
            </w:pPr>
          </w:p>
        </w:tc>
        <w:tc>
          <w:tcPr>
            <w:tcW w:w="600" w:type="dxa"/>
            <w:vAlign w:val="bottom"/>
            <w:tcBorders>
              <w:right w:val="single" w:sz="8" w:color="D8D8D8"/>
            </w:tcBorders>
          </w:tcPr>
          <w:p>
            <w:pPr>
              <w:spacing w:after="0"/>
              <w:rPr>
                <w:sz w:val="13"/>
                <w:szCs w:val="13"/>
                <w:color w:val="auto"/>
              </w:rPr>
            </w:pPr>
          </w:p>
        </w:tc>
        <w:tc>
          <w:tcPr>
            <w:tcW w:w="660" w:type="dxa"/>
            <w:vAlign w:val="bottom"/>
            <w:tcBorders>
              <w:right w:val="single" w:sz="8" w:color="D8D8D8"/>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4620" w:type="dxa"/>
            <w:vAlign w:val="bottom"/>
          </w:tcPr>
          <w:p>
            <w:pPr>
              <w:ind w:left="220"/>
              <w:spacing w:after="0"/>
              <w:rPr>
                <w:sz w:val="20"/>
                <w:szCs w:val="20"/>
                <w:color w:val="auto"/>
              </w:rPr>
            </w:pPr>
            <w:r>
              <w:rPr>
                <w:rFonts w:ascii="Arial" w:cs="Arial" w:eastAsia="Arial" w:hAnsi="Arial"/>
                <w:sz w:val="14"/>
                <w:szCs w:val="14"/>
                <w:color w:val="auto"/>
              </w:rPr>
              <w:t>President, Sempra</w:t>
            </w: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Borders>
              <w:right w:val="single" w:sz="8" w:color="D8D8D8"/>
            </w:tcBorders>
          </w:tcPr>
          <w:p>
            <w:pPr>
              <w:spacing w:after="0"/>
              <w:rPr>
                <w:sz w:val="16"/>
                <w:szCs w:val="16"/>
                <w:color w:val="auto"/>
              </w:rPr>
            </w:pPr>
          </w:p>
        </w:tc>
        <w:tc>
          <w:tcPr>
            <w:tcW w:w="480" w:type="dxa"/>
            <w:vAlign w:val="bottom"/>
            <w:tcBorders>
              <w:right w:val="single" w:sz="8" w:color="D8D8D8"/>
            </w:tcBorders>
          </w:tcPr>
          <w:p>
            <w:pPr>
              <w:spacing w:after="0"/>
              <w:rPr>
                <w:sz w:val="16"/>
                <w:szCs w:val="16"/>
                <w:color w:val="auto"/>
              </w:rPr>
            </w:pPr>
          </w:p>
        </w:tc>
        <w:tc>
          <w:tcPr>
            <w:tcW w:w="680" w:type="dxa"/>
            <w:vAlign w:val="bottom"/>
            <w:tcBorders>
              <w:right w:val="single" w:sz="8" w:color="D8D8D8"/>
            </w:tcBorders>
          </w:tcPr>
          <w:p>
            <w:pPr>
              <w:spacing w:after="0"/>
              <w:rPr>
                <w:sz w:val="16"/>
                <w:szCs w:val="16"/>
                <w:color w:val="auto"/>
              </w:rPr>
            </w:pPr>
          </w:p>
        </w:tc>
        <w:tc>
          <w:tcPr>
            <w:tcW w:w="600" w:type="dxa"/>
            <w:vAlign w:val="bottom"/>
            <w:tcBorders>
              <w:right w:val="single" w:sz="8" w:color="D8D8D8"/>
            </w:tcBorders>
          </w:tcPr>
          <w:p>
            <w:pPr>
              <w:spacing w:after="0"/>
              <w:rPr>
                <w:sz w:val="16"/>
                <w:szCs w:val="16"/>
                <w:color w:val="auto"/>
              </w:rPr>
            </w:pPr>
          </w:p>
        </w:tc>
        <w:tc>
          <w:tcPr>
            <w:tcW w:w="660" w:type="dxa"/>
            <w:vAlign w:val="bottom"/>
            <w:tcBorders>
              <w:right w:val="single" w:sz="8" w:color="D8D8D8"/>
            </w:tcBorders>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520" w:type="dxa"/>
            <w:vAlign w:val="bottom"/>
            <w:tcBorders>
              <w:bottom w:val="single" w:sz="8" w:color="7F7F7F"/>
            </w:tcBorders>
          </w:tcPr>
          <w:p>
            <w:pPr>
              <w:spacing w:after="0"/>
              <w:rPr>
                <w:sz w:val="9"/>
                <w:szCs w:val="9"/>
                <w:color w:val="auto"/>
              </w:rPr>
            </w:pPr>
          </w:p>
        </w:tc>
        <w:tc>
          <w:tcPr>
            <w:tcW w:w="4620" w:type="dxa"/>
            <w:vAlign w:val="bottom"/>
            <w:tcBorders>
              <w:bottom w:val="single" w:sz="8" w:color="7F7F7F"/>
            </w:tcBorders>
          </w:tcPr>
          <w:p>
            <w:pPr>
              <w:spacing w:after="0"/>
              <w:rPr>
                <w:sz w:val="9"/>
                <w:szCs w:val="9"/>
                <w:color w:val="auto"/>
              </w:rPr>
            </w:pPr>
          </w:p>
        </w:tc>
        <w:tc>
          <w:tcPr>
            <w:tcW w:w="720" w:type="dxa"/>
            <w:vAlign w:val="bottom"/>
            <w:tcBorders>
              <w:bottom w:val="single" w:sz="8" w:color="7F7F7F"/>
            </w:tcBorders>
          </w:tcPr>
          <w:p>
            <w:pPr>
              <w:spacing w:after="0"/>
              <w:rPr>
                <w:sz w:val="9"/>
                <w:szCs w:val="9"/>
                <w:color w:val="auto"/>
              </w:rPr>
            </w:pPr>
          </w:p>
        </w:tc>
        <w:tc>
          <w:tcPr>
            <w:tcW w:w="440" w:type="dxa"/>
            <w:vAlign w:val="bottom"/>
            <w:tcBorders>
              <w:bottom w:val="single" w:sz="8" w:color="7F7F7F"/>
            </w:tcBorders>
          </w:tcPr>
          <w:p>
            <w:pPr>
              <w:spacing w:after="0"/>
              <w:rPr>
                <w:sz w:val="9"/>
                <w:szCs w:val="9"/>
                <w:color w:val="auto"/>
              </w:rPr>
            </w:pPr>
          </w:p>
        </w:tc>
        <w:tc>
          <w:tcPr>
            <w:tcW w:w="640" w:type="dxa"/>
            <w:vAlign w:val="bottom"/>
            <w:tcBorders>
              <w:bottom w:val="single" w:sz="8" w:color="7F7F7F"/>
            </w:tcBorders>
          </w:tcPr>
          <w:p>
            <w:pPr>
              <w:spacing w:after="0"/>
              <w:rPr>
                <w:sz w:val="9"/>
                <w:szCs w:val="9"/>
                <w:color w:val="auto"/>
              </w:rPr>
            </w:pPr>
          </w:p>
        </w:tc>
        <w:tc>
          <w:tcPr>
            <w:tcW w:w="1100" w:type="dxa"/>
            <w:vAlign w:val="bottom"/>
            <w:tcBorders>
              <w:bottom w:val="single" w:sz="8" w:color="7F7F7F"/>
              <w:right w:val="single" w:sz="8" w:color="D8D8D8"/>
            </w:tcBorders>
          </w:tcPr>
          <w:p>
            <w:pPr>
              <w:spacing w:after="0"/>
              <w:rPr>
                <w:sz w:val="9"/>
                <w:szCs w:val="9"/>
                <w:color w:val="auto"/>
              </w:rPr>
            </w:pPr>
          </w:p>
        </w:tc>
        <w:tc>
          <w:tcPr>
            <w:tcW w:w="480" w:type="dxa"/>
            <w:vAlign w:val="bottom"/>
            <w:tcBorders>
              <w:bottom w:val="single" w:sz="8" w:color="7F7F7F"/>
              <w:right w:val="single" w:sz="8" w:color="D8D8D8"/>
            </w:tcBorders>
          </w:tcPr>
          <w:p>
            <w:pPr>
              <w:spacing w:after="0"/>
              <w:rPr>
                <w:sz w:val="9"/>
                <w:szCs w:val="9"/>
                <w:color w:val="auto"/>
              </w:rPr>
            </w:pPr>
          </w:p>
        </w:tc>
        <w:tc>
          <w:tcPr>
            <w:tcW w:w="680" w:type="dxa"/>
            <w:vAlign w:val="bottom"/>
            <w:tcBorders>
              <w:bottom w:val="single" w:sz="8" w:color="7F7F7F"/>
              <w:right w:val="single" w:sz="8" w:color="D8D8D8"/>
            </w:tcBorders>
          </w:tcPr>
          <w:p>
            <w:pPr>
              <w:spacing w:after="0"/>
              <w:rPr>
                <w:sz w:val="9"/>
                <w:szCs w:val="9"/>
                <w:color w:val="auto"/>
              </w:rPr>
            </w:pPr>
          </w:p>
        </w:tc>
        <w:tc>
          <w:tcPr>
            <w:tcW w:w="600" w:type="dxa"/>
            <w:vAlign w:val="bottom"/>
            <w:tcBorders>
              <w:bottom w:val="single" w:sz="8" w:color="7F7F7F"/>
              <w:right w:val="single" w:sz="8" w:color="D8D8D8"/>
            </w:tcBorders>
          </w:tcPr>
          <w:p>
            <w:pPr>
              <w:spacing w:after="0"/>
              <w:rPr>
                <w:sz w:val="9"/>
                <w:szCs w:val="9"/>
                <w:color w:val="auto"/>
              </w:rPr>
            </w:pPr>
          </w:p>
        </w:tc>
        <w:tc>
          <w:tcPr>
            <w:tcW w:w="660" w:type="dxa"/>
            <w:vAlign w:val="bottom"/>
            <w:tcBorders>
              <w:bottom w:val="single" w:sz="8" w:color="7F7F7F"/>
              <w:right w:val="single" w:sz="8" w:color="D8D8D8"/>
            </w:tcBorders>
          </w:tcPr>
          <w:p>
            <w:pPr>
              <w:spacing w:after="0"/>
              <w:rPr>
                <w:sz w:val="9"/>
                <w:szCs w:val="9"/>
                <w:color w:val="auto"/>
              </w:rPr>
            </w:pPr>
          </w:p>
        </w:tc>
        <w:tc>
          <w:tcPr>
            <w:tcW w:w="460" w:type="dxa"/>
            <w:vAlign w:val="bottom"/>
            <w:tcBorders>
              <w:bottom w:val="single" w:sz="8" w:color="7F7F7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520" w:type="dxa"/>
            <w:vAlign w:val="bottom"/>
            <w:shd w:val="clear" w:color="auto" w:fill="F2F2F2"/>
          </w:tcPr>
          <w:p>
            <w:pPr>
              <w:spacing w:after="0"/>
              <w:rPr>
                <w:sz w:val="21"/>
                <w:szCs w:val="21"/>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b w:val="1"/>
                <w:bCs w:val="1"/>
                <w:color w:val="auto"/>
              </w:rPr>
              <w:t>Michael N. Mears</w:t>
            </w:r>
          </w:p>
        </w:tc>
        <w:tc>
          <w:tcPr>
            <w:tcW w:w="720" w:type="dxa"/>
            <w:vAlign w:val="bottom"/>
            <w:shd w:val="clear" w:color="auto" w:fill="F2F2F2"/>
          </w:tcPr>
          <w:p>
            <w:pPr>
              <w:spacing w:after="0"/>
              <w:rPr>
                <w:sz w:val="21"/>
                <w:szCs w:val="21"/>
                <w:color w:val="auto"/>
              </w:rPr>
            </w:pPr>
          </w:p>
        </w:tc>
        <w:tc>
          <w:tcPr>
            <w:tcW w:w="440" w:type="dxa"/>
            <w:vAlign w:val="bottom"/>
            <w:shd w:val="clear" w:color="auto" w:fill="F2F2F2"/>
          </w:tcPr>
          <w:p>
            <w:pPr>
              <w:spacing w:after="0"/>
              <w:rPr>
                <w:sz w:val="21"/>
                <w:szCs w:val="21"/>
                <w:color w:val="auto"/>
              </w:rPr>
            </w:pPr>
          </w:p>
        </w:tc>
        <w:tc>
          <w:tcPr>
            <w:tcW w:w="640" w:type="dxa"/>
            <w:vAlign w:val="bottom"/>
            <w:shd w:val="clear" w:color="auto" w:fill="F2F2F2"/>
          </w:tcPr>
          <w:p>
            <w:pPr>
              <w:spacing w:after="0"/>
              <w:rPr>
                <w:sz w:val="21"/>
                <w:szCs w:val="21"/>
                <w:color w:val="auto"/>
              </w:rPr>
            </w:pPr>
          </w:p>
        </w:tc>
        <w:tc>
          <w:tcPr>
            <w:tcW w:w="1100" w:type="dxa"/>
            <w:vAlign w:val="bottom"/>
            <w:tcBorders>
              <w:right w:val="single" w:sz="8" w:color="D8D8D8"/>
            </w:tcBorders>
            <w:shd w:val="clear" w:color="auto" w:fill="F2F2F2"/>
          </w:tcPr>
          <w:p>
            <w:pPr>
              <w:spacing w:after="0"/>
              <w:rPr>
                <w:sz w:val="21"/>
                <w:szCs w:val="21"/>
                <w:color w:val="auto"/>
              </w:rPr>
            </w:pPr>
          </w:p>
        </w:tc>
        <w:tc>
          <w:tcPr>
            <w:tcW w:w="480" w:type="dxa"/>
            <w:vAlign w:val="bottom"/>
            <w:tcBorders>
              <w:right w:val="single" w:sz="8" w:color="D8D8D8"/>
            </w:tcBorders>
            <w:shd w:val="clear" w:color="auto" w:fill="F2F2F2"/>
          </w:tcPr>
          <w:p>
            <w:pPr>
              <w:spacing w:after="0"/>
              <w:rPr>
                <w:sz w:val="21"/>
                <w:szCs w:val="21"/>
                <w:color w:val="auto"/>
              </w:rPr>
            </w:pPr>
          </w:p>
        </w:tc>
        <w:tc>
          <w:tcPr>
            <w:tcW w:w="680" w:type="dxa"/>
            <w:vAlign w:val="bottom"/>
            <w:tcBorders>
              <w:right w:val="single" w:sz="8" w:color="D8D8D8"/>
            </w:tcBorders>
            <w:shd w:val="clear" w:color="auto" w:fill="F2F2F2"/>
          </w:tcPr>
          <w:p>
            <w:pPr>
              <w:spacing w:after="0"/>
              <w:rPr>
                <w:sz w:val="21"/>
                <w:szCs w:val="21"/>
                <w:color w:val="auto"/>
              </w:rPr>
            </w:pPr>
          </w:p>
        </w:tc>
        <w:tc>
          <w:tcPr>
            <w:tcW w:w="600" w:type="dxa"/>
            <w:vAlign w:val="bottom"/>
            <w:tcBorders>
              <w:right w:val="single" w:sz="8" w:color="D8D8D8"/>
            </w:tcBorders>
            <w:shd w:val="clear" w:color="auto" w:fill="F2F2F2"/>
          </w:tcPr>
          <w:p>
            <w:pPr>
              <w:spacing w:after="0"/>
              <w:rPr>
                <w:sz w:val="21"/>
                <w:szCs w:val="21"/>
                <w:color w:val="auto"/>
              </w:rPr>
            </w:pPr>
          </w:p>
        </w:tc>
        <w:tc>
          <w:tcPr>
            <w:tcW w:w="660" w:type="dxa"/>
            <w:vAlign w:val="bottom"/>
            <w:tcBorders>
              <w:right w:val="single" w:sz="8" w:color="D8D8D8"/>
            </w:tcBorders>
            <w:shd w:val="clear" w:color="auto" w:fill="F2F2F2"/>
          </w:tcPr>
          <w:p>
            <w:pPr>
              <w:spacing w:after="0"/>
              <w:rPr>
                <w:sz w:val="21"/>
                <w:szCs w:val="21"/>
                <w:color w:val="auto"/>
              </w:rPr>
            </w:pPr>
          </w:p>
        </w:tc>
        <w:tc>
          <w:tcPr>
            <w:tcW w:w="460" w:type="dxa"/>
            <w:vAlign w:val="bottom"/>
            <w:shd w:val="clear" w:color="auto" w:fill="F2F2F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20" w:type="dxa"/>
            <w:vAlign w:val="bottom"/>
            <w:shd w:val="clear" w:color="auto" w:fill="F2F2F2"/>
          </w:tcPr>
          <w:p>
            <w:pPr>
              <w:spacing w:after="0"/>
              <w:rPr>
                <w:sz w:val="13"/>
                <w:szCs w:val="13"/>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Retired Chairman, President and Chief Executive Officer,</w:t>
            </w:r>
          </w:p>
        </w:tc>
        <w:tc>
          <w:tcPr>
            <w:tcW w:w="720" w:type="dxa"/>
            <w:vAlign w:val="bottom"/>
            <w:shd w:val="clear" w:color="auto" w:fill="F2F2F2"/>
          </w:tcPr>
          <w:p>
            <w:pPr>
              <w:spacing w:after="0"/>
              <w:rPr>
                <w:sz w:val="13"/>
                <w:szCs w:val="13"/>
                <w:color w:val="auto"/>
              </w:rPr>
            </w:pPr>
          </w:p>
        </w:tc>
        <w:tc>
          <w:tcPr>
            <w:tcW w:w="4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63</w:t>
            </w:r>
          </w:p>
        </w:tc>
        <w:tc>
          <w:tcPr>
            <w:tcW w:w="6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2018</w:t>
            </w:r>
          </w:p>
        </w:tc>
        <w:tc>
          <w:tcPr>
            <w:tcW w:w="1100" w:type="dxa"/>
            <w:vAlign w:val="bottom"/>
            <w:tcBorders>
              <w:right w:val="single" w:sz="8" w:color="D8D8D8"/>
            </w:tcBorders>
            <w:shd w:val="clear" w:color="auto" w:fill="F2F2F2"/>
          </w:tcPr>
          <w:p>
            <w:pPr>
              <w:spacing w:after="0"/>
              <w:rPr>
                <w:sz w:val="13"/>
                <w:szCs w:val="13"/>
                <w:color w:val="auto"/>
              </w:rPr>
            </w:pPr>
          </w:p>
        </w:tc>
        <w:tc>
          <w:tcPr>
            <w:tcW w:w="480" w:type="dxa"/>
            <w:vAlign w:val="bottom"/>
            <w:tcBorders>
              <w:right w:val="single" w:sz="8" w:color="D8D8D8"/>
            </w:tcBorders>
            <w:shd w:val="clear" w:color="auto" w:fill="F2F2F2"/>
          </w:tcPr>
          <w:p>
            <w:pPr>
              <w:spacing w:after="0"/>
              <w:rPr>
                <w:sz w:val="13"/>
                <w:szCs w:val="13"/>
                <w:color w:val="auto"/>
              </w:rPr>
            </w:pPr>
          </w:p>
        </w:tc>
        <w:tc>
          <w:tcPr>
            <w:tcW w:w="680" w:type="dxa"/>
            <w:vAlign w:val="bottom"/>
            <w:tcBorders>
              <w:right w:val="single" w:sz="8" w:color="D8D8D8"/>
            </w:tcBorders>
            <w:shd w:val="clear" w:color="auto" w:fill="F2F2F2"/>
          </w:tcPr>
          <w:p>
            <w:pPr>
              <w:spacing w:after="0"/>
              <w:rPr>
                <w:sz w:val="13"/>
                <w:szCs w:val="13"/>
                <w:color w:val="auto"/>
              </w:rPr>
            </w:pPr>
          </w:p>
        </w:tc>
        <w:tc>
          <w:tcPr>
            <w:tcW w:w="600" w:type="dxa"/>
            <w:vAlign w:val="bottom"/>
            <w:tcBorders>
              <w:right w:val="single" w:sz="8" w:color="D8D8D8"/>
            </w:tcBorders>
            <w:shd w:val="clear" w:color="auto" w:fill="F2F2F2"/>
          </w:tcPr>
          <w:p>
            <w:pPr>
              <w:spacing w:after="0"/>
              <w:rPr>
                <w:sz w:val="13"/>
                <w:szCs w:val="13"/>
                <w:color w:val="auto"/>
              </w:rPr>
            </w:pPr>
          </w:p>
        </w:tc>
        <w:tc>
          <w:tcPr>
            <w:tcW w:w="660" w:type="dxa"/>
            <w:vAlign w:val="bottom"/>
            <w:tcBorders>
              <w:right w:val="single" w:sz="8" w:color="D8D8D8"/>
            </w:tcBorders>
            <w:shd w:val="clear" w:color="auto" w:fill="F2F2F2"/>
          </w:tcPr>
          <w:p>
            <w:pPr>
              <w:spacing w:after="0"/>
              <w:rPr>
                <w:sz w:val="13"/>
                <w:szCs w:val="13"/>
                <w:color w:val="auto"/>
              </w:rPr>
            </w:pPr>
          </w:p>
        </w:tc>
        <w:tc>
          <w:tcPr>
            <w:tcW w:w="460" w:type="dxa"/>
            <w:vAlign w:val="bottom"/>
            <w:shd w:val="clear" w:color="auto" w:fill="F2F2F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0" w:type="dxa"/>
            <w:vAlign w:val="bottom"/>
            <w:shd w:val="clear" w:color="auto" w:fill="F2F2F2"/>
          </w:tcPr>
          <w:p>
            <w:pPr>
              <w:spacing w:after="0"/>
              <w:rPr>
                <w:sz w:val="16"/>
                <w:szCs w:val="16"/>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Magellan Midstream Partners L.P.</w:t>
            </w:r>
          </w:p>
        </w:tc>
        <w:tc>
          <w:tcPr>
            <w:tcW w:w="7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1100" w:type="dxa"/>
            <w:vAlign w:val="bottom"/>
            <w:tcBorders>
              <w:right w:val="single" w:sz="8" w:color="D8D8D8"/>
            </w:tcBorders>
            <w:shd w:val="clear" w:color="auto" w:fill="F2F2F2"/>
          </w:tcPr>
          <w:p>
            <w:pPr>
              <w:spacing w:after="0"/>
              <w:rPr>
                <w:sz w:val="16"/>
                <w:szCs w:val="16"/>
                <w:color w:val="auto"/>
              </w:rPr>
            </w:pPr>
          </w:p>
        </w:tc>
        <w:tc>
          <w:tcPr>
            <w:tcW w:w="480" w:type="dxa"/>
            <w:vAlign w:val="bottom"/>
            <w:tcBorders>
              <w:right w:val="single" w:sz="8" w:color="D8D8D8"/>
            </w:tcBorders>
            <w:shd w:val="clear" w:color="auto" w:fill="F2F2F2"/>
          </w:tcPr>
          <w:p>
            <w:pPr>
              <w:spacing w:after="0"/>
              <w:rPr>
                <w:sz w:val="16"/>
                <w:szCs w:val="16"/>
                <w:color w:val="auto"/>
              </w:rPr>
            </w:pPr>
          </w:p>
        </w:tc>
        <w:tc>
          <w:tcPr>
            <w:tcW w:w="680" w:type="dxa"/>
            <w:vAlign w:val="bottom"/>
            <w:tcBorders>
              <w:right w:val="single" w:sz="8" w:color="D8D8D8"/>
            </w:tcBorders>
            <w:shd w:val="clear" w:color="auto" w:fill="F2F2F2"/>
          </w:tcPr>
          <w:p>
            <w:pPr>
              <w:spacing w:after="0"/>
              <w:rPr>
                <w:sz w:val="16"/>
                <w:szCs w:val="16"/>
                <w:color w:val="auto"/>
              </w:rPr>
            </w:pPr>
          </w:p>
        </w:tc>
        <w:tc>
          <w:tcPr>
            <w:tcW w:w="600" w:type="dxa"/>
            <w:vAlign w:val="bottom"/>
            <w:tcBorders>
              <w:right w:val="single" w:sz="8" w:color="D8D8D8"/>
            </w:tcBorders>
            <w:shd w:val="clear" w:color="auto" w:fill="F2F2F2"/>
          </w:tcPr>
          <w:p>
            <w:pPr>
              <w:spacing w:after="0"/>
              <w:rPr>
                <w:sz w:val="16"/>
                <w:szCs w:val="16"/>
                <w:color w:val="auto"/>
              </w:rPr>
            </w:pPr>
          </w:p>
        </w:tc>
        <w:tc>
          <w:tcPr>
            <w:tcW w:w="660" w:type="dxa"/>
            <w:vAlign w:val="bottom"/>
            <w:tcBorders>
              <w:right w:val="single" w:sz="8" w:color="D8D8D8"/>
            </w:tcBorders>
            <w:shd w:val="clear" w:color="auto" w:fill="F2F2F2"/>
          </w:tcPr>
          <w:p>
            <w:pPr>
              <w:spacing w:after="0"/>
              <w:rPr>
                <w:sz w:val="16"/>
                <w:szCs w:val="16"/>
                <w:color w:val="auto"/>
              </w:rPr>
            </w:pPr>
          </w:p>
        </w:tc>
        <w:tc>
          <w:tcPr>
            <w:tcW w:w="460" w:type="dxa"/>
            <w:vAlign w:val="bottom"/>
            <w:shd w:val="clear" w:color="auto" w:fill="F2F2F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520" w:type="dxa"/>
            <w:vAlign w:val="bottom"/>
            <w:tcBorders>
              <w:bottom w:val="single" w:sz="8" w:color="7F7F7F"/>
            </w:tcBorders>
            <w:shd w:val="clear" w:color="auto" w:fill="F2F2F2"/>
          </w:tcPr>
          <w:p>
            <w:pPr>
              <w:spacing w:after="0"/>
              <w:rPr>
                <w:sz w:val="9"/>
                <w:szCs w:val="9"/>
                <w:color w:val="auto"/>
              </w:rPr>
            </w:pPr>
          </w:p>
        </w:tc>
        <w:tc>
          <w:tcPr>
            <w:tcW w:w="4620" w:type="dxa"/>
            <w:vAlign w:val="bottom"/>
            <w:tcBorders>
              <w:bottom w:val="single" w:sz="8" w:color="7F7F7F"/>
            </w:tcBorders>
            <w:shd w:val="clear" w:color="auto" w:fill="F2F2F2"/>
          </w:tcPr>
          <w:p>
            <w:pPr>
              <w:spacing w:after="0"/>
              <w:rPr>
                <w:sz w:val="9"/>
                <w:szCs w:val="9"/>
                <w:color w:val="auto"/>
              </w:rPr>
            </w:pPr>
          </w:p>
        </w:tc>
        <w:tc>
          <w:tcPr>
            <w:tcW w:w="720" w:type="dxa"/>
            <w:vAlign w:val="bottom"/>
            <w:tcBorders>
              <w:bottom w:val="single" w:sz="8" w:color="7F7F7F"/>
            </w:tcBorders>
            <w:shd w:val="clear" w:color="auto" w:fill="F2F2F2"/>
          </w:tcPr>
          <w:p>
            <w:pPr>
              <w:spacing w:after="0"/>
              <w:rPr>
                <w:sz w:val="9"/>
                <w:szCs w:val="9"/>
                <w:color w:val="auto"/>
              </w:rPr>
            </w:pPr>
          </w:p>
        </w:tc>
        <w:tc>
          <w:tcPr>
            <w:tcW w:w="440" w:type="dxa"/>
            <w:vAlign w:val="bottom"/>
            <w:tcBorders>
              <w:bottom w:val="single" w:sz="8" w:color="7F7F7F"/>
            </w:tcBorders>
            <w:shd w:val="clear" w:color="auto" w:fill="F2F2F2"/>
          </w:tcPr>
          <w:p>
            <w:pPr>
              <w:spacing w:after="0"/>
              <w:rPr>
                <w:sz w:val="9"/>
                <w:szCs w:val="9"/>
                <w:color w:val="auto"/>
              </w:rPr>
            </w:pPr>
          </w:p>
        </w:tc>
        <w:tc>
          <w:tcPr>
            <w:tcW w:w="640" w:type="dxa"/>
            <w:vAlign w:val="bottom"/>
            <w:tcBorders>
              <w:bottom w:val="single" w:sz="8" w:color="7F7F7F"/>
            </w:tcBorders>
            <w:shd w:val="clear" w:color="auto" w:fill="F2F2F2"/>
          </w:tcPr>
          <w:p>
            <w:pPr>
              <w:spacing w:after="0"/>
              <w:rPr>
                <w:sz w:val="9"/>
                <w:szCs w:val="9"/>
                <w:color w:val="auto"/>
              </w:rPr>
            </w:pPr>
          </w:p>
        </w:tc>
        <w:tc>
          <w:tcPr>
            <w:tcW w:w="1100" w:type="dxa"/>
            <w:vAlign w:val="bottom"/>
            <w:tcBorders>
              <w:bottom w:val="single" w:sz="8" w:color="7F7F7F"/>
              <w:right w:val="single" w:sz="8" w:color="D8D8D8"/>
            </w:tcBorders>
            <w:shd w:val="clear" w:color="auto" w:fill="F2F2F2"/>
          </w:tcPr>
          <w:p>
            <w:pPr>
              <w:spacing w:after="0"/>
              <w:rPr>
                <w:sz w:val="9"/>
                <w:szCs w:val="9"/>
                <w:color w:val="auto"/>
              </w:rPr>
            </w:pPr>
          </w:p>
        </w:tc>
        <w:tc>
          <w:tcPr>
            <w:tcW w:w="480" w:type="dxa"/>
            <w:vAlign w:val="bottom"/>
            <w:tcBorders>
              <w:bottom w:val="single" w:sz="8" w:color="7F7F7F"/>
              <w:right w:val="single" w:sz="8" w:color="D8D8D8"/>
            </w:tcBorders>
            <w:shd w:val="clear" w:color="auto" w:fill="F2F2F2"/>
          </w:tcPr>
          <w:p>
            <w:pPr>
              <w:spacing w:after="0"/>
              <w:rPr>
                <w:sz w:val="9"/>
                <w:szCs w:val="9"/>
                <w:color w:val="auto"/>
              </w:rPr>
            </w:pPr>
          </w:p>
        </w:tc>
        <w:tc>
          <w:tcPr>
            <w:tcW w:w="680" w:type="dxa"/>
            <w:vAlign w:val="bottom"/>
            <w:tcBorders>
              <w:bottom w:val="single" w:sz="8" w:color="7F7F7F"/>
              <w:right w:val="single" w:sz="8" w:color="D8D8D8"/>
            </w:tcBorders>
            <w:shd w:val="clear" w:color="auto" w:fill="F2F2F2"/>
          </w:tcPr>
          <w:p>
            <w:pPr>
              <w:spacing w:after="0"/>
              <w:rPr>
                <w:sz w:val="9"/>
                <w:szCs w:val="9"/>
                <w:color w:val="auto"/>
              </w:rPr>
            </w:pPr>
          </w:p>
        </w:tc>
        <w:tc>
          <w:tcPr>
            <w:tcW w:w="600" w:type="dxa"/>
            <w:vAlign w:val="bottom"/>
            <w:tcBorders>
              <w:bottom w:val="single" w:sz="8" w:color="7F7F7F"/>
              <w:right w:val="single" w:sz="8" w:color="D8D8D8"/>
            </w:tcBorders>
            <w:shd w:val="clear" w:color="auto" w:fill="F2F2F2"/>
          </w:tcPr>
          <w:p>
            <w:pPr>
              <w:spacing w:after="0"/>
              <w:rPr>
                <w:sz w:val="9"/>
                <w:szCs w:val="9"/>
                <w:color w:val="auto"/>
              </w:rPr>
            </w:pPr>
          </w:p>
        </w:tc>
        <w:tc>
          <w:tcPr>
            <w:tcW w:w="660" w:type="dxa"/>
            <w:vAlign w:val="bottom"/>
            <w:tcBorders>
              <w:bottom w:val="single" w:sz="8" w:color="7F7F7F"/>
              <w:right w:val="single" w:sz="8" w:color="D8D8D8"/>
            </w:tcBorders>
            <w:shd w:val="clear" w:color="auto" w:fill="F2F2F2"/>
          </w:tcPr>
          <w:p>
            <w:pPr>
              <w:spacing w:after="0"/>
              <w:rPr>
                <w:sz w:val="9"/>
                <w:szCs w:val="9"/>
                <w:color w:val="auto"/>
              </w:rPr>
            </w:pPr>
          </w:p>
        </w:tc>
        <w:tc>
          <w:tcPr>
            <w:tcW w:w="460" w:type="dxa"/>
            <w:vAlign w:val="bottom"/>
            <w:tcBorders>
              <w:bottom w:val="single" w:sz="8" w:color="7F7F7F"/>
            </w:tcBorders>
            <w:shd w:val="clear" w:color="auto" w:fill="F2F2F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520" w:type="dxa"/>
            <w:vAlign w:val="bottom"/>
          </w:tcPr>
          <w:p>
            <w:pPr>
              <w:spacing w:after="0"/>
              <w:rPr>
                <w:sz w:val="21"/>
                <w:szCs w:val="21"/>
                <w:color w:val="auto"/>
              </w:rPr>
            </w:pPr>
          </w:p>
        </w:tc>
        <w:tc>
          <w:tcPr>
            <w:tcW w:w="4620" w:type="dxa"/>
            <w:vAlign w:val="bottom"/>
          </w:tcPr>
          <w:p>
            <w:pPr>
              <w:ind w:left="220"/>
              <w:spacing w:after="0"/>
              <w:rPr>
                <w:sz w:val="20"/>
                <w:szCs w:val="20"/>
                <w:color w:val="auto"/>
              </w:rPr>
            </w:pPr>
            <w:r>
              <w:rPr>
                <w:rFonts w:ascii="Arial" w:cs="Arial" w:eastAsia="Arial" w:hAnsi="Arial"/>
                <w:sz w:val="14"/>
                <w:szCs w:val="14"/>
                <w:b w:val="1"/>
                <w:bCs w:val="1"/>
                <w:color w:val="auto"/>
              </w:rPr>
              <w:t>Kevin C. Sagara</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Borders>
              <w:right w:val="single" w:sz="8" w:color="D8D8D8"/>
            </w:tcBorders>
          </w:tcPr>
          <w:p>
            <w:pPr>
              <w:spacing w:after="0"/>
              <w:rPr>
                <w:sz w:val="21"/>
                <w:szCs w:val="21"/>
                <w:color w:val="auto"/>
              </w:rPr>
            </w:pPr>
          </w:p>
        </w:tc>
        <w:tc>
          <w:tcPr>
            <w:tcW w:w="480" w:type="dxa"/>
            <w:vAlign w:val="bottom"/>
            <w:tcBorders>
              <w:right w:val="single" w:sz="8" w:color="D8D8D8"/>
            </w:tcBorders>
          </w:tcPr>
          <w:p>
            <w:pPr>
              <w:spacing w:after="0"/>
              <w:rPr>
                <w:sz w:val="21"/>
                <w:szCs w:val="21"/>
                <w:color w:val="auto"/>
              </w:rPr>
            </w:pPr>
          </w:p>
        </w:tc>
        <w:tc>
          <w:tcPr>
            <w:tcW w:w="680" w:type="dxa"/>
            <w:vAlign w:val="bottom"/>
            <w:tcBorders>
              <w:right w:val="single" w:sz="8" w:color="D8D8D8"/>
            </w:tcBorders>
          </w:tcPr>
          <w:p>
            <w:pPr>
              <w:spacing w:after="0"/>
              <w:rPr>
                <w:sz w:val="21"/>
                <w:szCs w:val="21"/>
                <w:color w:val="auto"/>
              </w:rPr>
            </w:pPr>
          </w:p>
        </w:tc>
        <w:tc>
          <w:tcPr>
            <w:tcW w:w="600" w:type="dxa"/>
            <w:vAlign w:val="bottom"/>
            <w:tcBorders>
              <w:right w:val="single" w:sz="8" w:color="D8D8D8"/>
            </w:tcBorders>
          </w:tcPr>
          <w:p>
            <w:pPr>
              <w:spacing w:after="0"/>
              <w:rPr>
                <w:sz w:val="21"/>
                <w:szCs w:val="21"/>
                <w:color w:val="auto"/>
              </w:rPr>
            </w:pPr>
          </w:p>
        </w:tc>
        <w:tc>
          <w:tcPr>
            <w:tcW w:w="660" w:type="dxa"/>
            <w:vAlign w:val="bottom"/>
            <w:tcBorders>
              <w:right w:val="single" w:sz="8" w:color="D8D8D8"/>
            </w:tcBorders>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4620" w:type="dxa"/>
            <w:vAlign w:val="bottom"/>
          </w:tcPr>
          <w:p>
            <w:pPr>
              <w:ind w:left="220"/>
              <w:spacing w:after="0"/>
              <w:rPr>
                <w:sz w:val="20"/>
                <w:szCs w:val="20"/>
                <w:color w:val="auto"/>
              </w:rPr>
            </w:pPr>
            <w:r>
              <w:rPr>
                <w:rFonts w:ascii="Arial" w:cs="Arial" w:eastAsia="Arial" w:hAnsi="Arial"/>
                <w:sz w:val="14"/>
                <w:szCs w:val="14"/>
                <w:color w:val="auto"/>
              </w:rPr>
              <w:t>Retired Executive Vice President, Group President,</w:t>
            </w:r>
          </w:p>
        </w:tc>
        <w:tc>
          <w:tcPr>
            <w:tcW w:w="72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rPr>
              <w:t>64</w:t>
            </w:r>
          </w:p>
        </w:tc>
        <w:tc>
          <w:tcPr>
            <w:tcW w:w="640" w:type="dxa"/>
            <w:vAlign w:val="bottom"/>
          </w:tcPr>
          <w:p>
            <w:pPr>
              <w:jc w:val="center"/>
              <w:spacing w:after="0"/>
              <w:rPr>
                <w:sz w:val="20"/>
                <w:szCs w:val="20"/>
                <w:color w:val="auto"/>
              </w:rPr>
            </w:pPr>
            <w:r>
              <w:rPr>
                <w:rFonts w:ascii="Arial" w:cs="Arial" w:eastAsia="Arial" w:hAnsi="Arial"/>
                <w:sz w:val="14"/>
                <w:szCs w:val="14"/>
                <w:color w:val="auto"/>
              </w:rPr>
              <w:t>2025</w:t>
            </w:r>
          </w:p>
        </w:tc>
        <w:tc>
          <w:tcPr>
            <w:tcW w:w="1100" w:type="dxa"/>
            <w:vAlign w:val="bottom"/>
            <w:tcBorders>
              <w:right w:val="single" w:sz="8" w:color="D8D8D8"/>
            </w:tcBorders>
          </w:tcPr>
          <w:p>
            <w:pPr>
              <w:spacing w:after="0"/>
              <w:rPr>
                <w:sz w:val="13"/>
                <w:szCs w:val="13"/>
                <w:color w:val="auto"/>
              </w:rPr>
            </w:pPr>
          </w:p>
        </w:tc>
        <w:tc>
          <w:tcPr>
            <w:tcW w:w="480" w:type="dxa"/>
            <w:vAlign w:val="bottom"/>
            <w:tcBorders>
              <w:right w:val="single" w:sz="8" w:color="D8D8D8"/>
            </w:tcBorders>
          </w:tcPr>
          <w:p>
            <w:pPr>
              <w:spacing w:after="0"/>
              <w:rPr>
                <w:sz w:val="13"/>
                <w:szCs w:val="13"/>
                <w:color w:val="auto"/>
              </w:rPr>
            </w:pPr>
          </w:p>
        </w:tc>
        <w:tc>
          <w:tcPr>
            <w:tcW w:w="680" w:type="dxa"/>
            <w:vAlign w:val="bottom"/>
            <w:tcBorders>
              <w:right w:val="single" w:sz="8" w:color="D8D8D8"/>
            </w:tcBorders>
          </w:tcPr>
          <w:p>
            <w:pPr>
              <w:spacing w:after="0"/>
              <w:rPr>
                <w:sz w:val="13"/>
                <w:szCs w:val="13"/>
                <w:color w:val="auto"/>
              </w:rPr>
            </w:pPr>
          </w:p>
        </w:tc>
        <w:tc>
          <w:tcPr>
            <w:tcW w:w="600" w:type="dxa"/>
            <w:vAlign w:val="bottom"/>
            <w:tcBorders>
              <w:right w:val="single" w:sz="8" w:color="D8D8D8"/>
            </w:tcBorders>
          </w:tcPr>
          <w:p>
            <w:pPr>
              <w:spacing w:after="0"/>
              <w:rPr>
                <w:sz w:val="13"/>
                <w:szCs w:val="13"/>
                <w:color w:val="auto"/>
              </w:rPr>
            </w:pPr>
          </w:p>
        </w:tc>
        <w:tc>
          <w:tcPr>
            <w:tcW w:w="660" w:type="dxa"/>
            <w:vAlign w:val="bottom"/>
            <w:tcBorders>
              <w:right w:val="single" w:sz="8" w:color="D8D8D8"/>
            </w:tcBorders>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0" w:type="dxa"/>
            <w:vAlign w:val="bottom"/>
          </w:tcPr>
          <w:p>
            <w:pPr>
              <w:spacing w:after="0"/>
              <w:rPr>
                <w:sz w:val="16"/>
                <w:szCs w:val="16"/>
                <w:color w:val="auto"/>
              </w:rPr>
            </w:pPr>
          </w:p>
        </w:tc>
        <w:tc>
          <w:tcPr>
            <w:tcW w:w="4620" w:type="dxa"/>
            <w:vAlign w:val="bottom"/>
          </w:tcPr>
          <w:p>
            <w:pPr>
              <w:ind w:left="220"/>
              <w:spacing w:after="0"/>
              <w:rPr>
                <w:sz w:val="20"/>
                <w:szCs w:val="20"/>
                <w:color w:val="auto"/>
              </w:rPr>
            </w:pPr>
            <w:r>
              <w:rPr>
                <w:rFonts w:ascii="Arial" w:cs="Arial" w:eastAsia="Arial" w:hAnsi="Arial"/>
                <w:sz w:val="14"/>
                <w:szCs w:val="14"/>
                <w:color w:val="auto"/>
              </w:rPr>
              <w:t>Sempra</w:t>
            </w: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Borders>
              <w:right w:val="single" w:sz="8" w:color="D8D8D8"/>
            </w:tcBorders>
          </w:tcPr>
          <w:p>
            <w:pPr>
              <w:spacing w:after="0"/>
              <w:rPr>
                <w:sz w:val="16"/>
                <w:szCs w:val="16"/>
                <w:color w:val="auto"/>
              </w:rPr>
            </w:pPr>
          </w:p>
        </w:tc>
        <w:tc>
          <w:tcPr>
            <w:tcW w:w="480" w:type="dxa"/>
            <w:vAlign w:val="bottom"/>
            <w:tcBorders>
              <w:right w:val="single" w:sz="8" w:color="D8D8D8"/>
            </w:tcBorders>
          </w:tcPr>
          <w:p>
            <w:pPr>
              <w:spacing w:after="0"/>
              <w:rPr>
                <w:sz w:val="16"/>
                <w:szCs w:val="16"/>
                <w:color w:val="auto"/>
              </w:rPr>
            </w:pPr>
          </w:p>
        </w:tc>
        <w:tc>
          <w:tcPr>
            <w:tcW w:w="680" w:type="dxa"/>
            <w:vAlign w:val="bottom"/>
            <w:tcBorders>
              <w:right w:val="single" w:sz="8" w:color="D8D8D8"/>
            </w:tcBorders>
          </w:tcPr>
          <w:p>
            <w:pPr>
              <w:spacing w:after="0"/>
              <w:rPr>
                <w:sz w:val="16"/>
                <w:szCs w:val="16"/>
                <w:color w:val="auto"/>
              </w:rPr>
            </w:pPr>
          </w:p>
        </w:tc>
        <w:tc>
          <w:tcPr>
            <w:tcW w:w="600" w:type="dxa"/>
            <w:vAlign w:val="bottom"/>
            <w:tcBorders>
              <w:right w:val="single" w:sz="8" w:color="D8D8D8"/>
            </w:tcBorders>
          </w:tcPr>
          <w:p>
            <w:pPr>
              <w:spacing w:after="0"/>
              <w:rPr>
                <w:sz w:val="16"/>
                <w:szCs w:val="16"/>
                <w:color w:val="auto"/>
              </w:rPr>
            </w:pPr>
          </w:p>
        </w:tc>
        <w:tc>
          <w:tcPr>
            <w:tcW w:w="660" w:type="dxa"/>
            <w:vAlign w:val="bottom"/>
            <w:tcBorders>
              <w:right w:val="single" w:sz="8" w:color="D8D8D8"/>
            </w:tcBorders>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520" w:type="dxa"/>
            <w:vAlign w:val="bottom"/>
            <w:tcBorders>
              <w:bottom w:val="single" w:sz="8" w:color="7F7F7F"/>
            </w:tcBorders>
          </w:tcPr>
          <w:p>
            <w:pPr>
              <w:spacing w:after="0"/>
              <w:rPr>
                <w:sz w:val="9"/>
                <w:szCs w:val="9"/>
                <w:color w:val="auto"/>
              </w:rPr>
            </w:pPr>
          </w:p>
        </w:tc>
        <w:tc>
          <w:tcPr>
            <w:tcW w:w="4620" w:type="dxa"/>
            <w:vAlign w:val="bottom"/>
            <w:tcBorders>
              <w:bottom w:val="single" w:sz="8" w:color="7F7F7F"/>
            </w:tcBorders>
          </w:tcPr>
          <w:p>
            <w:pPr>
              <w:spacing w:after="0"/>
              <w:rPr>
                <w:sz w:val="9"/>
                <w:szCs w:val="9"/>
                <w:color w:val="auto"/>
              </w:rPr>
            </w:pPr>
          </w:p>
        </w:tc>
        <w:tc>
          <w:tcPr>
            <w:tcW w:w="720" w:type="dxa"/>
            <w:vAlign w:val="bottom"/>
            <w:tcBorders>
              <w:bottom w:val="single" w:sz="8" w:color="7F7F7F"/>
            </w:tcBorders>
          </w:tcPr>
          <w:p>
            <w:pPr>
              <w:spacing w:after="0"/>
              <w:rPr>
                <w:sz w:val="9"/>
                <w:szCs w:val="9"/>
                <w:color w:val="auto"/>
              </w:rPr>
            </w:pPr>
          </w:p>
        </w:tc>
        <w:tc>
          <w:tcPr>
            <w:tcW w:w="440" w:type="dxa"/>
            <w:vAlign w:val="bottom"/>
            <w:tcBorders>
              <w:bottom w:val="single" w:sz="8" w:color="7F7F7F"/>
            </w:tcBorders>
          </w:tcPr>
          <w:p>
            <w:pPr>
              <w:spacing w:after="0"/>
              <w:rPr>
                <w:sz w:val="9"/>
                <w:szCs w:val="9"/>
                <w:color w:val="auto"/>
              </w:rPr>
            </w:pPr>
          </w:p>
        </w:tc>
        <w:tc>
          <w:tcPr>
            <w:tcW w:w="640" w:type="dxa"/>
            <w:vAlign w:val="bottom"/>
            <w:tcBorders>
              <w:bottom w:val="single" w:sz="8" w:color="7F7F7F"/>
            </w:tcBorders>
          </w:tcPr>
          <w:p>
            <w:pPr>
              <w:spacing w:after="0"/>
              <w:rPr>
                <w:sz w:val="9"/>
                <w:szCs w:val="9"/>
                <w:color w:val="auto"/>
              </w:rPr>
            </w:pPr>
          </w:p>
        </w:tc>
        <w:tc>
          <w:tcPr>
            <w:tcW w:w="1100" w:type="dxa"/>
            <w:vAlign w:val="bottom"/>
            <w:tcBorders>
              <w:bottom w:val="single" w:sz="8" w:color="7F7F7F"/>
              <w:right w:val="single" w:sz="8" w:color="D8D8D8"/>
            </w:tcBorders>
          </w:tcPr>
          <w:p>
            <w:pPr>
              <w:spacing w:after="0"/>
              <w:rPr>
                <w:sz w:val="9"/>
                <w:szCs w:val="9"/>
                <w:color w:val="auto"/>
              </w:rPr>
            </w:pPr>
          </w:p>
        </w:tc>
        <w:tc>
          <w:tcPr>
            <w:tcW w:w="480" w:type="dxa"/>
            <w:vAlign w:val="bottom"/>
            <w:tcBorders>
              <w:bottom w:val="single" w:sz="8" w:color="7F7F7F"/>
              <w:right w:val="single" w:sz="8" w:color="D8D8D8"/>
            </w:tcBorders>
          </w:tcPr>
          <w:p>
            <w:pPr>
              <w:spacing w:after="0"/>
              <w:rPr>
                <w:sz w:val="9"/>
                <w:szCs w:val="9"/>
                <w:color w:val="auto"/>
              </w:rPr>
            </w:pPr>
          </w:p>
        </w:tc>
        <w:tc>
          <w:tcPr>
            <w:tcW w:w="680" w:type="dxa"/>
            <w:vAlign w:val="bottom"/>
            <w:tcBorders>
              <w:bottom w:val="single" w:sz="8" w:color="7F7F7F"/>
              <w:right w:val="single" w:sz="8" w:color="D8D8D8"/>
            </w:tcBorders>
          </w:tcPr>
          <w:p>
            <w:pPr>
              <w:spacing w:after="0"/>
              <w:rPr>
                <w:sz w:val="9"/>
                <w:szCs w:val="9"/>
                <w:color w:val="auto"/>
              </w:rPr>
            </w:pPr>
          </w:p>
        </w:tc>
        <w:tc>
          <w:tcPr>
            <w:tcW w:w="600" w:type="dxa"/>
            <w:vAlign w:val="bottom"/>
            <w:tcBorders>
              <w:bottom w:val="single" w:sz="8" w:color="7F7F7F"/>
              <w:right w:val="single" w:sz="8" w:color="D8D8D8"/>
            </w:tcBorders>
          </w:tcPr>
          <w:p>
            <w:pPr>
              <w:spacing w:after="0"/>
              <w:rPr>
                <w:sz w:val="9"/>
                <w:szCs w:val="9"/>
                <w:color w:val="auto"/>
              </w:rPr>
            </w:pPr>
          </w:p>
        </w:tc>
        <w:tc>
          <w:tcPr>
            <w:tcW w:w="660" w:type="dxa"/>
            <w:vAlign w:val="bottom"/>
            <w:tcBorders>
              <w:bottom w:val="single" w:sz="8" w:color="7F7F7F"/>
              <w:right w:val="single" w:sz="8" w:color="D8D8D8"/>
            </w:tcBorders>
          </w:tcPr>
          <w:p>
            <w:pPr>
              <w:spacing w:after="0"/>
              <w:rPr>
                <w:sz w:val="9"/>
                <w:szCs w:val="9"/>
                <w:color w:val="auto"/>
              </w:rPr>
            </w:pPr>
          </w:p>
        </w:tc>
        <w:tc>
          <w:tcPr>
            <w:tcW w:w="460" w:type="dxa"/>
            <w:vAlign w:val="bottom"/>
            <w:tcBorders>
              <w:bottom w:val="single" w:sz="8" w:color="7F7F7F"/>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520" w:type="dxa"/>
            <w:vAlign w:val="bottom"/>
            <w:shd w:val="clear" w:color="auto" w:fill="F2F2F2"/>
          </w:tcPr>
          <w:p>
            <w:pPr>
              <w:spacing w:after="0"/>
              <w:rPr>
                <w:sz w:val="21"/>
                <w:szCs w:val="21"/>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b w:val="1"/>
                <w:bCs w:val="1"/>
                <w:color w:val="auto"/>
              </w:rPr>
              <w:t>Jack T. Taylor</w:t>
            </w:r>
          </w:p>
        </w:tc>
        <w:tc>
          <w:tcPr>
            <w:tcW w:w="720" w:type="dxa"/>
            <w:vAlign w:val="bottom"/>
            <w:shd w:val="clear" w:color="auto" w:fill="F2F2F2"/>
          </w:tcPr>
          <w:p>
            <w:pPr>
              <w:spacing w:after="0"/>
              <w:rPr>
                <w:sz w:val="21"/>
                <w:szCs w:val="21"/>
                <w:color w:val="auto"/>
              </w:rPr>
            </w:pPr>
          </w:p>
        </w:tc>
        <w:tc>
          <w:tcPr>
            <w:tcW w:w="440" w:type="dxa"/>
            <w:vAlign w:val="bottom"/>
            <w:shd w:val="clear" w:color="auto" w:fill="F2F2F2"/>
          </w:tcPr>
          <w:p>
            <w:pPr>
              <w:spacing w:after="0"/>
              <w:rPr>
                <w:sz w:val="21"/>
                <w:szCs w:val="21"/>
                <w:color w:val="auto"/>
              </w:rPr>
            </w:pPr>
          </w:p>
        </w:tc>
        <w:tc>
          <w:tcPr>
            <w:tcW w:w="640" w:type="dxa"/>
            <w:vAlign w:val="bottom"/>
            <w:shd w:val="clear" w:color="auto" w:fill="F2F2F2"/>
          </w:tcPr>
          <w:p>
            <w:pPr>
              <w:spacing w:after="0"/>
              <w:rPr>
                <w:sz w:val="21"/>
                <w:szCs w:val="21"/>
                <w:color w:val="auto"/>
              </w:rPr>
            </w:pPr>
          </w:p>
        </w:tc>
        <w:tc>
          <w:tcPr>
            <w:tcW w:w="1100" w:type="dxa"/>
            <w:vAlign w:val="bottom"/>
            <w:tcBorders>
              <w:right w:val="single" w:sz="8" w:color="D8D8D8"/>
            </w:tcBorders>
            <w:shd w:val="clear" w:color="auto" w:fill="F2F2F2"/>
          </w:tcPr>
          <w:p>
            <w:pPr>
              <w:spacing w:after="0"/>
              <w:rPr>
                <w:sz w:val="21"/>
                <w:szCs w:val="21"/>
                <w:color w:val="auto"/>
              </w:rPr>
            </w:pPr>
          </w:p>
        </w:tc>
        <w:tc>
          <w:tcPr>
            <w:tcW w:w="480" w:type="dxa"/>
            <w:vAlign w:val="bottom"/>
            <w:tcBorders>
              <w:right w:val="single" w:sz="8" w:color="D8D8D8"/>
            </w:tcBorders>
            <w:vMerge w:val="restart"/>
            <w:shd w:val="clear" w:color="auto" w:fill="F2F2F2"/>
          </w:tcPr>
          <w:p>
            <w:pPr>
              <w:ind w:left="200"/>
              <w:spacing w:after="0"/>
              <w:rPr>
                <w:sz w:val="20"/>
                <w:szCs w:val="20"/>
                <w:color w:val="auto"/>
              </w:rPr>
            </w:pPr>
            <w:r>
              <w:rPr>
                <w:rFonts w:ascii="Times New Roman" w:cs="Times New Roman" w:eastAsia="Times New Roman" w:hAnsi="Times New Roman"/>
                <w:sz w:val="14"/>
                <w:szCs w:val="14"/>
                <w:color w:val="auto"/>
              </w:rPr>
              <w:t xml:space="preserve">   </w:t>
            </w:r>
          </w:p>
        </w:tc>
        <w:tc>
          <w:tcPr>
            <w:tcW w:w="680" w:type="dxa"/>
            <w:vAlign w:val="bottom"/>
            <w:tcBorders>
              <w:right w:val="single" w:sz="8" w:color="D8D8D8"/>
            </w:tcBorders>
            <w:shd w:val="clear" w:color="auto" w:fill="F2F2F2"/>
          </w:tcPr>
          <w:p>
            <w:pPr>
              <w:spacing w:after="0"/>
              <w:rPr>
                <w:sz w:val="21"/>
                <w:szCs w:val="21"/>
                <w:color w:val="auto"/>
              </w:rPr>
            </w:pPr>
          </w:p>
        </w:tc>
        <w:tc>
          <w:tcPr>
            <w:tcW w:w="600" w:type="dxa"/>
            <w:vAlign w:val="bottom"/>
            <w:tcBorders>
              <w:right w:val="single" w:sz="8" w:color="D8D8D8"/>
            </w:tcBorders>
            <w:shd w:val="clear" w:color="auto" w:fill="F2F2F2"/>
          </w:tcPr>
          <w:p>
            <w:pPr>
              <w:spacing w:after="0"/>
              <w:rPr>
                <w:sz w:val="21"/>
                <w:szCs w:val="21"/>
                <w:color w:val="auto"/>
              </w:rPr>
            </w:pPr>
          </w:p>
        </w:tc>
        <w:tc>
          <w:tcPr>
            <w:tcW w:w="660" w:type="dxa"/>
            <w:vAlign w:val="bottom"/>
            <w:tcBorders>
              <w:right w:val="single" w:sz="8" w:color="D8D8D8"/>
            </w:tcBorders>
            <w:shd w:val="clear" w:color="auto" w:fill="F2F2F2"/>
          </w:tcPr>
          <w:p>
            <w:pPr>
              <w:spacing w:after="0"/>
              <w:rPr>
                <w:sz w:val="21"/>
                <w:szCs w:val="21"/>
                <w:color w:val="auto"/>
              </w:rPr>
            </w:pPr>
          </w:p>
        </w:tc>
        <w:tc>
          <w:tcPr>
            <w:tcW w:w="460" w:type="dxa"/>
            <w:vAlign w:val="bottom"/>
            <w:shd w:val="clear" w:color="auto" w:fill="F2F2F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20" w:type="dxa"/>
            <w:vAlign w:val="bottom"/>
            <w:shd w:val="clear" w:color="auto" w:fill="F2F2F2"/>
          </w:tcPr>
          <w:p>
            <w:pPr>
              <w:spacing w:after="0"/>
              <w:rPr>
                <w:sz w:val="13"/>
                <w:szCs w:val="13"/>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Retired Chief Operating Officer—Americas and Executive</w:t>
            </w:r>
          </w:p>
        </w:tc>
        <w:tc>
          <w:tcPr>
            <w:tcW w:w="720" w:type="dxa"/>
            <w:vAlign w:val="bottom"/>
            <w:shd w:val="clear" w:color="auto" w:fill="F2F2F2"/>
          </w:tcPr>
          <w:p>
            <w:pPr>
              <w:spacing w:after="0"/>
              <w:rPr>
                <w:sz w:val="13"/>
                <w:szCs w:val="13"/>
                <w:color w:val="auto"/>
              </w:rPr>
            </w:pPr>
          </w:p>
        </w:tc>
        <w:tc>
          <w:tcPr>
            <w:tcW w:w="4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74</w:t>
            </w:r>
          </w:p>
        </w:tc>
        <w:tc>
          <w:tcPr>
            <w:tcW w:w="6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2013</w:t>
            </w:r>
          </w:p>
        </w:tc>
        <w:tc>
          <w:tcPr>
            <w:tcW w:w="1100" w:type="dxa"/>
            <w:vAlign w:val="bottom"/>
            <w:tcBorders>
              <w:right w:val="single" w:sz="8" w:color="D8D8D8"/>
            </w:tcBorders>
            <w:shd w:val="clear" w:color="auto" w:fill="F2F2F2"/>
          </w:tcPr>
          <w:p>
            <w:pPr>
              <w:spacing w:after="0"/>
              <w:rPr>
                <w:sz w:val="13"/>
                <w:szCs w:val="13"/>
                <w:color w:val="auto"/>
              </w:rPr>
            </w:pPr>
          </w:p>
        </w:tc>
        <w:tc>
          <w:tcPr>
            <w:tcW w:w="480" w:type="dxa"/>
            <w:vAlign w:val="bottom"/>
            <w:tcBorders>
              <w:right w:val="single" w:sz="8" w:color="D8D8D8"/>
            </w:tcBorders>
            <w:vMerge w:val="continue"/>
            <w:shd w:val="clear" w:color="auto" w:fill="F2F2F2"/>
          </w:tcPr>
          <w:p>
            <w:pPr>
              <w:spacing w:after="0"/>
              <w:rPr>
                <w:sz w:val="13"/>
                <w:szCs w:val="13"/>
                <w:color w:val="auto"/>
              </w:rPr>
            </w:pPr>
          </w:p>
        </w:tc>
        <w:tc>
          <w:tcPr>
            <w:tcW w:w="680" w:type="dxa"/>
            <w:vAlign w:val="bottom"/>
            <w:tcBorders>
              <w:right w:val="single" w:sz="8" w:color="D8D8D8"/>
            </w:tcBorders>
            <w:shd w:val="clear" w:color="auto" w:fill="F2F2F2"/>
          </w:tcPr>
          <w:p>
            <w:pPr>
              <w:spacing w:after="0"/>
              <w:rPr>
                <w:sz w:val="13"/>
                <w:szCs w:val="13"/>
                <w:color w:val="auto"/>
              </w:rPr>
            </w:pPr>
          </w:p>
        </w:tc>
        <w:tc>
          <w:tcPr>
            <w:tcW w:w="600" w:type="dxa"/>
            <w:vAlign w:val="bottom"/>
            <w:tcBorders>
              <w:right w:val="single" w:sz="8" w:color="D8D8D8"/>
            </w:tcBorders>
            <w:shd w:val="clear" w:color="auto" w:fill="F2F2F2"/>
          </w:tcPr>
          <w:p>
            <w:pPr>
              <w:spacing w:after="0"/>
              <w:rPr>
                <w:sz w:val="13"/>
                <w:szCs w:val="13"/>
                <w:color w:val="auto"/>
              </w:rPr>
            </w:pPr>
          </w:p>
        </w:tc>
        <w:tc>
          <w:tcPr>
            <w:tcW w:w="660" w:type="dxa"/>
            <w:vAlign w:val="bottom"/>
            <w:tcBorders>
              <w:right w:val="single" w:sz="8" w:color="D8D8D8"/>
            </w:tcBorders>
            <w:shd w:val="clear" w:color="auto" w:fill="F2F2F2"/>
          </w:tcPr>
          <w:p>
            <w:pPr>
              <w:spacing w:after="0"/>
              <w:rPr>
                <w:sz w:val="13"/>
                <w:szCs w:val="13"/>
                <w:color w:val="auto"/>
              </w:rPr>
            </w:pPr>
          </w:p>
        </w:tc>
        <w:tc>
          <w:tcPr>
            <w:tcW w:w="460" w:type="dxa"/>
            <w:vAlign w:val="bottom"/>
            <w:shd w:val="clear" w:color="auto" w:fill="F2F2F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0" w:type="dxa"/>
            <w:vAlign w:val="bottom"/>
            <w:shd w:val="clear" w:color="auto" w:fill="F2F2F2"/>
          </w:tcPr>
          <w:p>
            <w:pPr>
              <w:spacing w:after="0"/>
              <w:rPr>
                <w:sz w:val="16"/>
                <w:szCs w:val="16"/>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Vice Chair of U.S. Operations, KPMG LLP (U.S.)</w:t>
            </w:r>
          </w:p>
        </w:tc>
        <w:tc>
          <w:tcPr>
            <w:tcW w:w="7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1100" w:type="dxa"/>
            <w:vAlign w:val="bottom"/>
            <w:tcBorders>
              <w:right w:val="single" w:sz="8" w:color="D8D8D8"/>
            </w:tcBorders>
            <w:shd w:val="clear" w:color="auto" w:fill="F2F2F2"/>
          </w:tcPr>
          <w:p>
            <w:pPr>
              <w:spacing w:after="0"/>
              <w:rPr>
                <w:sz w:val="16"/>
                <w:szCs w:val="16"/>
                <w:color w:val="auto"/>
              </w:rPr>
            </w:pPr>
          </w:p>
        </w:tc>
        <w:tc>
          <w:tcPr>
            <w:tcW w:w="480" w:type="dxa"/>
            <w:vAlign w:val="bottom"/>
            <w:tcBorders>
              <w:right w:val="single" w:sz="8" w:color="D8D8D8"/>
            </w:tcBorders>
            <w:shd w:val="clear" w:color="auto" w:fill="F2F2F2"/>
          </w:tcPr>
          <w:p>
            <w:pPr>
              <w:spacing w:after="0"/>
              <w:rPr>
                <w:sz w:val="16"/>
                <w:szCs w:val="16"/>
                <w:color w:val="auto"/>
              </w:rPr>
            </w:pPr>
          </w:p>
        </w:tc>
        <w:tc>
          <w:tcPr>
            <w:tcW w:w="680" w:type="dxa"/>
            <w:vAlign w:val="bottom"/>
            <w:tcBorders>
              <w:right w:val="single" w:sz="8" w:color="D8D8D8"/>
            </w:tcBorders>
            <w:shd w:val="clear" w:color="auto" w:fill="F2F2F2"/>
          </w:tcPr>
          <w:p>
            <w:pPr>
              <w:spacing w:after="0"/>
              <w:rPr>
                <w:sz w:val="16"/>
                <w:szCs w:val="16"/>
                <w:color w:val="auto"/>
              </w:rPr>
            </w:pPr>
          </w:p>
        </w:tc>
        <w:tc>
          <w:tcPr>
            <w:tcW w:w="600" w:type="dxa"/>
            <w:vAlign w:val="bottom"/>
            <w:tcBorders>
              <w:right w:val="single" w:sz="8" w:color="D8D8D8"/>
            </w:tcBorders>
            <w:shd w:val="clear" w:color="auto" w:fill="F2F2F2"/>
          </w:tcPr>
          <w:p>
            <w:pPr>
              <w:spacing w:after="0"/>
              <w:rPr>
                <w:sz w:val="16"/>
                <w:szCs w:val="16"/>
                <w:color w:val="auto"/>
              </w:rPr>
            </w:pPr>
          </w:p>
        </w:tc>
        <w:tc>
          <w:tcPr>
            <w:tcW w:w="660" w:type="dxa"/>
            <w:vAlign w:val="bottom"/>
            <w:tcBorders>
              <w:right w:val="single" w:sz="8" w:color="D8D8D8"/>
            </w:tcBorders>
            <w:shd w:val="clear" w:color="auto" w:fill="F2F2F2"/>
          </w:tcPr>
          <w:p>
            <w:pPr>
              <w:spacing w:after="0"/>
              <w:rPr>
                <w:sz w:val="16"/>
                <w:szCs w:val="16"/>
                <w:color w:val="auto"/>
              </w:rPr>
            </w:pPr>
          </w:p>
        </w:tc>
        <w:tc>
          <w:tcPr>
            <w:tcW w:w="460" w:type="dxa"/>
            <w:vAlign w:val="bottom"/>
            <w:shd w:val="clear" w:color="auto" w:fill="F2F2F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520" w:type="dxa"/>
            <w:vAlign w:val="bottom"/>
            <w:tcBorders>
              <w:bottom w:val="single" w:sz="8" w:color="7F7F7F"/>
            </w:tcBorders>
            <w:shd w:val="clear" w:color="auto" w:fill="F2F2F2"/>
          </w:tcPr>
          <w:p>
            <w:pPr>
              <w:spacing w:after="0"/>
              <w:rPr>
                <w:sz w:val="9"/>
                <w:szCs w:val="9"/>
                <w:color w:val="auto"/>
              </w:rPr>
            </w:pPr>
          </w:p>
        </w:tc>
        <w:tc>
          <w:tcPr>
            <w:tcW w:w="4620" w:type="dxa"/>
            <w:vAlign w:val="bottom"/>
            <w:tcBorders>
              <w:bottom w:val="single" w:sz="8" w:color="7F7F7F"/>
            </w:tcBorders>
            <w:shd w:val="clear" w:color="auto" w:fill="F2F2F2"/>
          </w:tcPr>
          <w:p>
            <w:pPr>
              <w:spacing w:after="0"/>
              <w:rPr>
                <w:sz w:val="9"/>
                <w:szCs w:val="9"/>
                <w:color w:val="auto"/>
              </w:rPr>
            </w:pPr>
          </w:p>
        </w:tc>
        <w:tc>
          <w:tcPr>
            <w:tcW w:w="720" w:type="dxa"/>
            <w:vAlign w:val="bottom"/>
            <w:tcBorders>
              <w:bottom w:val="single" w:sz="8" w:color="7F7F7F"/>
            </w:tcBorders>
            <w:shd w:val="clear" w:color="auto" w:fill="F2F2F2"/>
          </w:tcPr>
          <w:p>
            <w:pPr>
              <w:spacing w:after="0"/>
              <w:rPr>
                <w:sz w:val="9"/>
                <w:szCs w:val="9"/>
                <w:color w:val="auto"/>
              </w:rPr>
            </w:pPr>
          </w:p>
        </w:tc>
        <w:tc>
          <w:tcPr>
            <w:tcW w:w="440" w:type="dxa"/>
            <w:vAlign w:val="bottom"/>
            <w:tcBorders>
              <w:bottom w:val="single" w:sz="8" w:color="7F7F7F"/>
            </w:tcBorders>
            <w:shd w:val="clear" w:color="auto" w:fill="F2F2F2"/>
          </w:tcPr>
          <w:p>
            <w:pPr>
              <w:spacing w:after="0"/>
              <w:rPr>
                <w:sz w:val="9"/>
                <w:szCs w:val="9"/>
                <w:color w:val="auto"/>
              </w:rPr>
            </w:pPr>
          </w:p>
        </w:tc>
        <w:tc>
          <w:tcPr>
            <w:tcW w:w="640" w:type="dxa"/>
            <w:vAlign w:val="bottom"/>
            <w:tcBorders>
              <w:bottom w:val="single" w:sz="8" w:color="7F7F7F"/>
            </w:tcBorders>
            <w:shd w:val="clear" w:color="auto" w:fill="F2F2F2"/>
          </w:tcPr>
          <w:p>
            <w:pPr>
              <w:spacing w:after="0"/>
              <w:rPr>
                <w:sz w:val="9"/>
                <w:szCs w:val="9"/>
                <w:color w:val="auto"/>
              </w:rPr>
            </w:pPr>
          </w:p>
        </w:tc>
        <w:tc>
          <w:tcPr>
            <w:tcW w:w="1100" w:type="dxa"/>
            <w:vAlign w:val="bottom"/>
            <w:tcBorders>
              <w:bottom w:val="single" w:sz="8" w:color="7F7F7F"/>
              <w:right w:val="single" w:sz="8" w:color="D8D8D8"/>
            </w:tcBorders>
            <w:shd w:val="clear" w:color="auto" w:fill="F2F2F2"/>
          </w:tcPr>
          <w:p>
            <w:pPr>
              <w:spacing w:after="0"/>
              <w:rPr>
                <w:sz w:val="9"/>
                <w:szCs w:val="9"/>
                <w:color w:val="auto"/>
              </w:rPr>
            </w:pPr>
          </w:p>
        </w:tc>
        <w:tc>
          <w:tcPr>
            <w:tcW w:w="480" w:type="dxa"/>
            <w:vAlign w:val="bottom"/>
            <w:tcBorders>
              <w:bottom w:val="single" w:sz="8" w:color="7F7F7F"/>
              <w:right w:val="single" w:sz="8" w:color="D8D8D8"/>
            </w:tcBorders>
            <w:shd w:val="clear" w:color="auto" w:fill="F2F2F2"/>
          </w:tcPr>
          <w:p>
            <w:pPr>
              <w:spacing w:after="0"/>
              <w:rPr>
                <w:sz w:val="9"/>
                <w:szCs w:val="9"/>
                <w:color w:val="auto"/>
              </w:rPr>
            </w:pPr>
          </w:p>
        </w:tc>
        <w:tc>
          <w:tcPr>
            <w:tcW w:w="680" w:type="dxa"/>
            <w:vAlign w:val="bottom"/>
            <w:tcBorders>
              <w:bottom w:val="single" w:sz="8" w:color="7F7F7F"/>
              <w:right w:val="single" w:sz="8" w:color="D8D8D8"/>
            </w:tcBorders>
            <w:shd w:val="clear" w:color="auto" w:fill="F2F2F2"/>
          </w:tcPr>
          <w:p>
            <w:pPr>
              <w:spacing w:after="0"/>
              <w:rPr>
                <w:sz w:val="9"/>
                <w:szCs w:val="9"/>
                <w:color w:val="auto"/>
              </w:rPr>
            </w:pPr>
          </w:p>
        </w:tc>
        <w:tc>
          <w:tcPr>
            <w:tcW w:w="600" w:type="dxa"/>
            <w:vAlign w:val="bottom"/>
            <w:tcBorders>
              <w:bottom w:val="single" w:sz="8" w:color="7F7F7F"/>
              <w:right w:val="single" w:sz="8" w:color="D8D8D8"/>
            </w:tcBorders>
            <w:shd w:val="clear" w:color="auto" w:fill="F2F2F2"/>
          </w:tcPr>
          <w:p>
            <w:pPr>
              <w:spacing w:after="0"/>
              <w:rPr>
                <w:sz w:val="9"/>
                <w:szCs w:val="9"/>
                <w:color w:val="auto"/>
              </w:rPr>
            </w:pPr>
          </w:p>
        </w:tc>
        <w:tc>
          <w:tcPr>
            <w:tcW w:w="660" w:type="dxa"/>
            <w:vAlign w:val="bottom"/>
            <w:tcBorders>
              <w:bottom w:val="single" w:sz="8" w:color="7F7F7F"/>
              <w:right w:val="single" w:sz="8" w:color="D8D8D8"/>
            </w:tcBorders>
            <w:shd w:val="clear" w:color="auto" w:fill="F2F2F2"/>
          </w:tcPr>
          <w:p>
            <w:pPr>
              <w:spacing w:after="0"/>
              <w:rPr>
                <w:sz w:val="9"/>
                <w:szCs w:val="9"/>
                <w:color w:val="auto"/>
              </w:rPr>
            </w:pPr>
          </w:p>
        </w:tc>
        <w:tc>
          <w:tcPr>
            <w:tcW w:w="460" w:type="dxa"/>
            <w:vAlign w:val="bottom"/>
            <w:tcBorders>
              <w:bottom w:val="single" w:sz="8" w:color="7F7F7F"/>
            </w:tcBorders>
            <w:shd w:val="clear" w:color="auto" w:fill="F2F2F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520" w:type="dxa"/>
            <w:vAlign w:val="bottom"/>
          </w:tcPr>
          <w:p>
            <w:pPr>
              <w:spacing w:after="0"/>
              <w:rPr>
                <w:sz w:val="24"/>
                <w:szCs w:val="24"/>
                <w:color w:val="auto"/>
              </w:rPr>
            </w:pPr>
          </w:p>
        </w:tc>
        <w:tc>
          <w:tcPr>
            <w:tcW w:w="4620" w:type="dxa"/>
            <w:vAlign w:val="bottom"/>
          </w:tcPr>
          <w:p>
            <w:pPr>
              <w:ind w:left="220"/>
              <w:spacing w:after="0"/>
              <w:rPr>
                <w:sz w:val="20"/>
                <w:szCs w:val="20"/>
                <w:color w:val="auto"/>
              </w:rPr>
            </w:pPr>
            <w:r>
              <w:rPr>
                <w:rFonts w:ascii="Arial" w:cs="Arial" w:eastAsia="Arial" w:hAnsi="Arial"/>
                <w:sz w:val="14"/>
                <w:szCs w:val="14"/>
                <w:b w:val="1"/>
                <w:bCs w:val="1"/>
                <w:color w:val="auto"/>
              </w:rPr>
              <w:t>Cynthia J. Warner</w:t>
            </w:r>
          </w:p>
        </w:tc>
        <w:tc>
          <w:tcPr>
            <w:tcW w:w="720" w:type="dxa"/>
            <w:vAlign w:val="bottom"/>
          </w:tcPr>
          <w:p>
            <w:pPr>
              <w:spacing w:after="0"/>
              <w:rPr>
                <w:sz w:val="24"/>
                <w:szCs w:val="24"/>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rPr>
              <w:t>67</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1100" w:type="dxa"/>
            <w:vAlign w:val="bottom"/>
            <w:tcBorders>
              <w:right w:val="single" w:sz="8" w:color="D8D8D8"/>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 xml:space="preserve">    </w:t>
            </w:r>
          </w:p>
        </w:tc>
        <w:tc>
          <w:tcPr>
            <w:tcW w:w="480" w:type="dxa"/>
            <w:vAlign w:val="bottom"/>
            <w:tcBorders>
              <w:right w:val="single" w:sz="8" w:color="D8D8D8"/>
            </w:tcBorders>
          </w:tcPr>
          <w:p>
            <w:pPr>
              <w:spacing w:after="0"/>
              <w:rPr>
                <w:sz w:val="24"/>
                <w:szCs w:val="24"/>
                <w:color w:val="auto"/>
              </w:rPr>
            </w:pPr>
          </w:p>
        </w:tc>
        <w:tc>
          <w:tcPr>
            <w:tcW w:w="680" w:type="dxa"/>
            <w:vAlign w:val="bottom"/>
            <w:tcBorders>
              <w:right w:val="single" w:sz="8" w:color="D8D8D8"/>
            </w:tcBorders>
          </w:tcPr>
          <w:p>
            <w:pPr>
              <w:spacing w:after="0"/>
              <w:rPr>
                <w:sz w:val="24"/>
                <w:szCs w:val="24"/>
                <w:color w:val="auto"/>
              </w:rPr>
            </w:pPr>
          </w:p>
        </w:tc>
        <w:tc>
          <w:tcPr>
            <w:tcW w:w="600" w:type="dxa"/>
            <w:vAlign w:val="bottom"/>
            <w:tcBorders>
              <w:right w:val="single" w:sz="8" w:color="D8D8D8"/>
            </w:tcBorders>
          </w:tcPr>
          <w:p>
            <w:pPr>
              <w:spacing w:after="0"/>
              <w:rPr>
                <w:sz w:val="24"/>
                <w:szCs w:val="24"/>
                <w:color w:val="auto"/>
              </w:rPr>
            </w:pPr>
          </w:p>
        </w:tc>
        <w:tc>
          <w:tcPr>
            <w:tcW w:w="660" w:type="dxa"/>
            <w:vAlign w:val="bottom"/>
            <w:tcBorders>
              <w:right w:val="single" w:sz="8" w:color="D8D8D8"/>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5340" w:type="dxa"/>
            <w:vAlign w:val="bottom"/>
            <w:gridSpan w:val="2"/>
            <w:vMerge w:val="restart"/>
          </w:tcPr>
          <w:p>
            <w:pPr>
              <w:ind w:left="220"/>
              <w:spacing w:after="0"/>
              <w:rPr>
                <w:sz w:val="20"/>
                <w:szCs w:val="20"/>
                <w:color w:val="auto"/>
              </w:rPr>
            </w:pPr>
            <w:r>
              <w:rPr>
                <w:rFonts w:ascii="Arial" w:cs="Arial" w:eastAsia="Arial" w:hAnsi="Arial"/>
                <w:sz w:val="14"/>
                <w:szCs w:val="14"/>
                <w:color w:val="auto"/>
              </w:rPr>
              <w:t>Retired President and Chief Executive Officer, Renewable Energy Group, Inc.</w:t>
            </w: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tcBorders>
              <w:right w:val="single" w:sz="8" w:color="D8D8D8"/>
            </w:tcBorders>
            <w:vMerge w:val="continue"/>
          </w:tcPr>
          <w:p>
            <w:pPr>
              <w:spacing w:after="0"/>
              <w:rPr>
                <w:sz w:val="9"/>
                <w:szCs w:val="9"/>
                <w:color w:val="auto"/>
              </w:rPr>
            </w:pPr>
          </w:p>
        </w:tc>
        <w:tc>
          <w:tcPr>
            <w:tcW w:w="480" w:type="dxa"/>
            <w:vAlign w:val="bottom"/>
            <w:tcBorders>
              <w:right w:val="single" w:sz="8" w:color="D8D8D8"/>
            </w:tcBorders>
          </w:tcPr>
          <w:p>
            <w:pPr>
              <w:spacing w:after="0"/>
              <w:rPr>
                <w:sz w:val="9"/>
                <w:szCs w:val="9"/>
                <w:color w:val="auto"/>
              </w:rPr>
            </w:pPr>
          </w:p>
        </w:tc>
        <w:tc>
          <w:tcPr>
            <w:tcW w:w="680" w:type="dxa"/>
            <w:vAlign w:val="bottom"/>
            <w:tcBorders>
              <w:right w:val="single" w:sz="8" w:color="D8D8D8"/>
            </w:tcBorders>
          </w:tcPr>
          <w:p>
            <w:pPr>
              <w:spacing w:after="0"/>
              <w:rPr>
                <w:sz w:val="9"/>
                <w:szCs w:val="9"/>
                <w:color w:val="auto"/>
              </w:rPr>
            </w:pPr>
          </w:p>
        </w:tc>
        <w:tc>
          <w:tcPr>
            <w:tcW w:w="600" w:type="dxa"/>
            <w:vAlign w:val="bottom"/>
            <w:tcBorders>
              <w:right w:val="single" w:sz="8" w:color="D8D8D8"/>
            </w:tcBorders>
          </w:tcPr>
          <w:p>
            <w:pPr>
              <w:spacing w:after="0"/>
              <w:rPr>
                <w:sz w:val="9"/>
                <w:szCs w:val="9"/>
                <w:color w:val="auto"/>
              </w:rPr>
            </w:pPr>
          </w:p>
        </w:tc>
        <w:tc>
          <w:tcPr>
            <w:tcW w:w="660" w:type="dxa"/>
            <w:vAlign w:val="bottom"/>
            <w:tcBorders>
              <w:right w:val="single" w:sz="8" w:color="D8D8D8"/>
            </w:tcBorders>
          </w:tcPr>
          <w:p>
            <w:pPr>
              <w:spacing w:after="0"/>
              <w:rPr>
                <w:sz w:val="9"/>
                <w:szCs w:val="9"/>
                <w:color w:val="auto"/>
              </w:rPr>
            </w:pPr>
          </w:p>
        </w:tc>
        <w:tc>
          <w:tcPr>
            <w:tcW w:w="4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20" w:type="dxa"/>
            <w:vAlign w:val="bottom"/>
          </w:tcPr>
          <w:p>
            <w:pPr>
              <w:spacing w:after="0"/>
              <w:rPr>
                <w:sz w:val="6"/>
                <w:szCs w:val="6"/>
                <w:color w:val="auto"/>
              </w:rPr>
            </w:pPr>
          </w:p>
        </w:tc>
        <w:tc>
          <w:tcPr>
            <w:tcW w:w="5340" w:type="dxa"/>
            <w:vAlign w:val="bottom"/>
            <w:gridSpan w:val="2"/>
            <w:vMerge w:val="continue"/>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Borders>
              <w:right w:val="single" w:sz="8" w:color="D8D8D8"/>
            </w:tcBorders>
          </w:tcPr>
          <w:p>
            <w:pPr>
              <w:spacing w:after="0"/>
              <w:rPr>
                <w:sz w:val="6"/>
                <w:szCs w:val="6"/>
                <w:color w:val="auto"/>
              </w:rPr>
            </w:pPr>
          </w:p>
        </w:tc>
        <w:tc>
          <w:tcPr>
            <w:tcW w:w="480" w:type="dxa"/>
            <w:vAlign w:val="bottom"/>
            <w:tcBorders>
              <w:right w:val="single" w:sz="8" w:color="D8D8D8"/>
            </w:tcBorders>
          </w:tcPr>
          <w:p>
            <w:pPr>
              <w:spacing w:after="0"/>
              <w:rPr>
                <w:sz w:val="6"/>
                <w:szCs w:val="6"/>
                <w:color w:val="auto"/>
              </w:rPr>
            </w:pPr>
          </w:p>
        </w:tc>
        <w:tc>
          <w:tcPr>
            <w:tcW w:w="680" w:type="dxa"/>
            <w:vAlign w:val="bottom"/>
            <w:tcBorders>
              <w:right w:val="single" w:sz="8" w:color="D8D8D8"/>
            </w:tcBorders>
          </w:tcPr>
          <w:p>
            <w:pPr>
              <w:spacing w:after="0"/>
              <w:rPr>
                <w:sz w:val="6"/>
                <w:szCs w:val="6"/>
                <w:color w:val="auto"/>
              </w:rPr>
            </w:pPr>
          </w:p>
        </w:tc>
        <w:tc>
          <w:tcPr>
            <w:tcW w:w="600" w:type="dxa"/>
            <w:vAlign w:val="bottom"/>
            <w:tcBorders>
              <w:right w:val="single" w:sz="8" w:color="D8D8D8"/>
            </w:tcBorders>
          </w:tcPr>
          <w:p>
            <w:pPr>
              <w:spacing w:after="0"/>
              <w:rPr>
                <w:sz w:val="6"/>
                <w:szCs w:val="6"/>
                <w:color w:val="auto"/>
              </w:rPr>
            </w:pPr>
          </w:p>
        </w:tc>
        <w:tc>
          <w:tcPr>
            <w:tcW w:w="660" w:type="dxa"/>
            <w:vAlign w:val="bottom"/>
            <w:tcBorders>
              <w:right w:val="single" w:sz="8" w:color="D8D8D8"/>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20" w:type="dxa"/>
            <w:vAlign w:val="bottom"/>
            <w:tcBorders>
              <w:bottom w:val="single" w:sz="8" w:color="7F7F7F"/>
            </w:tcBorders>
          </w:tcPr>
          <w:p>
            <w:pPr>
              <w:spacing w:after="0"/>
              <w:rPr>
                <w:sz w:val="16"/>
                <w:szCs w:val="16"/>
                <w:color w:val="auto"/>
              </w:rPr>
            </w:pPr>
          </w:p>
        </w:tc>
        <w:tc>
          <w:tcPr>
            <w:tcW w:w="462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tcPr>
          <w:p>
            <w:pPr>
              <w:spacing w:after="0"/>
              <w:rPr>
                <w:sz w:val="16"/>
                <w:szCs w:val="16"/>
                <w:color w:val="auto"/>
              </w:rPr>
            </w:pPr>
          </w:p>
        </w:tc>
        <w:tc>
          <w:tcPr>
            <w:tcW w:w="440" w:type="dxa"/>
            <w:vAlign w:val="bottom"/>
            <w:tcBorders>
              <w:bottom w:val="single" w:sz="8" w:color="7F7F7F"/>
            </w:tcBorders>
          </w:tcPr>
          <w:p>
            <w:pPr>
              <w:spacing w:after="0"/>
              <w:rPr>
                <w:sz w:val="16"/>
                <w:szCs w:val="16"/>
                <w:color w:val="auto"/>
              </w:rPr>
            </w:pPr>
          </w:p>
        </w:tc>
        <w:tc>
          <w:tcPr>
            <w:tcW w:w="640" w:type="dxa"/>
            <w:vAlign w:val="bottom"/>
            <w:tcBorders>
              <w:bottom w:val="single" w:sz="8" w:color="7F7F7F"/>
            </w:tcBorders>
          </w:tcPr>
          <w:p>
            <w:pPr>
              <w:spacing w:after="0"/>
              <w:rPr>
                <w:sz w:val="16"/>
                <w:szCs w:val="16"/>
                <w:color w:val="auto"/>
              </w:rPr>
            </w:pPr>
          </w:p>
        </w:tc>
        <w:tc>
          <w:tcPr>
            <w:tcW w:w="1100" w:type="dxa"/>
            <w:vAlign w:val="bottom"/>
            <w:tcBorders>
              <w:bottom w:val="single" w:sz="8" w:color="7F7F7F"/>
              <w:right w:val="single" w:sz="8" w:color="D8D8D8"/>
            </w:tcBorders>
          </w:tcPr>
          <w:p>
            <w:pPr>
              <w:spacing w:after="0"/>
              <w:rPr>
                <w:sz w:val="16"/>
                <w:szCs w:val="16"/>
                <w:color w:val="auto"/>
              </w:rPr>
            </w:pPr>
          </w:p>
        </w:tc>
        <w:tc>
          <w:tcPr>
            <w:tcW w:w="480" w:type="dxa"/>
            <w:vAlign w:val="bottom"/>
            <w:tcBorders>
              <w:bottom w:val="single" w:sz="8" w:color="7F7F7F"/>
              <w:right w:val="single" w:sz="8" w:color="D8D8D8"/>
            </w:tcBorders>
          </w:tcPr>
          <w:p>
            <w:pPr>
              <w:spacing w:after="0"/>
              <w:rPr>
                <w:sz w:val="16"/>
                <w:szCs w:val="16"/>
                <w:color w:val="auto"/>
              </w:rPr>
            </w:pPr>
          </w:p>
        </w:tc>
        <w:tc>
          <w:tcPr>
            <w:tcW w:w="680" w:type="dxa"/>
            <w:vAlign w:val="bottom"/>
            <w:tcBorders>
              <w:bottom w:val="single" w:sz="8" w:color="7F7F7F"/>
              <w:right w:val="single" w:sz="8" w:color="D8D8D8"/>
            </w:tcBorders>
          </w:tcPr>
          <w:p>
            <w:pPr>
              <w:spacing w:after="0"/>
              <w:rPr>
                <w:sz w:val="16"/>
                <w:szCs w:val="16"/>
                <w:color w:val="auto"/>
              </w:rPr>
            </w:pPr>
          </w:p>
        </w:tc>
        <w:tc>
          <w:tcPr>
            <w:tcW w:w="600" w:type="dxa"/>
            <w:vAlign w:val="bottom"/>
            <w:tcBorders>
              <w:bottom w:val="single" w:sz="8" w:color="7F7F7F"/>
              <w:right w:val="single" w:sz="8" w:color="D8D8D8"/>
            </w:tcBorders>
          </w:tcPr>
          <w:p>
            <w:pPr>
              <w:spacing w:after="0"/>
              <w:rPr>
                <w:sz w:val="16"/>
                <w:szCs w:val="16"/>
                <w:color w:val="auto"/>
              </w:rPr>
            </w:pPr>
          </w:p>
        </w:tc>
        <w:tc>
          <w:tcPr>
            <w:tcW w:w="660" w:type="dxa"/>
            <w:vAlign w:val="bottom"/>
            <w:tcBorders>
              <w:bottom w:val="single" w:sz="8" w:color="7F7F7F"/>
              <w:right w:val="single" w:sz="8" w:color="D8D8D8"/>
            </w:tcBorders>
          </w:tcPr>
          <w:p>
            <w:pPr>
              <w:spacing w:after="0"/>
              <w:rPr>
                <w:sz w:val="16"/>
                <w:szCs w:val="16"/>
                <w:color w:val="auto"/>
              </w:rPr>
            </w:pPr>
          </w:p>
        </w:tc>
        <w:tc>
          <w:tcPr>
            <w:tcW w:w="460" w:type="dxa"/>
            <w:vAlign w:val="bottom"/>
            <w:tcBorders>
              <w:bottom w:val="single" w:sz="8" w:color="7F7F7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20" w:type="dxa"/>
            <w:vAlign w:val="bottom"/>
            <w:shd w:val="clear" w:color="auto" w:fill="F2F2F2"/>
          </w:tcPr>
          <w:p>
            <w:pPr>
              <w:spacing w:after="0"/>
              <w:rPr>
                <w:sz w:val="21"/>
                <w:szCs w:val="21"/>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b w:val="1"/>
                <w:bCs w:val="1"/>
                <w:color w:val="auto"/>
              </w:rPr>
              <w:t>Anya Weaving</w:t>
            </w:r>
          </w:p>
        </w:tc>
        <w:tc>
          <w:tcPr>
            <w:tcW w:w="720" w:type="dxa"/>
            <w:vAlign w:val="bottom"/>
            <w:shd w:val="clear" w:color="auto" w:fill="F2F2F2"/>
          </w:tcPr>
          <w:p>
            <w:pPr>
              <w:spacing w:after="0"/>
              <w:rPr>
                <w:sz w:val="21"/>
                <w:szCs w:val="21"/>
                <w:color w:val="auto"/>
              </w:rPr>
            </w:pPr>
          </w:p>
        </w:tc>
        <w:tc>
          <w:tcPr>
            <w:tcW w:w="440" w:type="dxa"/>
            <w:vAlign w:val="bottom"/>
            <w:shd w:val="clear" w:color="auto" w:fill="F2F2F2"/>
          </w:tcPr>
          <w:p>
            <w:pPr>
              <w:spacing w:after="0"/>
              <w:rPr>
                <w:sz w:val="21"/>
                <w:szCs w:val="21"/>
                <w:color w:val="auto"/>
              </w:rPr>
            </w:pPr>
          </w:p>
        </w:tc>
        <w:tc>
          <w:tcPr>
            <w:tcW w:w="640" w:type="dxa"/>
            <w:vAlign w:val="bottom"/>
            <w:shd w:val="clear" w:color="auto" w:fill="F2F2F2"/>
          </w:tcPr>
          <w:p>
            <w:pPr>
              <w:spacing w:after="0"/>
              <w:rPr>
                <w:sz w:val="21"/>
                <w:szCs w:val="21"/>
                <w:color w:val="auto"/>
              </w:rPr>
            </w:pPr>
          </w:p>
        </w:tc>
        <w:tc>
          <w:tcPr>
            <w:tcW w:w="1100" w:type="dxa"/>
            <w:vAlign w:val="bottom"/>
            <w:tcBorders>
              <w:right w:val="single" w:sz="8" w:color="D8D8D8"/>
            </w:tcBorders>
            <w:shd w:val="clear" w:color="auto" w:fill="F2F2F2"/>
          </w:tcPr>
          <w:p>
            <w:pPr>
              <w:spacing w:after="0"/>
              <w:rPr>
                <w:sz w:val="21"/>
                <w:szCs w:val="21"/>
                <w:color w:val="auto"/>
              </w:rPr>
            </w:pPr>
          </w:p>
        </w:tc>
        <w:tc>
          <w:tcPr>
            <w:tcW w:w="480" w:type="dxa"/>
            <w:vAlign w:val="bottom"/>
            <w:tcBorders>
              <w:right w:val="single" w:sz="8" w:color="D8D8D8"/>
            </w:tcBorders>
            <w:vMerge w:val="restart"/>
            <w:shd w:val="clear" w:color="auto" w:fill="F2F2F2"/>
          </w:tcPr>
          <w:p>
            <w:pPr>
              <w:ind w:left="220"/>
              <w:spacing w:after="0"/>
              <w:rPr>
                <w:sz w:val="20"/>
                <w:szCs w:val="20"/>
                <w:color w:val="auto"/>
              </w:rPr>
            </w:pPr>
            <w:r>
              <w:rPr>
                <w:rFonts w:ascii="Times New Roman" w:cs="Times New Roman" w:eastAsia="Times New Roman" w:hAnsi="Times New Roman"/>
                <w:sz w:val="14"/>
                <w:szCs w:val="14"/>
                <w:color w:val="auto"/>
              </w:rPr>
              <w:t xml:space="preserve">   </w:t>
            </w:r>
          </w:p>
        </w:tc>
        <w:tc>
          <w:tcPr>
            <w:tcW w:w="680" w:type="dxa"/>
            <w:vAlign w:val="bottom"/>
            <w:tcBorders>
              <w:right w:val="single" w:sz="8" w:color="D8D8D8"/>
            </w:tcBorders>
            <w:shd w:val="clear" w:color="auto" w:fill="F2F2F2"/>
          </w:tcPr>
          <w:p>
            <w:pPr>
              <w:spacing w:after="0"/>
              <w:rPr>
                <w:sz w:val="21"/>
                <w:szCs w:val="21"/>
                <w:color w:val="auto"/>
              </w:rPr>
            </w:pPr>
          </w:p>
        </w:tc>
        <w:tc>
          <w:tcPr>
            <w:tcW w:w="600" w:type="dxa"/>
            <w:vAlign w:val="bottom"/>
            <w:tcBorders>
              <w:right w:val="single" w:sz="8" w:color="D8D8D8"/>
            </w:tcBorders>
            <w:shd w:val="clear" w:color="auto" w:fill="F2F2F2"/>
          </w:tcPr>
          <w:p>
            <w:pPr>
              <w:spacing w:after="0"/>
              <w:rPr>
                <w:sz w:val="21"/>
                <w:szCs w:val="21"/>
                <w:color w:val="auto"/>
              </w:rPr>
            </w:pPr>
          </w:p>
        </w:tc>
        <w:tc>
          <w:tcPr>
            <w:tcW w:w="660" w:type="dxa"/>
            <w:vAlign w:val="bottom"/>
            <w:tcBorders>
              <w:right w:val="single" w:sz="8" w:color="D8D8D8"/>
            </w:tcBorders>
            <w:shd w:val="clear" w:color="auto" w:fill="F2F2F2"/>
          </w:tcPr>
          <w:p>
            <w:pPr>
              <w:spacing w:after="0"/>
              <w:rPr>
                <w:sz w:val="21"/>
                <w:szCs w:val="21"/>
                <w:color w:val="auto"/>
              </w:rPr>
            </w:pPr>
          </w:p>
        </w:tc>
        <w:tc>
          <w:tcPr>
            <w:tcW w:w="460" w:type="dxa"/>
            <w:vAlign w:val="bottom"/>
            <w:shd w:val="clear" w:color="auto" w:fill="F2F2F2"/>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20" w:type="dxa"/>
            <w:vAlign w:val="bottom"/>
            <w:shd w:val="clear" w:color="auto" w:fill="F2F2F2"/>
          </w:tcPr>
          <w:p>
            <w:pPr>
              <w:spacing w:after="0"/>
              <w:rPr>
                <w:sz w:val="13"/>
                <w:szCs w:val="13"/>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Retired Vice Chair and Managing Director, Global Natural Resources,</w:t>
            </w:r>
          </w:p>
        </w:tc>
        <w:tc>
          <w:tcPr>
            <w:tcW w:w="720" w:type="dxa"/>
            <w:vAlign w:val="bottom"/>
            <w:shd w:val="clear" w:color="auto" w:fill="F2F2F2"/>
          </w:tcPr>
          <w:p>
            <w:pPr>
              <w:spacing w:after="0"/>
              <w:rPr>
                <w:sz w:val="13"/>
                <w:szCs w:val="13"/>
                <w:color w:val="auto"/>
              </w:rPr>
            </w:pPr>
          </w:p>
        </w:tc>
        <w:tc>
          <w:tcPr>
            <w:tcW w:w="4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49</w:t>
            </w:r>
          </w:p>
        </w:tc>
        <w:tc>
          <w:tcPr>
            <w:tcW w:w="6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2025</w:t>
            </w:r>
          </w:p>
        </w:tc>
        <w:tc>
          <w:tcPr>
            <w:tcW w:w="1100" w:type="dxa"/>
            <w:vAlign w:val="bottom"/>
            <w:tcBorders>
              <w:right w:val="single" w:sz="8" w:color="D8D8D8"/>
            </w:tcBorders>
            <w:shd w:val="clear" w:color="auto" w:fill="F2F2F2"/>
          </w:tcPr>
          <w:p>
            <w:pPr>
              <w:spacing w:after="0"/>
              <w:rPr>
                <w:sz w:val="13"/>
                <w:szCs w:val="13"/>
                <w:color w:val="auto"/>
              </w:rPr>
            </w:pPr>
          </w:p>
        </w:tc>
        <w:tc>
          <w:tcPr>
            <w:tcW w:w="480" w:type="dxa"/>
            <w:vAlign w:val="bottom"/>
            <w:tcBorders>
              <w:right w:val="single" w:sz="8" w:color="D8D8D8"/>
            </w:tcBorders>
            <w:vMerge w:val="continue"/>
            <w:shd w:val="clear" w:color="auto" w:fill="F2F2F2"/>
          </w:tcPr>
          <w:p>
            <w:pPr>
              <w:spacing w:after="0"/>
              <w:rPr>
                <w:sz w:val="13"/>
                <w:szCs w:val="13"/>
                <w:color w:val="auto"/>
              </w:rPr>
            </w:pPr>
          </w:p>
        </w:tc>
        <w:tc>
          <w:tcPr>
            <w:tcW w:w="680" w:type="dxa"/>
            <w:vAlign w:val="bottom"/>
            <w:tcBorders>
              <w:right w:val="single" w:sz="8" w:color="D8D8D8"/>
            </w:tcBorders>
            <w:shd w:val="clear" w:color="auto" w:fill="F2F2F2"/>
          </w:tcPr>
          <w:p>
            <w:pPr>
              <w:spacing w:after="0"/>
              <w:rPr>
                <w:sz w:val="13"/>
                <w:szCs w:val="13"/>
                <w:color w:val="auto"/>
              </w:rPr>
            </w:pPr>
          </w:p>
        </w:tc>
        <w:tc>
          <w:tcPr>
            <w:tcW w:w="600" w:type="dxa"/>
            <w:vAlign w:val="bottom"/>
            <w:tcBorders>
              <w:right w:val="single" w:sz="8" w:color="D8D8D8"/>
            </w:tcBorders>
            <w:shd w:val="clear" w:color="auto" w:fill="F2F2F2"/>
          </w:tcPr>
          <w:p>
            <w:pPr>
              <w:spacing w:after="0"/>
              <w:rPr>
                <w:sz w:val="13"/>
                <w:szCs w:val="13"/>
                <w:color w:val="auto"/>
              </w:rPr>
            </w:pPr>
          </w:p>
        </w:tc>
        <w:tc>
          <w:tcPr>
            <w:tcW w:w="660" w:type="dxa"/>
            <w:vAlign w:val="bottom"/>
            <w:tcBorders>
              <w:right w:val="single" w:sz="8" w:color="D8D8D8"/>
            </w:tcBorders>
            <w:shd w:val="clear" w:color="auto" w:fill="F2F2F2"/>
          </w:tcPr>
          <w:p>
            <w:pPr>
              <w:spacing w:after="0"/>
              <w:rPr>
                <w:sz w:val="13"/>
                <w:szCs w:val="13"/>
                <w:color w:val="auto"/>
              </w:rPr>
            </w:pPr>
          </w:p>
        </w:tc>
        <w:tc>
          <w:tcPr>
            <w:tcW w:w="460" w:type="dxa"/>
            <w:vAlign w:val="bottom"/>
            <w:shd w:val="clear" w:color="auto" w:fill="F2F2F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20" w:type="dxa"/>
            <w:vAlign w:val="bottom"/>
            <w:shd w:val="clear" w:color="auto" w:fill="F2F2F2"/>
          </w:tcPr>
          <w:p>
            <w:pPr>
              <w:spacing w:after="0"/>
              <w:rPr>
                <w:sz w:val="16"/>
                <w:szCs w:val="16"/>
                <w:color w:val="auto"/>
              </w:rPr>
            </w:pPr>
          </w:p>
        </w:tc>
        <w:tc>
          <w:tcPr>
            <w:tcW w:w="4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Investment Banking, Bank of America Merrill Lynch</w:t>
            </w:r>
          </w:p>
        </w:tc>
        <w:tc>
          <w:tcPr>
            <w:tcW w:w="720" w:type="dxa"/>
            <w:vAlign w:val="bottom"/>
            <w:shd w:val="clear" w:color="auto" w:fill="F2F2F2"/>
          </w:tcPr>
          <w:p>
            <w:pPr>
              <w:spacing w:after="0"/>
              <w:rPr>
                <w:sz w:val="16"/>
                <w:szCs w:val="16"/>
                <w:color w:val="auto"/>
              </w:rPr>
            </w:pPr>
          </w:p>
        </w:tc>
        <w:tc>
          <w:tcPr>
            <w:tcW w:w="440" w:type="dxa"/>
            <w:vAlign w:val="bottom"/>
            <w:shd w:val="clear" w:color="auto" w:fill="F2F2F2"/>
          </w:tcPr>
          <w:p>
            <w:pPr>
              <w:spacing w:after="0"/>
              <w:rPr>
                <w:sz w:val="16"/>
                <w:szCs w:val="16"/>
                <w:color w:val="auto"/>
              </w:rPr>
            </w:pPr>
          </w:p>
        </w:tc>
        <w:tc>
          <w:tcPr>
            <w:tcW w:w="640" w:type="dxa"/>
            <w:vAlign w:val="bottom"/>
            <w:shd w:val="clear" w:color="auto" w:fill="F2F2F2"/>
          </w:tcPr>
          <w:p>
            <w:pPr>
              <w:spacing w:after="0"/>
              <w:rPr>
                <w:sz w:val="16"/>
                <w:szCs w:val="16"/>
                <w:color w:val="auto"/>
              </w:rPr>
            </w:pPr>
          </w:p>
        </w:tc>
        <w:tc>
          <w:tcPr>
            <w:tcW w:w="1100" w:type="dxa"/>
            <w:vAlign w:val="bottom"/>
            <w:tcBorders>
              <w:right w:val="single" w:sz="8" w:color="D8D8D8"/>
            </w:tcBorders>
            <w:shd w:val="clear" w:color="auto" w:fill="F2F2F2"/>
          </w:tcPr>
          <w:p>
            <w:pPr>
              <w:spacing w:after="0"/>
              <w:rPr>
                <w:sz w:val="16"/>
                <w:szCs w:val="16"/>
                <w:color w:val="auto"/>
              </w:rPr>
            </w:pPr>
          </w:p>
        </w:tc>
        <w:tc>
          <w:tcPr>
            <w:tcW w:w="480" w:type="dxa"/>
            <w:vAlign w:val="bottom"/>
            <w:tcBorders>
              <w:right w:val="single" w:sz="8" w:color="D8D8D8"/>
            </w:tcBorders>
            <w:shd w:val="clear" w:color="auto" w:fill="F2F2F2"/>
          </w:tcPr>
          <w:p>
            <w:pPr>
              <w:spacing w:after="0"/>
              <w:rPr>
                <w:sz w:val="16"/>
                <w:szCs w:val="16"/>
                <w:color w:val="auto"/>
              </w:rPr>
            </w:pPr>
          </w:p>
        </w:tc>
        <w:tc>
          <w:tcPr>
            <w:tcW w:w="680" w:type="dxa"/>
            <w:vAlign w:val="bottom"/>
            <w:tcBorders>
              <w:right w:val="single" w:sz="8" w:color="D8D8D8"/>
            </w:tcBorders>
            <w:shd w:val="clear" w:color="auto" w:fill="F2F2F2"/>
          </w:tcPr>
          <w:p>
            <w:pPr>
              <w:spacing w:after="0"/>
              <w:rPr>
                <w:sz w:val="16"/>
                <w:szCs w:val="16"/>
                <w:color w:val="auto"/>
              </w:rPr>
            </w:pPr>
          </w:p>
        </w:tc>
        <w:tc>
          <w:tcPr>
            <w:tcW w:w="600" w:type="dxa"/>
            <w:vAlign w:val="bottom"/>
            <w:tcBorders>
              <w:right w:val="single" w:sz="8" w:color="D8D8D8"/>
            </w:tcBorders>
            <w:shd w:val="clear" w:color="auto" w:fill="F2F2F2"/>
          </w:tcPr>
          <w:p>
            <w:pPr>
              <w:spacing w:after="0"/>
              <w:rPr>
                <w:sz w:val="16"/>
                <w:szCs w:val="16"/>
                <w:color w:val="auto"/>
              </w:rPr>
            </w:pPr>
          </w:p>
        </w:tc>
        <w:tc>
          <w:tcPr>
            <w:tcW w:w="660" w:type="dxa"/>
            <w:vAlign w:val="bottom"/>
            <w:tcBorders>
              <w:right w:val="single" w:sz="8" w:color="D8D8D8"/>
            </w:tcBorders>
            <w:shd w:val="clear" w:color="auto" w:fill="F2F2F2"/>
          </w:tcPr>
          <w:p>
            <w:pPr>
              <w:spacing w:after="0"/>
              <w:rPr>
                <w:sz w:val="16"/>
                <w:szCs w:val="16"/>
                <w:color w:val="auto"/>
              </w:rPr>
            </w:pPr>
          </w:p>
        </w:tc>
        <w:tc>
          <w:tcPr>
            <w:tcW w:w="460" w:type="dxa"/>
            <w:vAlign w:val="bottom"/>
            <w:shd w:val="clear" w:color="auto" w:fill="F2F2F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520" w:type="dxa"/>
            <w:vAlign w:val="bottom"/>
            <w:tcBorders>
              <w:bottom w:val="single" w:sz="8" w:color="7F7F7F"/>
            </w:tcBorders>
            <w:shd w:val="clear" w:color="auto" w:fill="F2F2F2"/>
          </w:tcPr>
          <w:p>
            <w:pPr>
              <w:spacing w:after="0"/>
              <w:rPr>
                <w:sz w:val="9"/>
                <w:szCs w:val="9"/>
                <w:color w:val="auto"/>
              </w:rPr>
            </w:pPr>
          </w:p>
        </w:tc>
        <w:tc>
          <w:tcPr>
            <w:tcW w:w="4620" w:type="dxa"/>
            <w:vAlign w:val="bottom"/>
            <w:tcBorders>
              <w:bottom w:val="single" w:sz="8" w:color="7F7F7F"/>
            </w:tcBorders>
            <w:shd w:val="clear" w:color="auto" w:fill="F2F2F2"/>
          </w:tcPr>
          <w:p>
            <w:pPr>
              <w:spacing w:after="0"/>
              <w:rPr>
                <w:sz w:val="9"/>
                <w:szCs w:val="9"/>
                <w:color w:val="auto"/>
              </w:rPr>
            </w:pPr>
          </w:p>
        </w:tc>
        <w:tc>
          <w:tcPr>
            <w:tcW w:w="720" w:type="dxa"/>
            <w:vAlign w:val="bottom"/>
            <w:tcBorders>
              <w:bottom w:val="single" w:sz="8" w:color="7F7F7F"/>
            </w:tcBorders>
            <w:shd w:val="clear" w:color="auto" w:fill="F2F2F2"/>
          </w:tcPr>
          <w:p>
            <w:pPr>
              <w:spacing w:after="0"/>
              <w:rPr>
                <w:sz w:val="9"/>
                <w:szCs w:val="9"/>
                <w:color w:val="auto"/>
              </w:rPr>
            </w:pPr>
          </w:p>
        </w:tc>
        <w:tc>
          <w:tcPr>
            <w:tcW w:w="440" w:type="dxa"/>
            <w:vAlign w:val="bottom"/>
            <w:tcBorders>
              <w:bottom w:val="single" w:sz="8" w:color="7F7F7F"/>
            </w:tcBorders>
            <w:shd w:val="clear" w:color="auto" w:fill="F2F2F2"/>
          </w:tcPr>
          <w:p>
            <w:pPr>
              <w:spacing w:after="0"/>
              <w:rPr>
                <w:sz w:val="9"/>
                <w:szCs w:val="9"/>
                <w:color w:val="auto"/>
              </w:rPr>
            </w:pPr>
          </w:p>
        </w:tc>
        <w:tc>
          <w:tcPr>
            <w:tcW w:w="640" w:type="dxa"/>
            <w:vAlign w:val="bottom"/>
            <w:tcBorders>
              <w:bottom w:val="single" w:sz="8" w:color="7F7F7F"/>
            </w:tcBorders>
            <w:shd w:val="clear" w:color="auto" w:fill="F2F2F2"/>
          </w:tcPr>
          <w:p>
            <w:pPr>
              <w:spacing w:after="0"/>
              <w:rPr>
                <w:sz w:val="9"/>
                <w:szCs w:val="9"/>
                <w:color w:val="auto"/>
              </w:rPr>
            </w:pPr>
          </w:p>
        </w:tc>
        <w:tc>
          <w:tcPr>
            <w:tcW w:w="1100" w:type="dxa"/>
            <w:vAlign w:val="bottom"/>
            <w:tcBorders>
              <w:bottom w:val="single" w:sz="8" w:color="7F7F7F"/>
              <w:right w:val="single" w:sz="8" w:color="D8D8D8"/>
            </w:tcBorders>
            <w:shd w:val="clear" w:color="auto" w:fill="F2F2F2"/>
          </w:tcPr>
          <w:p>
            <w:pPr>
              <w:spacing w:after="0"/>
              <w:rPr>
                <w:sz w:val="9"/>
                <w:szCs w:val="9"/>
                <w:color w:val="auto"/>
              </w:rPr>
            </w:pPr>
          </w:p>
        </w:tc>
        <w:tc>
          <w:tcPr>
            <w:tcW w:w="480" w:type="dxa"/>
            <w:vAlign w:val="bottom"/>
            <w:tcBorders>
              <w:bottom w:val="single" w:sz="8" w:color="7F7F7F"/>
              <w:right w:val="single" w:sz="8" w:color="D8D8D8"/>
            </w:tcBorders>
            <w:shd w:val="clear" w:color="auto" w:fill="F2F2F2"/>
          </w:tcPr>
          <w:p>
            <w:pPr>
              <w:spacing w:after="0"/>
              <w:rPr>
                <w:sz w:val="9"/>
                <w:szCs w:val="9"/>
                <w:color w:val="auto"/>
              </w:rPr>
            </w:pPr>
          </w:p>
        </w:tc>
        <w:tc>
          <w:tcPr>
            <w:tcW w:w="680" w:type="dxa"/>
            <w:vAlign w:val="bottom"/>
            <w:tcBorders>
              <w:bottom w:val="single" w:sz="8" w:color="7F7F7F"/>
              <w:right w:val="single" w:sz="8" w:color="D8D8D8"/>
            </w:tcBorders>
            <w:shd w:val="clear" w:color="auto" w:fill="F2F2F2"/>
          </w:tcPr>
          <w:p>
            <w:pPr>
              <w:spacing w:after="0"/>
              <w:rPr>
                <w:sz w:val="9"/>
                <w:szCs w:val="9"/>
                <w:color w:val="auto"/>
              </w:rPr>
            </w:pPr>
          </w:p>
        </w:tc>
        <w:tc>
          <w:tcPr>
            <w:tcW w:w="600" w:type="dxa"/>
            <w:vAlign w:val="bottom"/>
            <w:tcBorders>
              <w:bottom w:val="single" w:sz="8" w:color="7F7F7F"/>
              <w:right w:val="single" w:sz="8" w:color="D8D8D8"/>
            </w:tcBorders>
            <w:shd w:val="clear" w:color="auto" w:fill="F2F2F2"/>
          </w:tcPr>
          <w:p>
            <w:pPr>
              <w:spacing w:after="0"/>
              <w:rPr>
                <w:sz w:val="9"/>
                <w:szCs w:val="9"/>
                <w:color w:val="auto"/>
              </w:rPr>
            </w:pPr>
          </w:p>
        </w:tc>
        <w:tc>
          <w:tcPr>
            <w:tcW w:w="660" w:type="dxa"/>
            <w:vAlign w:val="bottom"/>
            <w:tcBorders>
              <w:bottom w:val="single" w:sz="8" w:color="7F7F7F"/>
              <w:right w:val="single" w:sz="8" w:color="D8D8D8"/>
            </w:tcBorders>
            <w:shd w:val="clear" w:color="auto" w:fill="F2F2F2"/>
          </w:tcPr>
          <w:p>
            <w:pPr>
              <w:spacing w:after="0"/>
              <w:rPr>
                <w:sz w:val="9"/>
                <w:szCs w:val="9"/>
                <w:color w:val="auto"/>
              </w:rPr>
            </w:pPr>
          </w:p>
        </w:tc>
        <w:tc>
          <w:tcPr>
            <w:tcW w:w="460" w:type="dxa"/>
            <w:vAlign w:val="bottom"/>
            <w:tcBorders>
              <w:bottom w:val="single" w:sz="8" w:color="7F7F7F"/>
            </w:tcBorders>
            <w:shd w:val="clear" w:color="auto" w:fill="F2F2F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2"/>
        </w:trPr>
        <w:tc>
          <w:tcPr>
            <w:tcW w:w="520" w:type="dxa"/>
            <w:vAlign w:val="bottom"/>
          </w:tcPr>
          <w:p>
            <w:pPr>
              <w:spacing w:after="0"/>
              <w:rPr>
                <w:sz w:val="24"/>
                <w:szCs w:val="24"/>
                <w:color w:val="auto"/>
              </w:rPr>
            </w:pPr>
          </w:p>
        </w:tc>
        <w:tc>
          <w:tcPr>
            <w:tcW w:w="4620" w:type="dxa"/>
            <w:vAlign w:val="bottom"/>
          </w:tcPr>
          <w:p>
            <w:pPr>
              <w:ind w:left="220"/>
              <w:spacing w:after="0"/>
              <w:rPr>
                <w:sz w:val="20"/>
                <w:szCs w:val="20"/>
                <w:color w:val="auto"/>
              </w:rPr>
            </w:pPr>
            <w:r>
              <w:rPr>
                <w:rFonts w:ascii="Arial" w:cs="Arial" w:eastAsia="Arial" w:hAnsi="Arial"/>
                <w:sz w:val="14"/>
                <w:szCs w:val="14"/>
                <w:b w:val="1"/>
                <w:bCs w:val="1"/>
                <w:color w:val="auto"/>
              </w:rPr>
              <w:t>James C. Yardley</w:t>
            </w:r>
          </w:p>
        </w:tc>
        <w:tc>
          <w:tcPr>
            <w:tcW w:w="720" w:type="dxa"/>
            <w:vAlign w:val="bottom"/>
          </w:tcPr>
          <w:p>
            <w:pPr>
              <w:spacing w:after="0"/>
              <w:rPr>
                <w:sz w:val="24"/>
                <w:szCs w:val="24"/>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color w:val="auto"/>
              </w:rPr>
              <w:t>74</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2013</w:t>
            </w:r>
          </w:p>
        </w:tc>
        <w:tc>
          <w:tcPr>
            <w:tcW w:w="1100" w:type="dxa"/>
            <w:vAlign w:val="bottom"/>
            <w:tcBorders>
              <w:right w:val="single" w:sz="8" w:color="D8D8D8"/>
            </w:tcBorders>
          </w:tcPr>
          <w:p>
            <w:pPr>
              <w:spacing w:after="0"/>
              <w:rPr>
                <w:sz w:val="24"/>
                <w:szCs w:val="24"/>
                <w:color w:val="auto"/>
              </w:rPr>
            </w:pPr>
          </w:p>
        </w:tc>
        <w:tc>
          <w:tcPr>
            <w:tcW w:w="480" w:type="dxa"/>
            <w:vAlign w:val="bottom"/>
            <w:tcBorders>
              <w:right w:val="single" w:sz="8" w:color="D8D8D8"/>
            </w:tcBorders>
          </w:tcPr>
          <w:p>
            <w:pPr>
              <w:spacing w:after="0"/>
              <w:rPr>
                <w:sz w:val="24"/>
                <w:szCs w:val="24"/>
                <w:color w:val="auto"/>
              </w:rPr>
            </w:pPr>
          </w:p>
        </w:tc>
        <w:tc>
          <w:tcPr>
            <w:tcW w:w="680" w:type="dxa"/>
            <w:vAlign w:val="bottom"/>
            <w:tcBorders>
              <w:right w:val="single" w:sz="8" w:color="D8D8D8"/>
            </w:tcBorders>
          </w:tcPr>
          <w:p>
            <w:pPr>
              <w:spacing w:after="0"/>
              <w:rPr>
                <w:sz w:val="24"/>
                <w:szCs w:val="24"/>
                <w:color w:val="auto"/>
              </w:rPr>
            </w:pPr>
          </w:p>
        </w:tc>
        <w:tc>
          <w:tcPr>
            <w:tcW w:w="600" w:type="dxa"/>
            <w:vAlign w:val="bottom"/>
            <w:tcBorders>
              <w:right w:val="single" w:sz="8" w:color="D8D8D8"/>
            </w:tcBorders>
          </w:tcPr>
          <w:p>
            <w:pPr>
              <w:spacing w:after="0"/>
              <w:rPr>
                <w:sz w:val="24"/>
                <w:szCs w:val="24"/>
                <w:color w:val="auto"/>
              </w:rPr>
            </w:pPr>
          </w:p>
        </w:tc>
        <w:tc>
          <w:tcPr>
            <w:tcW w:w="660" w:type="dxa"/>
            <w:vAlign w:val="bottom"/>
            <w:tcBorders>
              <w:right w:val="single" w:sz="8" w:color="D8D8D8"/>
            </w:tcBorders>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20" w:type="dxa"/>
            <w:vAlign w:val="bottom"/>
          </w:tcPr>
          <w:p>
            <w:pPr>
              <w:spacing w:after="0"/>
              <w:rPr>
                <w:sz w:val="9"/>
                <w:szCs w:val="9"/>
                <w:color w:val="auto"/>
              </w:rPr>
            </w:pPr>
          </w:p>
        </w:tc>
        <w:tc>
          <w:tcPr>
            <w:tcW w:w="4620" w:type="dxa"/>
            <w:vAlign w:val="bottom"/>
            <w:vMerge w:val="restart"/>
          </w:tcPr>
          <w:p>
            <w:pPr>
              <w:ind w:left="220"/>
              <w:spacing w:after="0"/>
              <w:rPr>
                <w:sz w:val="20"/>
                <w:szCs w:val="20"/>
                <w:color w:val="auto"/>
              </w:rPr>
            </w:pPr>
            <w:r>
              <w:rPr>
                <w:rFonts w:ascii="Arial" w:cs="Arial" w:eastAsia="Arial" w:hAnsi="Arial"/>
                <w:sz w:val="14"/>
                <w:szCs w:val="14"/>
                <w:color w:val="auto"/>
              </w:rPr>
              <w:t>Retired Executive Vice President, El Paso Corp.</w:t>
            </w:r>
          </w:p>
        </w:tc>
        <w:tc>
          <w:tcPr>
            <w:tcW w:w="7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100" w:type="dxa"/>
            <w:vAlign w:val="bottom"/>
            <w:tcBorders>
              <w:right w:val="single" w:sz="8" w:color="D8D8D8"/>
            </w:tcBorders>
          </w:tcPr>
          <w:p>
            <w:pPr>
              <w:spacing w:after="0"/>
              <w:rPr>
                <w:sz w:val="9"/>
                <w:szCs w:val="9"/>
                <w:color w:val="auto"/>
              </w:rPr>
            </w:pPr>
          </w:p>
        </w:tc>
        <w:tc>
          <w:tcPr>
            <w:tcW w:w="480" w:type="dxa"/>
            <w:vAlign w:val="bottom"/>
            <w:tcBorders>
              <w:right w:val="single" w:sz="8" w:color="D8D8D8"/>
            </w:tcBorders>
          </w:tcPr>
          <w:p>
            <w:pPr>
              <w:spacing w:after="0"/>
              <w:rPr>
                <w:sz w:val="9"/>
                <w:szCs w:val="9"/>
                <w:color w:val="auto"/>
              </w:rPr>
            </w:pPr>
          </w:p>
        </w:tc>
        <w:tc>
          <w:tcPr>
            <w:tcW w:w="680" w:type="dxa"/>
            <w:vAlign w:val="bottom"/>
            <w:tcBorders>
              <w:right w:val="single" w:sz="8" w:color="D8D8D8"/>
            </w:tcBorders>
          </w:tcPr>
          <w:p>
            <w:pPr>
              <w:spacing w:after="0"/>
              <w:rPr>
                <w:sz w:val="9"/>
                <w:szCs w:val="9"/>
                <w:color w:val="auto"/>
              </w:rPr>
            </w:pPr>
          </w:p>
        </w:tc>
        <w:tc>
          <w:tcPr>
            <w:tcW w:w="600" w:type="dxa"/>
            <w:vAlign w:val="bottom"/>
            <w:tcBorders>
              <w:right w:val="single" w:sz="8" w:color="D8D8D8"/>
            </w:tcBorders>
          </w:tcPr>
          <w:p>
            <w:pPr>
              <w:spacing w:after="0"/>
              <w:rPr>
                <w:sz w:val="9"/>
                <w:szCs w:val="9"/>
                <w:color w:val="auto"/>
              </w:rPr>
            </w:pPr>
          </w:p>
        </w:tc>
        <w:tc>
          <w:tcPr>
            <w:tcW w:w="660" w:type="dxa"/>
            <w:vAlign w:val="bottom"/>
            <w:tcBorders>
              <w:right w:val="single" w:sz="8" w:color="D8D8D8"/>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52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Borders>
              <w:right w:val="single" w:sz="8" w:color="D8D8D8"/>
            </w:tcBorders>
          </w:tcPr>
          <w:p>
            <w:pPr>
              <w:spacing w:after="0"/>
              <w:rPr>
                <w:sz w:val="6"/>
                <w:szCs w:val="6"/>
                <w:color w:val="auto"/>
              </w:rPr>
            </w:pPr>
          </w:p>
        </w:tc>
        <w:tc>
          <w:tcPr>
            <w:tcW w:w="480" w:type="dxa"/>
            <w:vAlign w:val="bottom"/>
            <w:tcBorders>
              <w:right w:val="single" w:sz="8" w:color="D8D8D8"/>
            </w:tcBorders>
          </w:tcPr>
          <w:p>
            <w:pPr>
              <w:spacing w:after="0"/>
              <w:rPr>
                <w:sz w:val="6"/>
                <w:szCs w:val="6"/>
                <w:color w:val="auto"/>
              </w:rPr>
            </w:pPr>
          </w:p>
        </w:tc>
        <w:tc>
          <w:tcPr>
            <w:tcW w:w="680" w:type="dxa"/>
            <w:vAlign w:val="bottom"/>
            <w:tcBorders>
              <w:right w:val="single" w:sz="8" w:color="D8D8D8"/>
            </w:tcBorders>
          </w:tcPr>
          <w:p>
            <w:pPr>
              <w:spacing w:after="0"/>
              <w:rPr>
                <w:sz w:val="6"/>
                <w:szCs w:val="6"/>
                <w:color w:val="auto"/>
              </w:rPr>
            </w:pPr>
          </w:p>
        </w:tc>
        <w:tc>
          <w:tcPr>
            <w:tcW w:w="600" w:type="dxa"/>
            <w:vAlign w:val="bottom"/>
            <w:tcBorders>
              <w:right w:val="single" w:sz="8" w:color="D8D8D8"/>
            </w:tcBorders>
          </w:tcPr>
          <w:p>
            <w:pPr>
              <w:spacing w:after="0"/>
              <w:rPr>
                <w:sz w:val="6"/>
                <w:szCs w:val="6"/>
                <w:color w:val="auto"/>
              </w:rPr>
            </w:pPr>
          </w:p>
        </w:tc>
        <w:tc>
          <w:tcPr>
            <w:tcW w:w="660" w:type="dxa"/>
            <w:vAlign w:val="bottom"/>
            <w:tcBorders>
              <w:right w:val="single" w:sz="8" w:color="D8D8D8"/>
            </w:tcBorders>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520" w:type="dxa"/>
            <w:vAlign w:val="bottom"/>
            <w:tcBorders>
              <w:bottom w:val="single" w:sz="8" w:color="7F7F7F"/>
            </w:tcBorders>
          </w:tcPr>
          <w:p>
            <w:pPr>
              <w:spacing w:after="0"/>
              <w:rPr>
                <w:sz w:val="16"/>
                <w:szCs w:val="16"/>
                <w:color w:val="auto"/>
              </w:rPr>
            </w:pPr>
          </w:p>
        </w:tc>
        <w:tc>
          <w:tcPr>
            <w:tcW w:w="462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tcPr>
          <w:p>
            <w:pPr>
              <w:spacing w:after="0"/>
              <w:rPr>
                <w:sz w:val="16"/>
                <w:szCs w:val="16"/>
                <w:color w:val="auto"/>
              </w:rPr>
            </w:pPr>
          </w:p>
        </w:tc>
        <w:tc>
          <w:tcPr>
            <w:tcW w:w="440" w:type="dxa"/>
            <w:vAlign w:val="bottom"/>
            <w:tcBorders>
              <w:bottom w:val="single" w:sz="8" w:color="7F7F7F"/>
            </w:tcBorders>
          </w:tcPr>
          <w:p>
            <w:pPr>
              <w:spacing w:after="0"/>
              <w:rPr>
                <w:sz w:val="16"/>
                <w:szCs w:val="16"/>
                <w:color w:val="auto"/>
              </w:rPr>
            </w:pPr>
          </w:p>
        </w:tc>
        <w:tc>
          <w:tcPr>
            <w:tcW w:w="640" w:type="dxa"/>
            <w:vAlign w:val="bottom"/>
            <w:tcBorders>
              <w:bottom w:val="single" w:sz="8" w:color="7F7F7F"/>
            </w:tcBorders>
          </w:tcPr>
          <w:p>
            <w:pPr>
              <w:spacing w:after="0"/>
              <w:rPr>
                <w:sz w:val="16"/>
                <w:szCs w:val="16"/>
                <w:color w:val="auto"/>
              </w:rPr>
            </w:pPr>
          </w:p>
        </w:tc>
        <w:tc>
          <w:tcPr>
            <w:tcW w:w="1100" w:type="dxa"/>
            <w:vAlign w:val="bottom"/>
            <w:tcBorders>
              <w:bottom w:val="single" w:sz="8" w:color="7F7F7F"/>
              <w:right w:val="single" w:sz="8" w:color="D8D8D8"/>
            </w:tcBorders>
          </w:tcPr>
          <w:p>
            <w:pPr>
              <w:spacing w:after="0"/>
              <w:rPr>
                <w:sz w:val="16"/>
                <w:szCs w:val="16"/>
                <w:color w:val="auto"/>
              </w:rPr>
            </w:pPr>
          </w:p>
        </w:tc>
        <w:tc>
          <w:tcPr>
            <w:tcW w:w="480" w:type="dxa"/>
            <w:vAlign w:val="bottom"/>
            <w:tcBorders>
              <w:bottom w:val="single" w:sz="8" w:color="7F7F7F"/>
              <w:right w:val="single" w:sz="8" w:color="D8D8D8"/>
            </w:tcBorders>
          </w:tcPr>
          <w:p>
            <w:pPr>
              <w:spacing w:after="0"/>
              <w:rPr>
                <w:sz w:val="16"/>
                <w:szCs w:val="16"/>
                <w:color w:val="auto"/>
              </w:rPr>
            </w:pPr>
          </w:p>
        </w:tc>
        <w:tc>
          <w:tcPr>
            <w:tcW w:w="680" w:type="dxa"/>
            <w:vAlign w:val="bottom"/>
            <w:tcBorders>
              <w:bottom w:val="single" w:sz="8" w:color="7F7F7F"/>
              <w:right w:val="single" w:sz="8" w:color="D8D8D8"/>
            </w:tcBorders>
          </w:tcPr>
          <w:p>
            <w:pPr>
              <w:spacing w:after="0"/>
              <w:rPr>
                <w:sz w:val="16"/>
                <w:szCs w:val="16"/>
                <w:color w:val="auto"/>
              </w:rPr>
            </w:pPr>
          </w:p>
        </w:tc>
        <w:tc>
          <w:tcPr>
            <w:tcW w:w="600" w:type="dxa"/>
            <w:vAlign w:val="bottom"/>
            <w:tcBorders>
              <w:bottom w:val="single" w:sz="8" w:color="7F7F7F"/>
              <w:right w:val="single" w:sz="8" w:color="D8D8D8"/>
            </w:tcBorders>
          </w:tcPr>
          <w:p>
            <w:pPr>
              <w:spacing w:after="0"/>
              <w:rPr>
                <w:sz w:val="16"/>
                <w:szCs w:val="16"/>
                <w:color w:val="auto"/>
              </w:rPr>
            </w:pPr>
          </w:p>
        </w:tc>
        <w:tc>
          <w:tcPr>
            <w:tcW w:w="660" w:type="dxa"/>
            <w:vAlign w:val="bottom"/>
            <w:tcBorders>
              <w:bottom w:val="single" w:sz="8" w:color="7F7F7F"/>
              <w:right w:val="single" w:sz="8" w:color="D8D8D8"/>
            </w:tcBorders>
          </w:tcPr>
          <w:p>
            <w:pPr>
              <w:spacing w:after="0"/>
              <w:rPr>
                <w:sz w:val="16"/>
                <w:szCs w:val="16"/>
                <w:color w:val="auto"/>
              </w:rPr>
            </w:pPr>
          </w:p>
        </w:tc>
        <w:tc>
          <w:tcPr>
            <w:tcW w:w="460" w:type="dxa"/>
            <w:vAlign w:val="bottom"/>
            <w:tcBorders>
              <w:bottom w:val="single" w:sz="8" w:color="7F7F7F"/>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520" w:type="dxa"/>
            <w:vAlign w:val="bottom"/>
            <w:tcBorders>
              <w:bottom w:val="single" w:sz="8" w:color="F2F2F2"/>
            </w:tcBorders>
            <w:shd w:val="clear" w:color="auto" w:fill="F2F2F2"/>
          </w:tcPr>
          <w:p>
            <w:pPr>
              <w:spacing w:after="0"/>
              <w:rPr>
                <w:sz w:val="22"/>
                <w:szCs w:val="22"/>
                <w:color w:val="auto"/>
              </w:rPr>
            </w:pPr>
          </w:p>
        </w:tc>
        <w:tc>
          <w:tcPr>
            <w:tcW w:w="4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Board committees with 100% independent director membership</w:t>
            </w:r>
          </w:p>
        </w:tc>
        <w:tc>
          <w:tcPr>
            <w:tcW w:w="720" w:type="dxa"/>
            <w:vAlign w:val="bottom"/>
            <w:tcBorders>
              <w:bottom w:val="single" w:sz="8" w:color="F2F2F2"/>
            </w:tcBorders>
            <w:shd w:val="clear" w:color="auto" w:fill="F2F2F2"/>
          </w:tcPr>
          <w:p>
            <w:pPr>
              <w:spacing w:after="0"/>
              <w:rPr>
                <w:sz w:val="22"/>
                <w:szCs w:val="22"/>
                <w:color w:val="auto"/>
              </w:rPr>
            </w:pPr>
          </w:p>
        </w:tc>
        <w:tc>
          <w:tcPr>
            <w:tcW w:w="440" w:type="dxa"/>
            <w:vAlign w:val="bottom"/>
            <w:tcBorders>
              <w:bottom w:val="single" w:sz="8" w:color="F2F2F2"/>
            </w:tcBorders>
            <w:shd w:val="clear" w:color="auto" w:fill="F2F2F2"/>
          </w:tcPr>
          <w:p>
            <w:pPr>
              <w:spacing w:after="0"/>
              <w:rPr>
                <w:sz w:val="22"/>
                <w:szCs w:val="22"/>
                <w:color w:val="auto"/>
              </w:rPr>
            </w:pPr>
          </w:p>
        </w:tc>
        <w:tc>
          <w:tcPr>
            <w:tcW w:w="640" w:type="dxa"/>
            <w:vAlign w:val="bottom"/>
            <w:tcBorders>
              <w:bottom w:val="single" w:sz="8" w:color="F2F2F2"/>
            </w:tcBorders>
            <w:shd w:val="clear" w:color="auto" w:fill="F2F2F2"/>
          </w:tcPr>
          <w:p>
            <w:pPr>
              <w:spacing w:after="0"/>
              <w:rPr>
                <w:sz w:val="22"/>
                <w:szCs w:val="22"/>
                <w:color w:val="auto"/>
              </w:rPr>
            </w:pPr>
          </w:p>
        </w:tc>
        <w:tc>
          <w:tcPr>
            <w:tcW w:w="1100" w:type="dxa"/>
            <w:vAlign w:val="bottom"/>
            <w:tcBorders>
              <w:bottom w:val="single" w:sz="8" w:color="F2F2F2"/>
              <w:right w:val="single" w:sz="8" w:color="D8D8D8"/>
            </w:tcBorders>
            <w:shd w:val="clear" w:color="auto" w:fill="F2F2F2"/>
          </w:tcPr>
          <w:p>
            <w:pPr>
              <w:spacing w:after="0"/>
              <w:rPr>
                <w:sz w:val="22"/>
                <w:szCs w:val="22"/>
                <w:color w:val="auto"/>
              </w:rPr>
            </w:pPr>
          </w:p>
        </w:tc>
        <w:tc>
          <w:tcPr>
            <w:tcW w:w="480" w:type="dxa"/>
            <w:vAlign w:val="bottom"/>
            <w:tcBorders>
              <w:bottom w:val="single" w:sz="8" w:color="F2F2F2"/>
              <w:right w:val="single" w:sz="8" w:color="D8D8D8"/>
            </w:tcBorders>
            <w:shd w:val="clear" w:color="auto" w:fill="F2F2F2"/>
          </w:tcPr>
          <w:p>
            <w:pPr>
              <w:spacing w:after="0"/>
              <w:rPr>
                <w:sz w:val="22"/>
                <w:szCs w:val="22"/>
                <w:color w:val="auto"/>
              </w:rPr>
            </w:pPr>
          </w:p>
        </w:tc>
        <w:tc>
          <w:tcPr>
            <w:tcW w:w="680" w:type="dxa"/>
            <w:vAlign w:val="bottom"/>
            <w:tcBorders>
              <w:bottom w:val="single" w:sz="8" w:color="F2F2F2"/>
              <w:right w:val="single" w:sz="8" w:color="D8D8D8"/>
            </w:tcBorders>
            <w:shd w:val="clear" w:color="auto" w:fill="F2F2F2"/>
          </w:tcPr>
          <w:p>
            <w:pPr>
              <w:spacing w:after="0"/>
              <w:rPr>
                <w:sz w:val="22"/>
                <w:szCs w:val="22"/>
                <w:color w:val="auto"/>
              </w:rPr>
            </w:pPr>
          </w:p>
        </w:tc>
        <w:tc>
          <w:tcPr>
            <w:tcW w:w="600" w:type="dxa"/>
            <w:vAlign w:val="bottom"/>
            <w:tcBorders>
              <w:bottom w:val="single" w:sz="8" w:color="F2F2F2"/>
              <w:right w:val="single" w:sz="8" w:color="D8D8D8"/>
            </w:tcBorders>
            <w:shd w:val="clear" w:color="auto" w:fill="F2F2F2"/>
          </w:tcPr>
          <w:p>
            <w:pPr>
              <w:spacing w:after="0"/>
              <w:rPr>
                <w:sz w:val="22"/>
                <w:szCs w:val="22"/>
                <w:color w:val="auto"/>
              </w:rPr>
            </w:pPr>
          </w:p>
        </w:tc>
        <w:tc>
          <w:tcPr>
            <w:tcW w:w="660" w:type="dxa"/>
            <w:vAlign w:val="bottom"/>
            <w:tcBorders>
              <w:bottom w:val="single" w:sz="8" w:color="F2F2F2"/>
              <w:right w:val="single" w:sz="8" w:color="D8D8D8"/>
            </w:tcBorders>
            <w:shd w:val="clear" w:color="auto" w:fill="F2F2F2"/>
          </w:tcPr>
          <w:p>
            <w:pPr>
              <w:spacing w:after="0"/>
              <w:rPr>
                <w:sz w:val="22"/>
                <w:szCs w:val="22"/>
                <w:color w:val="auto"/>
              </w:rPr>
            </w:pPr>
          </w:p>
        </w:tc>
        <w:tc>
          <w:tcPr>
            <w:tcW w:w="460" w:type="dxa"/>
            <w:vAlign w:val="bottom"/>
            <w:tcBorders>
              <w:bottom w:val="single" w:sz="8" w:color="F2F2F2"/>
            </w:tcBorders>
            <w:shd w:val="clear" w:color="auto" w:fill="F2F2F2"/>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7F7F7F"/>
          </w:tcPr>
          <w:p>
            <w:pPr>
              <w:spacing w:after="0" w:line="20" w:lineRule="exact"/>
              <w:rPr>
                <w:sz w:val="1"/>
                <w:szCs w:val="1"/>
                <w:color w:val="auto"/>
              </w:rPr>
            </w:pPr>
          </w:p>
        </w:tc>
        <w:tc>
          <w:tcPr>
            <w:tcW w:w="4620" w:type="dxa"/>
            <w:vAlign w:val="bottom"/>
            <w:shd w:val="clear" w:color="auto" w:fill="7F7F7F"/>
          </w:tcPr>
          <w:p>
            <w:pPr>
              <w:spacing w:after="0" w:line="20" w:lineRule="exact"/>
              <w:rPr>
                <w:sz w:val="1"/>
                <w:szCs w:val="1"/>
                <w:color w:val="auto"/>
              </w:rPr>
            </w:pPr>
          </w:p>
        </w:tc>
        <w:tc>
          <w:tcPr>
            <w:tcW w:w="2900" w:type="dxa"/>
            <w:vAlign w:val="bottom"/>
            <w:tcBorders>
              <w:right w:val="single" w:sz="8" w:color="D8D8D8"/>
            </w:tcBorders>
            <w:gridSpan w:val="4"/>
            <w:shd w:val="clear" w:color="auto" w:fill="7F7F7F"/>
          </w:tcPr>
          <w:p>
            <w:pPr>
              <w:spacing w:after="0" w:line="20" w:lineRule="exact"/>
              <w:rPr>
                <w:sz w:val="1"/>
                <w:szCs w:val="1"/>
                <w:color w:val="auto"/>
              </w:rPr>
            </w:pPr>
          </w:p>
        </w:tc>
        <w:tc>
          <w:tcPr>
            <w:tcW w:w="480" w:type="dxa"/>
            <w:vAlign w:val="bottom"/>
            <w:tcBorders>
              <w:right w:val="single" w:sz="8" w:color="D8D8D8"/>
            </w:tcBorders>
            <w:shd w:val="clear" w:color="auto" w:fill="7F7F7F"/>
          </w:tcPr>
          <w:p>
            <w:pPr>
              <w:spacing w:after="0" w:line="20" w:lineRule="exact"/>
              <w:rPr>
                <w:sz w:val="1"/>
                <w:szCs w:val="1"/>
                <w:color w:val="auto"/>
              </w:rPr>
            </w:pPr>
          </w:p>
        </w:tc>
        <w:tc>
          <w:tcPr>
            <w:tcW w:w="680" w:type="dxa"/>
            <w:vAlign w:val="bottom"/>
            <w:tcBorders>
              <w:right w:val="single" w:sz="8" w:color="D8D8D8"/>
            </w:tcBorders>
            <w:shd w:val="clear" w:color="auto" w:fill="7F7F7F"/>
          </w:tcPr>
          <w:p>
            <w:pPr>
              <w:spacing w:after="0" w:line="20" w:lineRule="exact"/>
              <w:rPr>
                <w:sz w:val="1"/>
                <w:szCs w:val="1"/>
                <w:color w:val="auto"/>
              </w:rPr>
            </w:pPr>
          </w:p>
        </w:tc>
        <w:tc>
          <w:tcPr>
            <w:tcW w:w="600" w:type="dxa"/>
            <w:vAlign w:val="bottom"/>
            <w:tcBorders>
              <w:right w:val="single" w:sz="8" w:color="D8D8D8"/>
            </w:tcBorders>
            <w:shd w:val="clear" w:color="auto" w:fill="7F7F7F"/>
          </w:tcPr>
          <w:p>
            <w:pPr>
              <w:spacing w:after="0" w:line="20" w:lineRule="exact"/>
              <w:rPr>
                <w:sz w:val="1"/>
                <w:szCs w:val="1"/>
                <w:color w:val="auto"/>
              </w:rPr>
            </w:pPr>
          </w:p>
        </w:tc>
        <w:tc>
          <w:tcPr>
            <w:tcW w:w="660" w:type="dxa"/>
            <w:vAlign w:val="bottom"/>
            <w:tcBorders>
              <w:right w:val="single" w:sz="8" w:color="D8D8D8"/>
            </w:tcBorders>
            <w:shd w:val="clear" w:color="auto" w:fill="7F7F7F"/>
          </w:tcPr>
          <w:p>
            <w:pPr>
              <w:spacing w:after="0" w:line="20" w:lineRule="exact"/>
              <w:rPr>
                <w:sz w:val="1"/>
                <w:szCs w:val="1"/>
                <w:color w:val="auto"/>
              </w:rPr>
            </w:pPr>
          </w:p>
        </w:tc>
        <w:tc>
          <w:tcPr>
            <w:tcW w:w="460" w:type="dxa"/>
            <w:vAlign w:val="bottom"/>
            <w:shd w:val="clear" w:color="auto" w:fill="7F7F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20" w:type="dxa"/>
            <w:vAlign w:val="bottom"/>
          </w:tcPr>
          <w:p>
            <w:pPr>
              <w:spacing w:after="0"/>
              <w:rPr>
                <w:sz w:val="15"/>
                <w:szCs w:val="15"/>
                <w:color w:val="auto"/>
              </w:rPr>
            </w:pPr>
          </w:p>
        </w:tc>
        <w:tc>
          <w:tcPr>
            <w:tcW w:w="4620" w:type="dxa"/>
            <w:vAlign w:val="bottom"/>
          </w:tcPr>
          <w:p>
            <w:pPr>
              <w:ind w:left="1220"/>
              <w:spacing w:after="0"/>
              <w:rPr>
                <w:sz w:val="20"/>
                <w:szCs w:val="20"/>
                <w:color w:val="auto"/>
              </w:rPr>
            </w:pPr>
            <w:r>
              <w:rPr>
                <w:rFonts w:ascii="Arial" w:cs="Arial" w:eastAsia="Arial" w:hAnsi="Arial"/>
                <w:sz w:val="12"/>
                <w:szCs w:val="12"/>
                <w:color w:val="auto"/>
              </w:rPr>
              <w:t xml:space="preserve">      Committee Member             Committee Chair       </w:t>
            </w:r>
          </w:p>
        </w:tc>
        <w:tc>
          <w:tcPr>
            <w:tcW w:w="5800" w:type="dxa"/>
            <w:vAlign w:val="bottom"/>
            <w:gridSpan w:val="10"/>
          </w:tcPr>
          <w:p>
            <w:pPr>
              <w:ind w:left="20"/>
              <w:spacing w:after="0"/>
              <w:rPr>
                <w:sz w:val="20"/>
                <w:szCs w:val="20"/>
                <w:color w:val="auto"/>
              </w:rPr>
            </w:pPr>
            <w:r>
              <w:rPr>
                <w:rFonts w:ascii="Arial" w:cs="Arial" w:eastAsia="Arial" w:hAnsi="Arial"/>
                <w:sz w:val="12"/>
                <w:szCs w:val="12"/>
                <w:color w:val="auto"/>
              </w:rPr>
              <w:t xml:space="preserve">   Audit Committee Financial Expert             Lead Independent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-5697855</wp:posOffset>
            </wp:positionV>
            <wp:extent cx="3218815" cy="2463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18815" cy="24638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-5740400</wp:posOffset>
            </wp:positionV>
            <wp:extent cx="17748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7482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-5408930</wp:posOffset>
            </wp:positionV>
            <wp:extent cx="322580" cy="382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-5255895</wp:posOffset>
            </wp:positionV>
            <wp:extent cx="85090" cy="679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090" cy="67945"/>
                    </a:xfrm>
                    <a:prstGeom prst="rect">
                      <a:avLst/>
                    </a:prstGeom>
                    <a:noFill/>
                  </pic:spPr>
                </pic:pic>
              </a:graphicData>
            </a:graphic>
          </wp:anchor>
        </w:drawing>
        <w:drawing>
          <wp:anchor simplePos="0" relativeHeight="251657728" behindDoc="1" locked="0" layoutInCell="0" allowOverlap="1">
            <wp:simplePos x="0" y="0"/>
            <wp:positionH relativeFrom="column">
              <wp:posOffset>5354955</wp:posOffset>
            </wp:positionH>
            <wp:positionV relativeFrom="paragraph">
              <wp:posOffset>-5247640</wp:posOffset>
            </wp:positionV>
            <wp:extent cx="5080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800" cy="42545"/>
                    </a:xfrm>
                    <a:prstGeom prst="rect">
                      <a:avLst/>
                    </a:prstGeom>
                    <a:noFill/>
                  </pic:spPr>
                </pic:pic>
              </a:graphicData>
            </a:graphic>
          </wp:anchor>
        </w:drawing>
        <w:drawing>
          <wp:anchor simplePos="0" relativeHeight="251657728" behindDoc="1" locked="0" layoutInCell="0" allowOverlap="1">
            <wp:simplePos x="0" y="0"/>
            <wp:positionH relativeFrom="column">
              <wp:posOffset>5720080</wp:posOffset>
            </wp:positionH>
            <wp:positionV relativeFrom="paragraph">
              <wp:posOffset>-5255895</wp:posOffset>
            </wp:positionV>
            <wp:extent cx="59690" cy="67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-5247640</wp:posOffset>
            </wp:positionV>
            <wp:extent cx="5080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800"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-4941570</wp:posOffset>
            </wp:positionV>
            <wp:extent cx="322580" cy="382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-4789170</wp:posOffset>
            </wp:positionV>
            <wp:extent cx="85090" cy="67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090" cy="6794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-4789170</wp:posOffset>
            </wp:positionV>
            <wp:extent cx="76200" cy="67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6526530</wp:posOffset>
            </wp:positionH>
            <wp:positionV relativeFrom="paragraph">
              <wp:posOffset>-4789170</wp:posOffset>
            </wp:positionV>
            <wp:extent cx="59690" cy="67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-4789170</wp:posOffset>
            </wp:positionV>
            <wp:extent cx="67945" cy="67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-4474845</wp:posOffset>
            </wp:positionV>
            <wp:extent cx="322580" cy="382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-4321810</wp:posOffset>
            </wp:positionV>
            <wp:extent cx="85090" cy="67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090" cy="67945"/>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-4304665</wp:posOffset>
            </wp:positionV>
            <wp:extent cx="5080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-4330700</wp:posOffset>
            </wp:positionV>
            <wp:extent cx="76200" cy="76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00" cy="7620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-4313555</wp:posOffset>
            </wp:positionV>
            <wp:extent cx="4254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-4007485</wp:posOffset>
            </wp:positionV>
            <wp:extent cx="322580" cy="382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-3855085</wp:posOffset>
            </wp:positionV>
            <wp:extent cx="85090" cy="67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090" cy="679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-3855085</wp:posOffset>
            </wp:positionV>
            <wp:extent cx="67945" cy="67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-3855085</wp:posOffset>
            </wp:positionV>
            <wp:extent cx="76200" cy="67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-3540760</wp:posOffset>
            </wp:positionV>
            <wp:extent cx="322580" cy="382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-3387725</wp:posOffset>
            </wp:positionV>
            <wp:extent cx="50800" cy="67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800" cy="679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-3073400</wp:posOffset>
            </wp:positionV>
            <wp:extent cx="322580" cy="382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-2920365</wp:posOffset>
            </wp:positionV>
            <wp:extent cx="85090" cy="679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090" cy="67945"/>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-2920365</wp:posOffset>
            </wp:positionV>
            <wp:extent cx="76200" cy="679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6127750</wp:posOffset>
            </wp:positionH>
            <wp:positionV relativeFrom="paragraph">
              <wp:posOffset>-2920365</wp:posOffset>
            </wp:positionV>
            <wp:extent cx="59690" cy="67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-2920365</wp:posOffset>
            </wp:positionV>
            <wp:extent cx="67945" cy="679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-2606675</wp:posOffset>
            </wp:positionV>
            <wp:extent cx="322580" cy="382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-2445385</wp:posOffset>
            </wp:positionV>
            <wp:extent cx="4254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-2139315</wp:posOffset>
            </wp:positionV>
            <wp:extent cx="322580" cy="3822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-1986280</wp:posOffset>
            </wp:positionV>
            <wp:extent cx="85090" cy="67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090" cy="6794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-1995170</wp:posOffset>
            </wp:positionV>
            <wp:extent cx="59690" cy="762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7620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-1995170</wp:posOffset>
            </wp:positionV>
            <wp:extent cx="76200" cy="762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200" cy="76200"/>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-1986280</wp:posOffset>
            </wp:positionV>
            <wp:extent cx="76200" cy="679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6883400</wp:posOffset>
            </wp:positionH>
            <wp:positionV relativeFrom="paragraph">
              <wp:posOffset>-1986280</wp:posOffset>
            </wp:positionV>
            <wp:extent cx="67945" cy="67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79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-1672590</wp:posOffset>
            </wp:positionV>
            <wp:extent cx="322580" cy="382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-1527810</wp:posOffset>
            </wp:positionV>
            <wp:extent cx="85090" cy="76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090" cy="76200"/>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-1527810</wp:posOffset>
            </wp:positionV>
            <wp:extent cx="59690" cy="762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76200"/>
                    </a:xfrm>
                    <a:prstGeom prst="rect">
                      <a:avLst/>
                    </a:prstGeom>
                    <a:noFill/>
                  </pic:spPr>
                </pic:pic>
              </a:graphicData>
            </a:graphic>
          </wp:anchor>
        </w:drawing>
        <w:drawing>
          <wp:anchor simplePos="0" relativeHeight="251657728" behindDoc="1" locked="0" layoutInCell="0" allowOverlap="1">
            <wp:simplePos x="0" y="0"/>
            <wp:positionH relativeFrom="column">
              <wp:posOffset>6136005</wp:posOffset>
            </wp:positionH>
            <wp:positionV relativeFrom="paragraph">
              <wp:posOffset>-1510665</wp:posOffset>
            </wp:positionV>
            <wp:extent cx="4254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-1510665</wp:posOffset>
            </wp:positionV>
            <wp:extent cx="4254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-1510665</wp:posOffset>
            </wp:positionV>
            <wp:extent cx="5080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800" cy="425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-1205230</wp:posOffset>
            </wp:positionV>
            <wp:extent cx="322580" cy="382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-1052195</wp:posOffset>
            </wp:positionV>
            <wp:extent cx="85090" cy="679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090" cy="67945"/>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-1061085</wp:posOffset>
            </wp:positionV>
            <wp:extent cx="76200" cy="762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200" cy="7620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-1061085</wp:posOffset>
            </wp:positionV>
            <wp:extent cx="76200" cy="762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200" cy="76200"/>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-1052195</wp:posOffset>
            </wp:positionV>
            <wp:extent cx="76200" cy="679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-737870</wp:posOffset>
            </wp:positionV>
            <wp:extent cx="322580" cy="382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2580" cy="382270"/>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-585470</wp:posOffset>
            </wp:positionV>
            <wp:extent cx="85090" cy="679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090" cy="67945"/>
                    </a:xfrm>
                    <a:prstGeom prst="rect">
                      <a:avLst/>
                    </a:prstGeom>
                    <a:noFill/>
                  </pic:spPr>
                </pic:pic>
              </a:graphicData>
            </a:graphic>
          </wp:anchor>
        </w:drawing>
        <w:drawing>
          <wp:anchor simplePos="0" relativeHeight="251657728" behindDoc="1" locked="0" layoutInCell="0" allowOverlap="1">
            <wp:simplePos x="0" y="0"/>
            <wp:positionH relativeFrom="column">
              <wp:posOffset>6136005</wp:posOffset>
            </wp:positionH>
            <wp:positionV relativeFrom="paragraph">
              <wp:posOffset>-576580</wp:posOffset>
            </wp:positionV>
            <wp:extent cx="4254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-576580</wp:posOffset>
            </wp:positionV>
            <wp:extent cx="4254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5337810</wp:posOffset>
            </wp:positionH>
            <wp:positionV relativeFrom="paragraph">
              <wp:posOffset>-254000</wp:posOffset>
            </wp:positionV>
            <wp:extent cx="85090" cy="679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090" cy="67945"/>
                    </a:xfrm>
                    <a:prstGeom prst="rect">
                      <a:avLst/>
                    </a:prstGeom>
                    <a:noFill/>
                  </pic:spPr>
                </pic:pic>
              </a:graphicData>
            </a:graphic>
          </wp:anchor>
        </w:drawing>
        <w:drawing>
          <wp:anchor simplePos="0" relativeHeight="251657728" behindDoc="1" locked="0" layoutInCell="0" allowOverlap="1">
            <wp:simplePos x="0" y="0"/>
            <wp:positionH relativeFrom="column">
              <wp:posOffset>5702935</wp:posOffset>
            </wp:positionH>
            <wp:positionV relativeFrom="paragraph">
              <wp:posOffset>-254000</wp:posOffset>
            </wp:positionV>
            <wp:extent cx="93345" cy="679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345" cy="67945"/>
                    </a:xfrm>
                    <a:prstGeom prst="rect">
                      <a:avLst/>
                    </a:prstGeom>
                    <a:noFill/>
                  </pic:spPr>
                </pic:pic>
              </a:graphicData>
            </a:graphic>
          </wp:anchor>
        </w:drawing>
        <w:drawing>
          <wp:anchor simplePos="0" relativeHeight="251657728" behindDoc="1" locked="0" layoutInCell="0" allowOverlap="1">
            <wp:simplePos x="0" y="0"/>
            <wp:positionH relativeFrom="column">
              <wp:posOffset>6110605</wp:posOffset>
            </wp:positionH>
            <wp:positionV relativeFrom="paragraph">
              <wp:posOffset>-254000</wp:posOffset>
            </wp:positionV>
            <wp:extent cx="93345" cy="679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345" cy="67945"/>
                    </a:xfrm>
                    <a:prstGeom prst="rect">
                      <a:avLst/>
                    </a:prstGeom>
                    <a:noFill/>
                  </pic:spPr>
                </pic:pic>
              </a:graphicData>
            </a:graphic>
          </wp:anchor>
        </w:drawing>
        <w:drawing>
          <wp:anchor simplePos="0" relativeHeight="251657728" behindDoc="1" locked="0" layoutInCell="0" allowOverlap="1">
            <wp:simplePos x="0" y="0"/>
            <wp:positionH relativeFrom="column">
              <wp:posOffset>1270000</wp:posOffset>
            </wp:positionH>
            <wp:positionV relativeFrom="paragraph">
              <wp:posOffset>-75565</wp:posOffset>
            </wp:positionV>
            <wp:extent cx="50800"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2339975</wp:posOffset>
            </wp:positionH>
            <wp:positionV relativeFrom="paragraph">
              <wp:posOffset>-100965</wp:posOffset>
            </wp:positionV>
            <wp:extent cx="50800" cy="762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800" cy="76200"/>
                    </a:xfrm>
                    <a:prstGeom prst="rect">
                      <a:avLst/>
                    </a:prstGeom>
                    <a:noFill/>
                  </pic:spPr>
                </pic:pic>
              </a:graphicData>
            </a:graphic>
          </wp:anchor>
        </w:drawing>
        <w:drawing>
          <wp:anchor simplePos="0" relativeHeight="251657728" behindDoc="1" locked="0" layoutInCell="0" allowOverlap="1">
            <wp:simplePos x="0" y="0"/>
            <wp:positionH relativeFrom="column">
              <wp:posOffset>3307715</wp:posOffset>
            </wp:positionH>
            <wp:positionV relativeFrom="paragraph">
              <wp:posOffset>-100965</wp:posOffset>
            </wp:positionV>
            <wp:extent cx="76200" cy="76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200" cy="76200"/>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-100965</wp:posOffset>
            </wp:positionV>
            <wp:extent cx="50800" cy="762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800" cy="76200"/>
                    </a:xfrm>
                    <a:prstGeom prst="rect">
                      <a:avLst/>
                    </a:prstGeom>
                    <a:noFill/>
                  </pic:spPr>
                </pic:pic>
              </a:graphicData>
            </a:graphic>
          </wp:anchor>
        </w:drawing>
      </w:r>
    </w:p>
    <w:p>
      <w:pPr>
        <w:spacing w:after="0" w:line="69" w:lineRule="exact"/>
        <w:rPr>
          <w:sz w:val="20"/>
          <w:szCs w:val="20"/>
          <w:color w:val="auto"/>
        </w:rPr>
      </w:pPr>
    </w:p>
    <w:p>
      <w:pPr>
        <w:ind w:left="480" w:hanging="313"/>
        <w:spacing w:after="0"/>
        <w:tabs>
          <w:tab w:leader="none" w:pos="480" w:val="left"/>
        </w:tabs>
        <w:numPr>
          <w:ilvl w:val="0"/>
          <w:numId w:val="7"/>
        </w:numPr>
        <w:rPr>
          <w:rFonts w:ascii="Arial" w:cs="Arial" w:eastAsia="Arial" w:hAnsi="Arial"/>
          <w:sz w:val="12"/>
          <w:szCs w:val="12"/>
          <w:color w:val="auto"/>
        </w:rPr>
      </w:pPr>
      <w:r>
        <w:rPr>
          <w:rFonts w:ascii="Arial" w:cs="Arial" w:eastAsia="Arial" w:hAnsi="Arial"/>
          <w:sz w:val="12"/>
          <w:szCs w:val="12"/>
          <w:color w:val="auto"/>
        </w:rPr>
        <w:t>Director nominee membership in the following standing board committees as of the mailing date of this proxy statement:</w:t>
      </w:r>
    </w:p>
    <w:p>
      <w:pPr>
        <w:sectPr>
          <w:pgSz w:w="11900" w:h="16838" w:orient="portrait"/>
          <w:cols w:equalWidth="0" w:num="1">
            <w:col w:w="11100"/>
          </w:cols>
          <w:pgMar w:left="320" w:top="478" w:right="479" w:bottom="1440" w:gutter="0" w:footer="0" w:header="0"/>
        </w:sectPr>
      </w:pPr>
    </w:p>
    <w:p>
      <w:pPr>
        <w:spacing w:after="0" w:line="116" w:lineRule="exact"/>
        <w:rPr>
          <w:sz w:val="20"/>
          <w:szCs w:val="20"/>
          <w:color w:val="auto"/>
        </w:rPr>
      </w:pPr>
    </w:p>
    <w:p>
      <w:pPr>
        <w:ind w:left="400"/>
        <w:spacing w:after="0"/>
        <w:tabs>
          <w:tab w:leader="none" w:pos="2300" w:val="left"/>
          <w:tab w:leader="none" w:pos="4980" w:val="left"/>
          <w:tab w:leader="none" w:pos="6900" w:val="left"/>
          <w:tab w:leader="none" w:pos="9260" w:val="left"/>
        </w:tabs>
        <w:rPr>
          <w:sz w:val="20"/>
          <w:szCs w:val="20"/>
          <w:color w:val="auto"/>
        </w:rPr>
      </w:pPr>
      <w:r>
        <w:rPr>
          <w:rFonts w:ascii="Arial" w:cs="Arial" w:eastAsia="Arial" w:hAnsi="Arial"/>
          <w:sz w:val="12"/>
          <w:szCs w:val="12"/>
          <w:b w:val="1"/>
          <w:bCs w:val="1"/>
          <w:color w:val="auto"/>
        </w:rPr>
        <w:t xml:space="preserve">AC </w:t>
      </w:r>
      <w:r>
        <w:rPr>
          <w:rFonts w:ascii="Arial" w:cs="Arial" w:eastAsia="Arial" w:hAnsi="Arial"/>
          <w:sz w:val="12"/>
          <w:szCs w:val="12"/>
          <w:color w:val="auto"/>
        </w:rPr>
        <w:t>= Audit Committee</w:t>
      </w:r>
      <w:r>
        <w:rPr>
          <w:sz w:val="20"/>
          <w:szCs w:val="20"/>
          <w:color w:val="auto"/>
        </w:rPr>
        <w:tab/>
      </w:r>
      <w:r>
        <w:rPr>
          <w:rFonts w:ascii="Arial" w:cs="Arial" w:eastAsia="Arial" w:hAnsi="Arial"/>
          <w:sz w:val="12"/>
          <w:szCs w:val="12"/>
          <w:b w:val="1"/>
          <w:bCs w:val="1"/>
          <w:color w:val="auto"/>
        </w:rPr>
        <w:t xml:space="preserve">CTDC </w:t>
      </w:r>
      <w:r>
        <w:rPr>
          <w:rFonts w:ascii="Arial" w:cs="Arial" w:eastAsia="Arial" w:hAnsi="Arial"/>
          <w:sz w:val="12"/>
          <w:szCs w:val="12"/>
          <w:color w:val="auto"/>
        </w:rPr>
        <w:t>= Compensation and Talent</w:t>
      </w:r>
      <w:r>
        <w:rPr>
          <w:sz w:val="20"/>
          <w:szCs w:val="20"/>
          <w:color w:val="auto"/>
        </w:rPr>
        <w:tab/>
      </w:r>
      <w:r>
        <w:rPr>
          <w:rFonts w:ascii="Arial" w:cs="Arial" w:eastAsia="Arial" w:hAnsi="Arial"/>
          <w:sz w:val="12"/>
          <w:szCs w:val="12"/>
          <w:b w:val="1"/>
          <w:bCs w:val="1"/>
          <w:color w:val="auto"/>
        </w:rPr>
        <w:t xml:space="preserve">CGC </w:t>
      </w:r>
      <w:r>
        <w:rPr>
          <w:rFonts w:ascii="Arial" w:cs="Arial" w:eastAsia="Arial" w:hAnsi="Arial"/>
          <w:sz w:val="12"/>
          <w:szCs w:val="12"/>
          <w:color w:val="auto"/>
        </w:rPr>
        <w:t>= Corporate</w:t>
      </w:r>
      <w:r>
        <w:rPr>
          <w:sz w:val="20"/>
          <w:szCs w:val="20"/>
          <w:color w:val="auto"/>
        </w:rPr>
        <w:tab/>
      </w:r>
      <w:r>
        <w:rPr>
          <w:rFonts w:ascii="Arial" w:cs="Arial" w:eastAsia="Arial" w:hAnsi="Arial"/>
          <w:sz w:val="12"/>
          <w:szCs w:val="12"/>
          <w:b w:val="1"/>
          <w:bCs w:val="1"/>
          <w:color w:val="auto"/>
        </w:rPr>
        <w:t xml:space="preserve">SSTC </w:t>
      </w:r>
      <w:r>
        <w:rPr>
          <w:rFonts w:ascii="Arial" w:cs="Arial" w:eastAsia="Arial" w:hAnsi="Arial"/>
          <w:sz w:val="12"/>
          <w:szCs w:val="12"/>
          <w:color w:val="auto"/>
        </w:rPr>
        <w:t>= Safety, Sustainability and</w:t>
      </w:r>
      <w:r>
        <w:rPr>
          <w:sz w:val="20"/>
          <w:szCs w:val="20"/>
          <w:color w:val="auto"/>
        </w:rPr>
        <w:tab/>
      </w:r>
      <w:r>
        <w:rPr>
          <w:rFonts w:ascii="Arial" w:cs="Arial" w:eastAsia="Arial" w:hAnsi="Arial"/>
          <w:sz w:val="12"/>
          <w:szCs w:val="12"/>
          <w:b w:val="1"/>
          <w:bCs w:val="1"/>
          <w:color w:val="auto"/>
        </w:rPr>
        <w:t xml:space="preserve">EC </w:t>
      </w:r>
      <w:r>
        <w:rPr>
          <w:rFonts w:ascii="Arial" w:cs="Arial" w:eastAsia="Arial" w:hAnsi="Arial"/>
          <w:sz w:val="12"/>
          <w:szCs w:val="12"/>
          <w:color w:val="auto"/>
        </w:rPr>
        <w:t>= Executive Committee</w:t>
      </w:r>
    </w:p>
    <w:p>
      <w:pPr>
        <w:spacing w:after="0" w:line="8" w:lineRule="exact"/>
        <w:rPr>
          <w:sz w:val="20"/>
          <w:szCs w:val="20"/>
          <w:color w:val="auto"/>
        </w:rPr>
      </w:pPr>
    </w:p>
    <w:p>
      <w:pPr>
        <w:ind w:left="2320"/>
        <w:spacing w:after="0"/>
        <w:tabs>
          <w:tab w:leader="none" w:pos="4980" w:val="left"/>
          <w:tab w:leader="none" w:pos="6900" w:val="left"/>
        </w:tabs>
        <w:rPr>
          <w:sz w:val="20"/>
          <w:szCs w:val="20"/>
          <w:color w:val="auto"/>
        </w:rPr>
      </w:pPr>
      <w:r>
        <w:rPr>
          <w:rFonts w:ascii="Arial" w:cs="Arial" w:eastAsia="Arial" w:hAnsi="Arial"/>
          <w:sz w:val="12"/>
          <w:szCs w:val="12"/>
          <w:color w:val="auto"/>
        </w:rPr>
        <w:t>Development Committee</w:t>
      </w:r>
      <w:r>
        <w:rPr>
          <w:sz w:val="20"/>
          <w:szCs w:val="20"/>
          <w:color w:val="auto"/>
        </w:rPr>
        <w:tab/>
      </w:r>
      <w:r>
        <w:rPr>
          <w:rFonts w:ascii="Arial" w:cs="Arial" w:eastAsia="Arial" w:hAnsi="Arial"/>
          <w:sz w:val="12"/>
          <w:szCs w:val="12"/>
          <w:color w:val="auto"/>
        </w:rPr>
        <w:t>Governance Committee</w:t>
      </w:r>
      <w:r>
        <w:rPr>
          <w:sz w:val="20"/>
          <w:szCs w:val="20"/>
          <w:color w:val="auto"/>
        </w:rPr>
        <w:tab/>
      </w:r>
      <w:r>
        <w:rPr>
          <w:rFonts w:ascii="Arial" w:cs="Arial" w:eastAsia="Arial" w:hAnsi="Arial"/>
          <w:sz w:val="12"/>
          <w:szCs w:val="12"/>
          <w:color w:val="auto"/>
        </w:rPr>
        <w:t>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408940</wp:posOffset>
            </wp:positionV>
            <wp:extent cx="69297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535940</wp:posOffset>
            </wp:positionV>
            <wp:extent cx="739140" cy="153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ectPr>
          <w:pgSz w:w="11900" w:h="16838" w:orient="portrait"/>
          <w:cols w:equalWidth="0" w:num="1">
            <w:col w:w="11100"/>
          </w:cols>
          <w:pgMar w:left="320" w:top="478"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9020"/>
        <w:spacing w:after="0"/>
        <w:rPr>
          <w:sz w:val="20"/>
          <w:szCs w:val="20"/>
          <w:color w:val="auto"/>
        </w:rPr>
      </w:pPr>
      <w:r>
        <w:rPr>
          <w:rFonts w:ascii="Arial" w:cs="Arial" w:eastAsia="Arial" w:hAnsi="Arial"/>
          <w:sz w:val="12"/>
          <w:szCs w:val="12"/>
          <w:color w:val="auto"/>
        </w:rPr>
        <w:t>      2026 Proxy Statement            3</w:t>
      </w:r>
    </w:p>
    <w:p>
      <w:pPr>
        <w:sectPr>
          <w:pgSz w:w="11900" w:h="16838" w:orient="portrait"/>
          <w:cols w:equalWidth="0" w:num="1">
            <w:col w:w="11100"/>
          </w:cols>
          <w:pgMar w:left="320" w:top="478" w:right="4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Proxy Statement Summary</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Director Nominee Composition</w:t>
      </w:r>
    </w:p>
    <w:p>
      <w:pPr>
        <w:spacing w:after="0" w:line="132" w:lineRule="exact"/>
        <w:rPr>
          <w:sz w:val="20"/>
          <w:szCs w:val="20"/>
          <w:color w:val="auto"/>
        </w:rPr>
      </w:pPr>
    </w:p>
    <w:p>
      <w:pPr>
        <w:ind w:left="160" w:right="100"/>
        <w:spacing w:after="0" w:line="281" w:lineRule="auto"/>
        <w:rPr>
          <w:sz w:val="20"/>
          <w:szCs w:val="20"/>
          <w:color w:val="auto"/>
        </w:rPr>
      </w:pPr>
      <w:r>
        <w:rPr>
          <w:rFonts w:ascii="Arial" w:cs="Arial" w:eastAsia="Arial" w:hAnsi="Arial"/>
          <w:sz w:val="14"/>
          <w:szCs w:val="14"/>
          <w:color w:val="auto"/>
        </w:rPr>
        <w:t>Our board has made it a priority to develop and support a high-performance culture for our board, our management and the rest of our workforce. Below are key features of our board composition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131445</wp:posOffset>
            </wp:positionV>
            <wp:extent cx="6929755" cy="15963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1596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0" w:right="20"/>
        <w:spacing w:after="0" w:line="247" w:lineRule="auto"/>
        <w:rPr>
          <w:sz w:val="20"/>
          <w:szCs w:val="20"/>
          <w:color w:val="auto"/>
        </w:rPr>
      </w:pPr>
      <w:r>
        <w:rPr>
          <w:rFonts w:ascii="Arial" w:cs="Arial" w:eastAsia="Arial" w:hAnsi="Arial"/>
          <w:sz w:val="14"/>
          <w:szCs w:val="14"/>
          <w:color w:val="auto"/>
        </w:rPr>
        <w:t>The board seeks directors with a variety of skills and experience. The board believes having directors with a mix of tenure, including those with fresher perspectives and those with deep experience, supports continuity, strategic stability and long-term value creation. The board also believes newer members benefit from serving alongside directors who have navigated multiple business cycles and demonstrated sustained value delivery. The board conducts an annual assessment of each director’s skills, qualifications and experience as well as an annual board evaluation, each of which is fundamental to the board’s process for assembling a group of directors with a wide-ranging and complementary mix of experience, competencies and backgrounds. The board uses the results of the assessment and evaluation to critically analyze its skill set and effectiveness, which helps position the board to oversee Sempra’s current and future strategies and operations.</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See “Proposal 1: Election of Directors” for more information about the background and experience of our director nominees.</w:t>
      </w:r>
    </w:p>
    <w:p>
      <w:pPr>
        <w:spacing w:after="0" w:line="106" w:lineRule="exact"/>
        <w:rPr>
          <w:sz w:val="20"/>
          <w:szCs w:val="20"/>
          <w:color w:val="auto"/>
        </w:rPr>
      </w:pPr>
    </w:p>
    <w:p>
      <w:pPr>
        <w:ind w:left="160"/>
        <w:spacing w:after="0" w:line="281" w:lineRule="auto"/>
        <w:rPr>
          <w:sz w:val="20"/>
          <w:szCs w:val="20"/>
          <w:color w:val="auto"/>
        </w:rPr>
      </w:pPr>
      <w:r>
        <w:rPr>
          <w:rFonts w:ascii="Arial" w:cs="Arial" w:eastAsia="Arial" w:hAnsi="Arial"/>
          <w:sz w:val="14"/>
          <w:szCs w:val="14"/>
          <w:color w:val="auto"/>
        </w:rPr>
        <w:t>The board is committed to thoughtful refreshment and has a strong track record, including adding four of our current directors since the beginning of 2023, three of whom are independent directors under the standards established by the New York Stock Exchange (NYSE).</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Strong Governance Practices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Supported by feedback from our shareholders, we believe our processes and policies described below reflect strong corporate governance practices.</w:t>
      </w:r>
    </w:p>
    <w:p>
      <w:pPr>
        <w:sectPr>
          <w:pgSz w:w="11900" w:h="16838" w:orient="portrait"/>
          <w:cols w:equalWidth="0" w:num="1">
            <w:col w:w="11060"/>
          </w:cols>
          <w:pgMar w:left="320" w:top="478" w:right="519" w:bottom="1440" w:gutter="0" w:footer="0" w:header="0"/>
        </w:sectPr>
      </w:pPr>
    </w:p>
    <w:p>
      <w:pPr>
        <w:spacing w:after="0" w:line="173" w:lineRule="exact"/>
        <w:rPr>
          <w:sz w:val="20"/>
          <w:szCs w:val="20"/>
          <w:color w:val="auto"/>
        </w:rPr>
      </w:pPr>
    </w:p>
    <w:p>
      <w:pPr>
        <w:ind w:left="320" w:hanging="153"/>
        <w:spacing w:after="0"/>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Lead Independent Director with clearly defined and robust responsibilities</w:t>
      </w:r>
    </w:p>
    <w:p>
      <w:pPr>
        <w:spacing w:after="0" w:line="119" w:lineRule="exact"/>
        <w:rPr>
          <w:rFonts w:ascii="Times New Roman" w:cs="Times New Roman" w:eastAsia="Times New Roman" w:hAnsi="Times New Roman"/>
          <w:sz w:val="14"/>
          <w:szCs w:val="14"/>
          <w:color w:val="005CB9"/>
        </w:rPr>
      </w:pPr>
    </w:p>
    <w:p>
      <w:pPr>
        <w:ind w:left="320" w:hanging="153"/>
        <w:spacing w:after="0"/>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Annual election of all directors</w:t>
      </w:r>
    </w:p>
    <w:p>
      <w:pPr>
        <w:spacing w:after="0" w:line="119" w:lineRule="exact"/>
        <w:rPr>
          <w:rFonts w:ascii="Times New Roman" w:cs="Times New Roman" w:eastAsia="Times New Roman" w:hAnsi="Times New Roman"/>
          <w:sz w:val="14"/>
          <w:szCs w:val="14"/>
          <w:color w:val="005CB9"/>
        </w:rPr>
      </w:pPr>
    </w:p>
    <w:p>
      <w:pPr>
        <w:ind w:left="320" w:hanging="153"/>
        <w:spacing w:after="0"/>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Proxy access right for shareholder nominations of director candidates</w:t>
      </w:r>
    </w:p>
    <w:p>
      <w:pPr>
        <w:spacing w:after="0" w:line="119" w:lineRule="exact"/>
        <w:rPr>
          <w:rFonts w:ascii="Times New Roman" w:cs="Times New Roman" w:eastAsia="Times New Roman" w:hAnsi="Times New Roman"/>
          <w:sz w:val="14"/>
          <w:szCs w:val="14"/>
          <w:color w:val="005CB9"/>
        </w:rPr>
      </w:pPr>
    </w:p>
    <w:p>
      <w:pPr>
        <w:ind w:left="320" w:hanging="153"/>
        <w:spacing w:after="0"/>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Majority-vote and resignation policy for directors in uncontested elections</w:t>
      </w:r>
    </w:p>
    <w:p>
      <w:pPr>
        <w:spacing w:after="0" w:line="119" w:lineRule="exact"/>
        <w:rPr>
          <w:rFonts w:ascii="Times New Roman" w:cs="Times New Roman" w:eastAsia="Times New Roman" w:hAnsi="Times New Roman"/>
          <w:sz w:val="14"/>
          <w:szCs w:val="14"/>
          <w:color w:val="005CB9"/>
        </w:rPr>
      </w:pPr>
    </w:p>
    <w:p>
      <w:pPr>
        <w:ind w:left="320" w:right="280" w:hanging="153"/>
        <w:spacing w:after="0" w:line="280" w:lineRule="auto"/>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Shareholders representing an aggregate of 10% or more of our outstanding shares may call a special meeting of shareholders</w:t>
      </w:r>
    </w:p>
    <w:p>
      <w:pPr>
        <w:spacing w:after="0" w:line="64" w:lineRule="exact"/>
        <w:rPr>
          <w:rFonts w:ascii="Times New Roman" w:cs="Times New Roman" w:eastAsia="Times New Roman" w:hAnsi="Times New Roman"/>
          <w:sz w:val="14"/>
          <w:szCs w:val="14"/>
          <w:color w:val="005CB9"/>
        </w:rPr>
      </w:pPr>
    </w:p>
    <w:p>
      <w:pPr>
        <w:ind w:left="320" w:hanging="153"/>
        <w:spacing w:after="0"/>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Comprehensive, ongoing succession planning for key executives by the board</w:t>
      </w:r>
    </w:p>
    <w:p>
      <w:pPr>
        <w:spacing w:after="0" w:line="119" w:lineRule="exact"/>
        <w:rPr>
          <w:rFonts w:ascii="Times New Roman" w:cs="Times New Roman" w:eastAsia="Times New Roman" w:hAnsi="Times New Roman"/>
          <w:sz w:val="14"/>
          <w:szCs w:val="14"/>
          <w:color w:val="005CB9"/>
        </w:rPr>
      </w:pPr>
    </w:p>
    <w:p>
      <w:pPr>
        <w:ind w:left="320" w:right="120" w:hanging="153"/>
        <w:spacing w:after="0" w:line="280" w:lineRule="auto"/>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Strong history of board refreshment designed to maintain balanced and varied board composition and tenure</w:t>
      </w:r>
    </w:p>
    <w:p>
      <w:pPr>
        <w:spacing w:after="0" w:line="64" w:lineRule="exact"/>
        <w:rPr>
          <w:rFonts w:ascii="Times New Roman" w:cs="Times New Roman" w:eastAsia="Times New Roman" w:hAnsi="Times New Roman"/>
          <w:sz w:val="14"/>
          <w:szCs w:val="14"/>
          <w:color w:val="005CB9"/>
        </w:rPr>
      </w:pPr>
    </w:p>
    <w:p>
      <w:pPr>
        <w:ind w:left="320" w:right="420" w:hanging="153"/>
        <w:spacing w:after="0" w:line="280" w:lineRule="auto"/>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Directors should not be nominated to stand for election after the earlier of attaining age 75 or completing 15 years of service</w:t>
      </w:r>
    </w:p>
    <w:p>
      <w:pPr>
        <w:spacing w:after="0" w:line="64" w:lineRule="exact"/>
        <w:rPr>
          <w:rFonts w:ascii="Times New Roman" w:cs="Times New Roman" w:eastAsia="Times New Roman" w:hAnsi="Times New Roman"/>
          <w:sz w:val="14"/>
          <w:szCs w:val="14"/>
          <w:color w:val="005CB9"/>
        </w:rPr>
      </w:pPr>
    </w:p>
    <w:p>
      <w:pPr>
        <w:ind w:left="320" w:right="100" w:hanging="153"/>
        <w:spacing w:after="0" w:line="280" w:lineRule="auto"/>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Board-level oversight of sustainability, including enhanced focus of Safety, Sustainability and Technology Committee on sustainability and related matters</w:t>
      </w:r>
    </w:p>
    <w:p>
      <w:pPr>
        <w:spacing w:after="0" w:line="64" w:lineRule="exact"/>
        <w:rPr>
          <w:rFonts w:ascii="Times New Roman" w:cs="Times New Roman" w:eastAsia="Times New Roman" w:hAnsi="Times New Roman"/>
          <w:sz w:val="14"/>
          <w:szCs w:val="14"/>
          <w:color w:val="005CB9"/>
        </w:rPr>
      </w:pPr>
    </w:p>
    <w:p>
      <w:pPr>
        <w:ind w:left="320" w:hanging="153"/>
        <w:spacing w:after="0" w:line="280" w:lineRule="auto"/>
        <w:tabs>
          <w:tab w:leader="none" w:pos="320" w:val="left"/>
        </w:tabs>
        <w:numPr>
          <w:ilvl w:val="0"/>
          <w:numId w:val="8"/>
        </w:numPr>
        <w:rPr>
          <w:rFonts w:ascii="Times New Roman" w:cs="Times New Roman" w:eastAsia="Times New Roman" w:hAnsi="Times New Roman"/>
          <w:sz w:val="14"/>
          <w:szCs w:val="14"/>
          <w:color w:val="005CB9"/>
        </w:rPr>
      </w:pPr>
      <w:r>
        <w:rPr>
          <w:rFonts w:ascii="Arial" w:cs="Arial" w:eastAsia="Arial" w:hAnsi="Arial"/>
          <w:sz w:val="14"/>
          <w:szCs w:val="14"/>
          <w:color w:val="auto"/>
        </w:rPr>
        <w:t>Board-level oversight of human capital management, including initiatives related to culture and belonging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7" w:right="80" w:hanging="167"/>
        <w:spacing w:after="0" w:line="280" w:lineRule="auto"/>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Annual board, director and standing committee evaluations (except for Executive Committee)</w:t>
      </w:r>
    </w:p>
    <w:p>
      <w:pPr>
        <w:spacing w:after="0" w:line="64" w:lineRule="exact"/>
        <w:rPr>
          <w:rFonts w:ascii="Times New Roman" w:cs="Times New Roman" w:eastAsia="Times New Roman" w:hAnsi="Times New Roman"/>
          <w:sz w:val="14"/>
          <w:szCs w:val="14"/>
          <w:color w:val="005CB9"/>
        </w:rPr>
      </w:pPr>
    </w:p>
    <w:p>
      <w:pPr>
        <w:ind w:left="167" w:right="620" w:hanging="167"/>
        <w:spacing w:after="0" w:line="280" w:lineRule="auto"/>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Nine of our 11 director nominees are independent directors under NYSE independence standards</w:t>
      </w:r>
    </w:p>
    <w:p>
      <w:pPr>
        <w:spacing w:after="0" w:line="64" w:lineRule="exact"/>
        <w:rPr>
          <w:rFonts w:ascii="Times New Roman" w:cs="Times New Roman" w:eastAsia="Times New Roman" w:hAnsi="Times New Roman"/>
          <w:sz w:val="14"/>
          <w:szCs w:val="14"/>
          <w:color w:val="005CB9"/>
        </w:rPr>
      </w:pPr>
    </w:p>
    <w:p>
      <w:pPr>
        <w:ind w:left="167" w:right="500" w:hanging="167"/>
        <w:spacing w:after="0" w:line="280" w:lineRule="auto"/>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All NYSE-required board committees are 100% composed of independent directors</w:t>
      </w:r>
    </w:p>
    <w:p>
      <w:pPr>
        <w:spacing w:after="0" w:line="64" w:lineRule="exact"/>
        <w:rPr>
          <w:rFonts w:ascii="Times New Roman" w:cs="Times New Roman" w:eastAsia="Times New Roman" w:hAnsi="Times New Roman"/>
          <w:sz w:val="14"/>
          <w:szCs w:val="14"/>
          <w:color w:val="005CB9"/>
        </w:rPr>
      </w:pPr>
    </w:p>
    <w:p>
      <w:pPr>
        <w:ind w:left="167" w:right="40" w:hanging="167"/>
        <w:spacing w:after="0" w:line="280" w:lineRule="auto"/>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Director overboarding policy that aligns with the preferences and policies of some of our major shareholders</w:t>
      </w:r>
    </w:p>
    <w:p>
      <w:pPr>
        <w:spacing w:after="0" w:line="64" w:lineRule="exact"/>
        <w:rPr>
          <w:rFonts w:ascii="Times New Roman" w:cs="Times New Roman" w:eastAsia="Times New Roman" w:hAnsi="Times New Roman"/>
          <w:sz w:val="14"/>
          <w:szCs w:val="14"/>
          <w:color w:val="005CB9"/>
        </w:rPr>
      </w:pPr>
    </w:p>
    <w:p>
      <w:pPr>
        <w:ind w:left="167" w:right="200" w:hanging="167"/>
        <w:spacing w:after="0" w:line="280" w:lineRule="auto"/>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Executive sessions of non-management directors at all regular board meetings and independent directors at least annually</w:t>
      </w:r>
    </w:p>
    <w:p>
      <w:pPr>
        <w:spacing w:after="0" w:line="64" w:lineRule="exact"/>
        <w:rPr>
          <w:rFonts w:ascii="Times New Roman" w:cs="Times New Roman" w:eastAsia="Times New Roman" w:hAnsi="Times New Roman"/>
          <w:sz w:val="14"/>
          <w:szCs w:val="14"/>
          <w:color w:val="005CB9"/>
        </w:rPr>
      </w:pPr>
    </w:p>
    <w:p>
      <w:pPr>
        <w:ind w:left="167" w:right="480" w:hanging="167"/>
        <w:spacing w:after="0" w:line="280" w:lineRule="auto"/>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99% aggregate attendance of incumbent directors at board and committee meetings in 2025</w:t>
      </w:r>
    </w:p>
    <w:p>
      <w:pPr>
        <w:spacing w:after="0" w:line="64" w:lineRule="exact"/>
        <w:rPr>
          <w:rFonts w:ascii="Times New Roman" w:cs="Times New Roman" w:eastAsia="Times New Roman" w:hAnsi="Times New Roman"/>
          <w:sz w:val="14"/>
          <w:szCs w:val="14"/>
          <w:color w:val="005CB9"/>
        </w:rPr>
      </w:pPr>
    </w:p>
    <w:p>
      <w:pPr>
        <w:ind w:left="167" w:hanging="167"/>
        <w:spacing w:after="0"/>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Prohibition on hedging or pledging company stock</w:t>
      </w:r>
    </w:p>
    <w:p>
      <w:pPr>
        <w:spacing w:after="0" w:line="119" w:lineRule="exact"/>
        <w:rPr>
          <w:rFonts w:ascii="Times New Roman" w:cs="Times New Roman" w:eastAsia="Times New Roman" w:hAnsi="Times New Roman"/>
          <w:sz w:val="14"/>
          <w:szCs w:val="14"/>
          <w:color w:val="005CB9"/>
        </w:rPr>
      </w:pPr>
    </w:p>
    <w:p>
      <w:pPr>
        <w:ind w:left="167" w:hanging="167"/>
        <w:spacing w:after="0"/>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Robust share ownership guidelines for directors and officers</w:t>
      </w:r>
    </w:p>
    <w:p>
      <w:pPr>
        <w:spacing w:after="0" w:line="119" w:lineRule="exact"/>
        <w:rPr>
          <w:rFonts w:ascii="Times New Roman" w:cs="Times New Roman" w:eastAsia="Times New Roman" w:hAnsi="Times New Roman"/>
          <w:sz w:val="14"/>
          <w:szCs w:val="14"/>
          <w:color w:val="005CB9"/>
        </w:rPr>
      </w:pPr>
    </w:p>
    <w:p>
      <w:pPr>
        <w:ind w:left="167" w:right="60" w:hanging="167"/>
        <w:spacing w:after="0" w:line="280" w:lineRule="auto"/>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 xml:space="preserve">Active shareholder engagement with key members of management and our Lead Independent Director (see pages </w:t>
      </w:r>
      <w:r>
        <w:rPr>
          <w:rFonts w:ascii="Arial" w:cs="Arial" w:eastAsia="Arial" w:hAnsi="Arial"/>
          <w:sz w:val="14"/>
          <w:szCs w:val="14"/>
          <w:u w:val="single" w:color="auto"/>
          <w:color w:val="0000EE"/>
        </w:rPr>
        <w:t>15</w:t>
      </w:r>
      <w:r>
        <w:rPr>
          <w:rFonts w:ascii="Arial" w:cs="Arial" w:eastAsia="Arial" w:hAnsi="Arial"/>
          <w:sz w:val="14"/>
          <w:szCs w:val="14"/>
          <w:color w:val="auto"/>
        </w:rPr>
        <w:t xml:space="preserve"> and </w:t>
      </w:r>
      <w:r>
        <w:rPr>
          <w:rFonts w:ascii="Arial" w:cs="Arial" w:eastAsia="Arial" w:hAnsi="Arial"/>
          <w:sz w:val="14"/>
          <w:szCs w:val="14"/>
          <w:u w:val="single" w:color="auto"/>
          <w:color w:val="0000EE"/>
        </w:rPr>
        <w:t>44</w:t>
      </w:r>
      <w:r>
        <w:rPr>
          <w:rFonts w:ascii="Arial" w:cs="Arial" w:eastAsia="Arial" w:hAnsi="Arial"/>
          <w:sz w:val="14"/>
          <w:szCs w:val="14"/>
          <w:color w:val="auto"/>
        </w:rPr>
        <w:t xml:space="preserve"> for more detail)</w:t>
      </w:r>
    </w:p>
    <w:p>
      <w:pPr>
        <w:spacing w:after="0" w:line="64" w:lineRule="exact"/>
        <w:rPr>
          <w:rFonts w:ascii="Times New Roman" w:cs="Times New Roman" w:eastAsia="Times New Roman" w:hAnsi="Times New Roman"/>
          <w:sz w:val="14"/>
          <w:szCs w:val="14"/>
          <w:color w:val="005CB9"/>
        </w:rPr>
      </w:pPr>
    </w:p>
    <w:p>
      <w:pPr>
        <w:ind w:left="167" w:right="440" w:hanging="167"/>
        <w:spacing w:after="0" w:line="280" w:lineRule="auto"/>
        <w:tabs>
          <w:tab w:leader="none" w:pos="167" w:val="left"/>
        </w:tabs>
        <w:numPr>
          <w:ilvl w:val="0"/>
          <w:numId w:val="9"/>
        </w:numPr>
        <w:rPr>
          <w:rFonts w:ascii="Times New Roman" w:cs="Times New Roman" w:eastAsia="Times New Roman" w:hAnsi="Times New Roman"/>
          <w:sz w:val="14"/>
          <w:szCs w:val="14"/>
          <w:color w:val="005CB9"/>
        </w:rPr>
      </w:pPr>
      <w:r>
        <w:rPr>
          <w:rFonts w:ascii="Arial" w:cs="Arial" w:eastAsia="Arial" w:hAnsi="Arial"/>
          <w:sz w:val="14"/>
          <w:szCs w:val="14"/>
          <w:color w:val="auto"/>
        </w:rPr>
        <w:t>Code of conduct applicable to directors and principal and executive officers supplements our code of conduct applicable to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165735</wp:posOffset>
            </wp:positionV>
            <wp:extent cx="6929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373"/>
            <w:col w:w="5327"/>
          </w:cols>
          <w:pgMar w:left="320" w:top="478" w:right="519" w:bottom="1440" w:gutter="0" w:footer="0" w:header="0"/>
          <w:type w:val="continuous"/>
        </w:sectPr>
      </w:pPr>
    </w:p>
    <w:p>
      <w:pPr>
        <w:spacing w:after="0" w:line="22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4              </w:t>
      </w:r>
      <w:r>
        <w:rPr>
          <w:sz w:val="1"/>
          <w:szCs w:val="1"/>
          <w:color w:val="auto"/>
        </w:rPr>
        <w:drawing>
          <wp:inline distT="0" distB="0" distL="0" distR="0">
            <wp:extent cx="739140" cy="15303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60"/>
          </w:cols>
          <w:pgMar w:left="320" w:top="478" w:right="5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Proxy Statement Summary</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Company Overview</w:t>
      </w:r>
    </w:p>
    <w:p>
      <w:pPr>
        <w:spacing w:after="0" w:line="132" w:lineRule="exact"/>
        <w:rPr>
          <w:sz w:val="20"/>
          <w:szCs w:val="20"/>
          <w:color w:val="auto"/>
        </w:rPr>
      </w:pPr>
    </w:p>
    <w:p>
      <w:pPr>
        <w:jc w:val="both"/>
        <w:ind w:left="160" w:right="260"/>
        <w:spacing w:after="0" w:line="260" w:lineRule="auto"/>
        <w:rPr>
          <w:sz w:val="20"/>
          <w:szCs w:val="20"/>
          <w:color w:val="auto"/>
        </w:rPr>
      </w:pPr>
      <w:r>
        <w:rPr>
          <w:rFonts w:ascii="Arial" w:cs="Arial" w:eastAsia="Arial" w:hAnsi="Arial"/>
          <w:sz w:val="14"/>
          <w:szCs w:val="14"/>
          <w:color w:val="auto"/>
        </w:rPr>
        <w:t>Sempra’s mission is to build America’s leading utility growth business. We are primarily focused on the largest economies in the U.S., California and Texas, where we are investing in regulated utilities with a view toward producing stable cash flows and improved earnings visibility. Our goal is to deliver safe, reliable and affordable energy to customers while increasing shareholder value.</w:t>
      </w:r>
    </w:p>
    <w:p>
      <w:pPr>
        <w:spacing w:after="0" w:line="79" w:lineRule="exact"/>
        <w:rPr>
          <w:sz w:val="20"/>
          <w:szCs w:val="20"/>
          <w:color w:val="auto"/>
        </w:rPr>
      </w:pPr>
    </w:p>
    <w:p>
      <w:pPr>
        <w:ind w:left="800" w:hanging="312"/>
        <w:spacing w:after="0"/>
        <w:tabs>
          <w:tab w:leader="none" w:pos="800" w:val="left"/>
        </w:tabs>
        <w:numPr>
          <w:ilvl w:val="0"/>
          <w:numId w:val="10"/>
        </w:numPr>
        <w:rPr>
          <w:rFonts w:ascii="Times New Roman" w:cs="Times New Roman" w:eastAsia="Times New Roman" w:hAnsi="Times New Roman"/>
          <w:sz w:val="14"/>
          <w:szCs w:val="14"/>
          <w:color w:val="005CB9"/>
        </w:rPr>
      </w:pPr>
      <w:r>
        <w:rPr>
          <w:rFonts w:ascii="Arial" w:cs="Arial" w:eastAsia="Arial" w:hAnsi="Arial"/>
          <w:sz w:val="14"/>
          <w:szCs w:val="14"/>
          <w:color w:val="auto"/>
        </w:rPr>
        <w:t>We are a holding company with ownership of regulated electric and natural gas utilities in California and significant interests in regulated electric utilities in Texas</w:t>
      </w:r>
    </w:p>
    <w:p>
      <w:pPr>
        <w:spacing w:after="0" w:line="119" w:lineRule="exact"/>
        <w:rPr>
          <w:rFonts w:ascii="Times New Roman" w:cs="Times New Roman" w:eastAsia="Times New Roman" w:hAnsi="Times New Roman"/>
          <w:sz w:val="14"/>
          <w:szCs w:val="14"/>
          <w:color w:val="005CB9"/>
        </w:rPr>
      </w:pPr>
    </w:p>
    <w:p>
      <w:pPr>
        <w:ind w:left="800" w:right="100" w:hanging="312"/>
        <w:spacing w:after="0" w:line="280" w:lineRule="auto"/>
        <w:tabs>
          <w:tab w:leader="none" w:pos="800" w:val="left"/>
        </w:tabs>
        <w:numPr>
          <w:ilvl w:val="0"/>
          <w:numId w:val="10"/>
        </w:numPr>
        <w:rPr>
          <w:rFonts w:ascii="Times New Roman" w:cs="Times New Roman" w:eastAsia="Times New Roman" w:hAnsi="Times New Roman"/>
          <w:sz w:val="14"/>
          <w:szCs w:val="14"/>
          <w:color w:val="005CB9"/>
        </w:rPr>
      </w:pPr>
      <w:r>
        <w:rPr>
          <w:rFonts w:ascii="Arial" w:cs="Arial" w:eastAsia="Arial" w:hAnsi="Arial"/>
          <w:sz w:val="14"/>
          <w:szCs w:val="14"/>
          <w:color w:val="auto"/>
        </w:rPr>
        <w:t>We expect our utility businesses to continue to require investments in critical transmission and distribution (T+D) infrastructure and energy systems modernization and to remain focused on delivering safer, more reliable and affordable energy</w:t>
      </w:r>
    </w:p>
    <w:p>
      <w:pPr>
        <w:spacing w:after="0" w:line="64" w:lineRule="exact"/>
        <w:rPr>
          <w:rFonts w:ascii="Times New Roman" w:cs="Times New Roman" w:eastAsia="Times New Roman" w:hAnsi="Times New Roman"/>
          <w:sz w:val="14"/>
          <w:szCs w:val="14"/>
          <w:color w:val="005CB9"/>
        </w:rPr>
      </w:pPr>
    </w:p>
    <w:p>
      <w:pPr>
        <w:ind w:left="800" w:right="100" w:hanging="312"/>
        <w:spacing w:after="0" w:line="280" w:lineRule="auto"/>
        <w:tabs>
          <w:tab w:leader="none" w:pos="800" w:val="left"/>
        </w:tabs>
        <w:numPr>
          <w:ilvl w:val="0"/>
          <w:numId w:val="10"/>
        </w:numPr>
        <w:rPr>
          <w:rFonts w:ascii="Times New Roman" w:cs="Times New Roman" w:eastAsia="Times New Roman" w:hAnsi="Times New Roman"/>
          <w:sz w:val="14"/>
          <w:szCs w:val="14"/>
          <w:color w:val="005CB9"/>
        </w:rPr>
      </w:pPr>
      <w:r>
        <w:rPr>
          <w:rFonts w:ascii="Arial" w:cs="Arial" w:eastAsia="Arial" w:hAnsi="Arial"/>
          <w:sz w:val="14"/>
          <w:szCs w:val="14"/>
          <w:color w:val="auto"/>
        </w:rPr>
        <w:t>In September 2025, we entered into an agreement to sell a controlling equity interest in Sempra Infrastructure Partners, LP (SI Partners), the holding company for our energy infrastructure businesses that are not U.S. utilities; we generally refer to this business herein as “Sempra Infrastructure”</w:t>
      </w:r>
    </w:p>
    <w:p>
      <w:pPr>
        <w:spacing w:after="0" w:line="52" w:lineRule="exact"/>
        <w:rPr>
          <w:sz w:val="20"/>
          <w:szCs w:val="20"/>
          <w:color w:val="auto"/>
        </w:rPr>
      </w:pPr>
    </w:p>
    <w:p>
      <w:pPr>
        <w:ind w:left="160" w:right="300"/>
        <w:spacing w:after="0" w:line="281" w:lineRule="auto"/>
        <w:rPr>
          <w:sz w:val="20"/>
          <w:szCs w:val="20"/>
          <w:color w:val="auto"/>
        </w:rPr>
      </w:pPr>
      <w:r>
        <w:rPr>
          <w:rFonts w:ascii="Arial" w:cs="Arial" w:eastAsia="Arial" w:hAnsi="Arial"/>
          <w:sz w:val="14"/>
          <w:szCs w:val="14"/>
          <w:color w:val="auto"/>
        </w:rPr>
        <w:t>Our corporate strategy in 2025 centered on the five value creation initiatives described below, which are designed to continue simplifying our company’s business model, mitigating risk and improving financial strength.</w:t>
      </w:r>
    </w:p>
    <w:p>
      <w:pPr>
        <w:spacing w:after="0" w:line="166" w:lineRule="exact"/>
        <w:rPr>
          <w:sz w:val="20"/>
          <w:szCs w:val="20"/>
          <w:color w:val="auto"/>
        </w:rPr>
      </w:pPr>
    </w:p>
    <w:p>
      <w:pPr>
        <w:ind w:left="1600"/>
        <w:spacing w:after="0"/>
        <w:tabs>
          <w:tab w:leader="none" w:pos="6920" w:val="left"/>
        </w:tabs>
        <w:rPr>
          <w:sz w:val="20"/>
          <w:szCs w:val="20"/>
          <w:color w:val="auto"/>
        </w:rPr>
      </w:pPr>
      <w:r>
        <w:rPr>
          <w:rFonts w:ascii="Arial" w:cs="Arial" w:eastAsia="Arial" w:hAnsi="Arial"/>
          <w:sz w:val="21"/>
          <w:szCs w:val="21"/>
          <w:b w:val="1"/>
          <w:bCs w:val="1"/>
          <w:color w:val="005CB9"/>
        </w:rPr>
        <w:t>2025 Value Creation Initiatives</w:t>
      </w:r>
      <w:r>
        <w:rPr>
          <w:sz w:val="20"/>
          <w:szCs w:val="20"/>
          <w:color w:val="auto"/>
        </w:rPr>
        <w:tab/>
      </w:r>
      <w:r>
        <w:rPr>
          <w:rFonts w:ascii="Arial" w:cs="Arial" w:eastAsia="Arial" w:hAnsi="Arial"/>
          <w:sz w:val="21"/>
          <w:szCs w:val="21"/>
          <w:b w:val="1"/>
          <w:bCs w:val="1"/>
          <w:color w:val="005CB9"/>
        </w:rPr>
        <w:t>2025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60325</wp:posOffset>
            </wp:positionV>
            <wp:extent cx="6233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33160"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13" w:lineRule="exact"/>
        <w:rPr>
          <w:sz w:val="20"/>
          <w:szCs w:val="20"/>
          <w:color w:val="auto"/>
        </w:rPr>
      </w:pPr>
    </w:p>
    <w:p>
      <w:pPr>
        <w:ind w:left="1060" w:right="860" w:hanging="344"/>
        <w:spacing w:after="0" w:line="182" w:lineRule="auto"/>
        <w:tabs>
          <w:tab w:leader="none" w:pos="1060" w:val="left"/>
        </w:tabs>
        <w:numPr>
          <w:ilvl w:val="0"/>
          <w:numId w:val="11"/>
        </w:numPr>
        <w:rPr>
          <w:rFonts w:ascii="Arial" w:cs="Arial" w:eastAsia="Arial" w:hAnsi="Arial"/>
          <w:sz w:val="26"/>
          <w:szCs w:val="26"/>
          <w:color w:val="005CB9"/>
        </w:rPr>
      </w:pPr>
      <w:r>
        <w:rPr>
          <w:rFonts w:ascii="Arial" w:cs="Arial" w:eastAsia="Arial" w:hAnsi="Arial"/>
          <w:sz w:val="14"/>
          <w:szCs w:val="14"/>
          <w:color w:val="auto"/>
        </w:rPr>
        <w:t>Invest $13 billion this year prioritizing utility investments and improved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64770</wp:posOffset>
            </wp:positionV>
            <wp:extent cx="30829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82925" cy="8255"/>
                    </a:xfrm>
                    <a:prstGeom prst="rect">
                      <a:avLst/>
                    </a:prstGeom>
                    <a:noFill/>
                  </pic:spPr>
                </pic:pic>
              </a:graphicData>
            </a:graphic>
          </wp:anchor>
        </w:drawing>
      </w:r>
    </w:p>
    <w:p>
      <w:pPr>
        <w:spacing w:after="0" w:line="262" w:lineRule="exact"/>
        <w:rPr>
          <w:sz w:val="20"/>
          <w:szCs w:val="20"/>
          <w:color w:val="auto"/>
        </w:rPr>
      </w:pPr>
    </w:p>
    <w:p>
      <w:pPr>
        <w:ind w:left="1060" w:hanging="344"/>
        <w:spacing w:after="0"/>
        <w:tabs>
          <w:tab w:leader="none" w:pos="1060" w:val="left"/>
        </w:tabs>
        <w:numPr>
          <w:ilvl w:val="0"/>
          <w:numId w:val="12"/>
        </w:numPr>
        <w:rPr>
          <w:rFonts w:ascii="Arial" w:cs="Arial" w:eastAsia="Arial" w:hAnsi="Arial"/>
          <w:sz w:val="29"/>
          <w:szCs w:val="29"/>
          <w:color w:val="005CB9"/>
        </w:rPr>
      </w:pPr>
      <w:r>
        <w:rPr>
          <w:rFonts w:ascii="Arial" w:cs="Arial" w:eastAsia="Arial" w:hAnsi="Arial"/>
          <w:sz w:val="14"/>
          <w:szCs w:val="14"/>
          <w:color w:val="auto"/>
        </w:rPr>
        <w:t>Unlock value in our liquefied natural gas (LNG) franchise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200025</wp:posOffset>
            </wp:positionV>
            <wp:extent cx="30829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82925" cy="8255"/>
                    </a:xfrm>
                    <a:prstGeom prst="rect">
                      <a:avLst/>
                    </a:prstGeom>
                    <a:noFill/>
                  </pic:spPr>
                </pic:pic>
              </a:graphicData>
            </a:graphic>
          </wp:anchor>
        </w:drawing>
      </w:r>
    </w:p>
    <w:p>
      <w:pPr>
        <w:spacing w:after="0" w:line="355" w:lineRule="exact"/>
        <w:rPr>
          <w:sz w:val="20"/>
          <w:szCs w:val="20"/>
          <w:color w:val="auto"/>
        </w:rPr>
      </w:pPr>
    </w:p>
    <w:p>
      <w:pPr>
        <w:ind w:left="1060" w:hanging="344"/>
        <w:spacing w:after="0"/>
        <w:tabs>
          <w:tab w:leader="none" w:pos="1060" w:val="left"/>
        </w:tabs>
        <w:numPr>
          <w:ilvl w:val="0"/>
          <w:numId w:val="13"/>
        </w:numPr>
        <w:rPr>
          <w:rFonts w:ascii="Arial" w:cs="Arial" w:eastAsia="Arial" w:hAnsi="Arial"/>
          <w:sz w:val="29"/>
          <w:szCs w:val="29"/>
          <w:color w:val="005CB9"/>
        </w:rPr>
      </w:pPr>
      <w:r>
        <w:rPr>
          <w:rFonts w:ascii="Arial" w:cs="Arial" w:eastAsia="Arial" w:hAnsi="Arial"/>
          <w:sz w:val="14"/>
          <w:szCs w:val="14"/>
          <w:color w:val="auto"/>
        </w:rPr>
        <w:t>Sell non-core assets to simplify the business and reduce portfolio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98425</wp:posOffset>
            </wp:positionV>
            <wp:extent cx="30829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082925" cy="8255"/>
                    </a:xfrm>
                    <a:prstGeom prst="rect">
                      <a:avLst/>
                    </a:prstGeom>
                    <a:noFill/>
                  </pic:spPr>
                </pic:pic>
              </a:graphicData>
            </a:graphic>
          </wp:anchor>
        </w:drawing>
      </w:r>
    </w:p>
    <w:p>
      <w:pPr>
        <w:spacing w:after="0" w:line="208" w:lineRule="exact"/>
        <w:rPr>
          <w:sz w:val="20"/>
          <w:szCs w:val="20"/>
          <w:color w:val="auto"/>
        </w:rPr>
      </w:pPr>
    </w:p>
    <w:p>
      <w:pPr>
        <w:ind w:left="1060" w:hanging="344"/>
        <w:spacing w:after="0"/>
        <w:tabs>
          <w:tab w:leader="none" w:pos="1060" w:val="left"/>
        </w:tabs>
        <w:numPr>
          <w:ilvl w:val="0"/>
          <w:numId w:val="14"/>
        </w:numPr>
        <w:rPr>
          <w:rFonts w:ascii="Arial" w:cs="Arial" w:eastAsia="Arial" w:hAnsi="Arial"/>
          <w:sz w:val="29"/>
          <w:szCs w:val="29"/>
          <w:color w:val="005CB9"/>
        </w:rPr>
      </w:pPr>
      <w:r>
        <w:rPr>
          <w:rFonts w:ascii="Arial" w:cs="Arial" w:eastAsia="Arial" w:hAnsi="Arial"/>
          <w:sz w:val="14"/>
          <w:szCs w:val="14"/>
          <w:color w:val="auto"/>
        </w:rPr>
        <w:t xml:space="preserve">Execute </w:t>
      </w:r>
      <w:r>
        <w:rPr>
          <w:rFonts w:ascii="Arial" w:cs="Arial" w:eastAsia="Arial" w:hAnsi="Arial"/>
          <w:sz w:val="14"/>
          <w:szCs w:val="14"/>
          <w:i w:val="1"/>
          <w:iCs w:val="1"/>
          <w:color w:val="auto"/>
        </w:rPr>
        <w:t>Fit for 2025</w:t>
      </w:r>
      <w:r>
        <w:rPr>
          <w:rFonts w:ascii="Arial" w:cs="Arial" w:eastAsia="Arial" w:hAnsi="Arial"/>
          <w:sz w:val="14"/>
          <w:szCs w:val="14"/>
          <w:color w:val="auto"/>
        </w:rPr>
        <w:t xml:space="preserve"> to reduce costs and improve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98425</wp:posOffset>
            </wp:positionV>
            <wp:extent cx="30829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82925" cy="8255"/>
                    </a:xfrm>
                    <a:prstGeom prst="rect">
                      <a:avLst/>
                    </a:prstGeom>
                    <a:noFill/>
                  </pic:spPr>
                </pic:pic>
              </a:graphicData>
            </a:graphic>
          </wp:anchor>
        </w:drawing>
      </w:r>
    </w:p>
    <w:p>
      <w:pPr>
        <w:spacing w:after="0" w:line="275" w:lineRule="exact"/>
        <w:rPr>
          <w:sz w:val="20"/>
          <w:szCs w:val="20"/>
          <w:color w:val="auto"/>
        </w:rPr>
      </w:pPr>
    </w:p>
    <w:p>
      <w:pPr>
        <w:ind w:left="1060" w:hanging="344"/>
        <w:spacing w:after="0"/>
        <w:tabs>
          <w:tab w:leader="none" w:pos="1060" w:val="left"/>
        </w:tabs>
        <w:numPr>
          <w:ilvl w:val="0"/>
          <w:numId w:val="15"/>
        </w:numPr>
        <w:rPr>
          <w:rFonts w:ascii="Arial" w:cs="Arial" w:eastAsia="Arial" w:hAnsi="Arial"/>
          <w:sz w:val="29"/>
          <w:szCs w:val="29"/>
          <w:color w:val="005CB9"/>
        </w:rPr>
      </w:pPr>
      <w:r>
        <w:rPr>
          <w:rFonts w:ascii="Arial" w:cs="Arial" w:eastAsia="Arial" w:hAnsi="Arial"/>
          <w:sz w:val="14"/>
          <w:szCs w:val="14"/>
          <w:color w:val="auto"/>
        </w:rPr>
        <w:t>Continue community safety and operational excellence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114935</wp:posOffset>
            </wp:positionV>
            <wp:extent cx="3082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82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 Invested approximately $13 billion in capital expenditures</w:t>
      </w:r>
    </w:p>
    <w:p>
      <w:pPr>
        <w:spacing w:after="0" w:line="232"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 Increased U.S. utility rate base from $50 billion to $57 billion</w:t>
      </w:r>
      <w:r>
        <w:rPr>
          <w:rFonts w:ascii="Arial" w:cs="Arial" w:eastAsia="Arial" w:hAnsi="Arial"/>
          <w:sz w:val="21"/>
          <w:szCs w:val="21"/>
          <w:color w:val="auto"/>
          <w:vertAlign w:val="superscript"/>
        </w:rPr>
        <w:t>(1)</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 Declared $1.7 billion in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55880</wp:posOffset>
            </wp:positionV>
            <wp:extent cx="3108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69" w:lineRule="exact"/>
        <w:rPr>
          <w:sz w:val="20"/>
          <w:szCs w:val="20"/>
          <w:color w:val="auto"/>
        </w:rPr>
      </w:pPr>
    </w:p>
    <w:p>
      <w:pPr>
        <w:spacing w:after="0" w:line="242"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 Signed definitive SI Partners equity interest sales agreement</w:t>
      </w:r>
      <w:r>
        <w:rPr>
          <w:rFonts w:ascii="Arial" w:cs="Arial" w:eastAsia="Arial" w:hAnsi="Arial"/>
          <w:sz w:val="21"/>
          <w:szCs w:val="21"/>
          <w:color w:val="auto"/>
          <w:vertAlign w:val="superscript"/>
        </w:rPr>
        <w:t>(2)</w:t>
      </w:r>
    </w:p>
    <w:p>
      <w:pPr>
        <w:spacing w:after="0" w:line="161"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 Reached positive final investment decision at Port Arthur LNG Phase</w:t>
      </w:r>
    </w:p>
    <w:p>
      <w:pPr>
        <w:ind w:left="220"/>
        <w:spacing w:after="0" w:line="185" w:lineRule="auto"/>
        <w:rPr>
          <w:sz w:val="20"/>
          <w:szCs w:val="20"/>
          <w:color w:val="auto"/>
        </w:rPr>
      </w:pPr>
      <w:r>
        <w:rPr>
          <w:rFonts w:ascii="Arial" w:cs="Arial" w:eastAsia="Arial" w:hAnsi="Arial"/>
          <w:sz w:val="19"/>
          <w:szCs w:val="19"/>
          <w:color w:val="auto"/>
          <w:vertAlign w:val="subscript"/>
        </w:rPr>
        <w:t>2</w:t>
      </w:r>
      <w:r>
        <w:rPr>
          <w:rFonts w:ascii="Arial" w:cs="Arial" w:eastAsia="Arial" w:hAnsi="Arial"/>
          <w:sz w:val="9"/>
          <w:szCs w:val="9"/>
          <w:color w:val="auto"/>
        </w:rPr>
        <w:t>(3)</w:t>
      </w:r>
    </w:p>
    <w:p>
      <w:pPr>
        <w:spacing w:after="0" w:line="242"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 Achieved mechanical completion at ECA LNG Phase 1</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3108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169" w:lineRule="exact"/>
        <w:rPr>
          <w:sz w:val="20"/>
          <w:szCs w:val="20"/>
          <w:color w:val="auto"/>
        </w:rPr>
      </w:pPr>
    </w:p>
    <w:p>
      <w:pPr>
        <w:spacing w:after="0" w:line="242"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 Entered into definitive Ecogas sales agreement</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84455</wp:posOffset>
            </wp:positionV>
            <wp:extent cx="3108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207"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 Modernized workforce composition</w:t>
      </w:r>
    </w:p>
    <w:p>
      <w:pPr>
        <w:spacing w:after="0" w:line="5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 Implemented new technologies improving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58420</wp:posOffset>
            </wp:positionV>
            <wp:extent cx="3108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98" w:lineRule="exact"/>
        <w:rPr>
          <w:sz w:val="20"/>
          <w:szCs w:val="20"/>
          <w:color w:val="auto"/>
        </w:rPr>
      </w:pPr>
    </w:p>
    <w:p>
      <w:pPr>
        <w:ind w:left="220" w:right="740" w:hanging="231"/>
        <w:spacing w:after="0" w:line="186"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 Secured California Senate Bill 254, improving financial safeguards for electric investor-owned utilities</w:t>
      </w:r>
    </w:p>
    <w:p>
      <w:pPr>
        <w:spacing w:after="0" w:line="242" w:lineRule="exact"/>
        <w:rPr>
          <w:sz w:val="20"/>
          <w:szCs w:val="20"/>
          <w:color w:val="auto"/>
        </w:rPr>
      </w:pPr>
      <w:r>
        <w:rPr>
          <w:rFonts w:ascii="MS PGothic" w:cs="MS PGothic" w:eastAsia="MS PGothic" w:hAnsi="MS PGothic"/>
          <w:sz w:val="14"/>
          <w:szCs w:val="14"/>
          <w:color w:val="005CB9"/>
        </w:rPr>
        <w:t>✓</w:t>
      </w:r>
      <w:r>
        <w:rPr>
          <w:rFonts w:ascii="Arial" w:cs="Arial" w:eastAsia="Arial" w:hAnsi="Arial"/>
          <w:sz w:val="14"/>
          <w:szCs w:val="14"/>
          <w:color w:val="auto"/>
        </w:rPr>
        <w:t xml:space="preserve">    Named most reliable utility for 20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straight year at SDG&amp;E</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3108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08325" cy="825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5420" w:space="320"/>
            <w:col w:w="5340"/>
          </w:cols>
          <w:pgMar w:left="320" w:top="478" w:right="499" w:bottom="1440" w:gutter="0" w:footer="0" w:header="0"/>
          <w:type w:val="continuous"/>
        </w:sectPr>
      </w:pPr>
    </w:p>
    <w:p>
      <w:pPr>
        <w:ind w:left="480" w:right="60" w:hanging="313"/>
        <w:spacing w:after="0" w:line="244" w:lineRule="auto"/>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Reflects rate base at December 31, 2024 and 2025, respectively. For our California utilities, rate base of $29 billion and $32 billion for 2024 and 2025, respectively, is the value of assets on which each utility is permitted to earn a specified rate of return in accordance with rules set by regulatory agencies, which is calculated using a 13-month average in accordance with California Public Utilities Commission (CPUC) methodology as adopted in rate-setting proceedings. For our Texas utilities, rate base of $21 billion and $25 billion for 2024 and 2025, respectively, reflects a percentage of the total rate base of each utility based on our ownership interests in these businesses and represents total invested capital, as adjusted in accordance with rules of the Public Utility Commission of Texas (PUCT), at the end of the previous calendar year as reported to the PUCT on an annual basis.</w:t>
      </w:r>
    </w:p>
    <w:p>
      <w:pPr>
        <w:spacing w:after="0" w:line="7" w:lineRule="exact"/>
        <w:rPr>
          <w:rFonts w:ascii="Arial" w:cs="Arial" w:eastAsia="Arial" w:hAnsi="Arial"/>
          <w:sz w:val="12"/>
          <w:szCs w:val="12"/>
          <w:color w:val="auto"/>
        </w:rPr>
      </w:pPr>
    </w:p>
    <w:p>
      <w:pPr>
        <w:ind w:left="480" w:right="420" w:hanging="313"/>
        <w:spacing w:after="0" w:line="267" w:lineRule="auto"/>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Ecogas México, S. de R.L. de C.V. (Ecogas) is our natural gas distribution utility in Northern Mexico. The sales of Ecogas and a portion of our equity interest in SI Partners are subject to closing conditions.</w:t>
      </w:r>
    </w:p>
    <w:p>
      <w:pPr>
        <w:ind w:left="480" w:hanging="313"/>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ability to complete major construction and development projects is subject to a number of risks and uncertainties.</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subsidiary San Diego Gas &amp; Electric Company received the ReliabilityOne Award for Outstanding Reliability Performance in the Western Region by PA Consulting.</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At Sempra, we strive to serve our customers in new and better ways, which we believe helps make our company more valuable for our shareholders and other stakeholders.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Our vision, mission and values reflect this commitment.</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005CB9"/>
        </w:rPr>
        <w:t>Everything we do is guided by our vision, mission and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153670</wp:posOffset>
            </wp:positionV>
            <wp:extent cx="33655" cy="840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84074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153670</wp:posOffset>
            </wp:positionV>
            <wp:extent cx="33655" cy="840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840740"/>
                    </a:xfrm>
                    <a:prstGeom prst="rect">
                      <a:avLst/>
                    </a:prstGeom>
                    <a:noFill/>
                  </pic:spPr>
                </pic:pic>
              </a:graphicData>
            </a:graphic>
          </wp:anchor>
        </w:drawing>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441"/>
        </w:trPr>
        <w:tc>
          <w:tcPr>
            <w:tcW w:w="1100" w:type="dxa"/>
            <w:vAlign w:val="bottom"/>
          </w:tcPr>
          <w:p>
            <w:pPr>
              <w:spacing w:after="0"/>
              <w:rPr>
                <w:sz w:val="24"/>
                <w:szCs w:val="24"/>
                <w:color w:val="auto"/>
              </w:rPr>
            </w:pPr>
          </w:p>
        </w:tc>
        <w:tc>
          <w:tcPr>
            <w:tcW w:w="2900" w:type="dxa"/>
            <w:vAlign w:val="bottom"/>
            <w:shd w:val="clear" w:color="auto" w:fill="7F7F7F"/>
          </w:tcPr>
          <w:p>
            <w:pPr>
              <w:jc w:val="center"/>
              <w:spacing w:after="0"/>
              <w:rPr>
                <w:sz w:val="20"/>
                <w:szCs w:val="20"/>
                <w:color w:val="auto"/>
              </w:rPr>
            </w:pPr>
            <w:r>
              <w:rPr>
                <w:rFonts w:ascii="Arial" w:cs="Arial" w:eastAsia="Arial" w:hAnsi="Arial"/>
                <w:sz w:val="21"/>
                <w:szCs w:val="21"/>
                <w:b w:val="1"/>
                <w:bCs w:val="1"/>
                <w:color w:val="FFFFFF"/>
              </w:rPr>
              <w:t>Vision</w:t>
            </w:r>
          </w:p>
        </w:tc>
        <w:tc>
          <w:tcPr>
            <w:tcW w:w="2960" w:type="dxa"/>
            <w:vAlign w:val="bottom"/>
            <w:shd w:val="clear" w:color="auto" w:fill="005CB9"/>
          </w:tcPr>
          <w:p>
            <w:pPr>
              <w:jc w:val="center"/>
              <w:spacing w:after="0"/>
              <w:rPr>
                <w:sz w:val="20"/>
                <w:szCs w:val="20"/>
                <w:color w:val="auto"/>
              </w:rPr>
            </w:pPr>
            <w:r>
              <w:rPr>
                <w:rFonts w:ascii="Arial" w:cs="Arial" w:eastAsia="Arial" w:hAnsi="Arial"/>
                <w:sz w:val="21"/>
                <w:szCs w:val="21"/>
                <w:b w:val="1"/>
                <w:bCs w:val="1"/>
                <w:color w:val="FFFFFF"/>
                <w:w w:val="99"/>
              </w:rPr>
              <w:t>Mission</w:t>
            </w:r>
          </w:p>
        </w:tc>
        <w:tc>
          <w:tcPr>
            <w:tcW w:w="2860" w:type="dxa"/>
            <w:vAlign w:val="bottom"/>
            <w:shd w:val="clear" w:color="auto" w:fill="001689"/>
          </w:tcPr>
          <w:p>
            <w:pPr>
              <w:jc w:val="center"/>
              <w:ind w:left="13"/>
              <w:spacing w:after="0"/>
              <w:rPr>
                <w:sz w:val="20"/>
                <w:szCs w:val="20"/>
                <w:color w:val="auto"/>
              </w:rPr>
            </w:pPr>
            <w:r>
              <w:rPr>
                <w:rFonts w:ascii="Arial" w:cs="Arial" w:eastAsia="Arial" w:hAnsi="Arial"/>
                <w:sz w:val="21"/>
                <w:szCs w:val="21"/>
                <w:b w:val="1"/>
                <w:bCs w:val="1"/>
                <w:color w:val="FFFFFF"/>
              </w:rPr>
              <w:t>Values</w:t>
            </w:r>
          </w:p>
        </w:tc>
        <w:tc>
          <w:tcPr>
            <w:tcW w:w="1100" w:type="dxa"/>
            <w:vAlign w:val="bottom"/>
          </w:tcPr>
          <w:p>
            <w:pPr>
              <w:spacing w:after="0"/>
              <w:rPr>
                <w:sz w:val="24"/>
                <w:szCs w:val="24"/>
                <w:color w:val="auto"/>
              </w:rPr>
            </w:pPr>
          </w:p>
        </w:tc>
      </w:tr>
      <w:tr>
        <w:trPr>
          <w:trHeight w:val="276"/>
        </w:trPr>
        <w:tc>
          <w:tcPr>
            <w:tcW w:w="1100" w:type="dxa"/>
            <w:vAlign w:val="bottom"/>
          </w:tcPr>
          <w:p>
            <w:pPr>
              <w:spacing w:after="0"/>
              <w:rPr>
                <w:sz w:val="23"/>
                <w:szCs w:val="23"/>
                <w:color w:val="auto"/>
              </w:rPr>
            </w:pPr>
          </w:p>
        </w:tc>
        <w:tc>
          <w:tcPr>
            <w:tcW w:w="2900" w:type="dxa"/>
            <w:vAlign w:val="bottom"/>
            <w:shd w:val="clear" w:color="auto" w:fill="7F7F7F"/>
          </w:tcPr>
          <w:p>
            <w:pPr>
              <w:jc w:val="center"/>
              <w:spacing w:after="0"/>
              <w:rPr>
                <w:sz w:val="20"/>
                <w:szCs w:val="20"/>
                <w:color w:val="auto"/>
              </w:rPr>
            </w:pPr>
            <w:r>
              <w:rPr>
                <w:rFonts w:ascii="Arial" w:cs="Arial" w:eastAsia="Arial" w:hAnsi="Arial"/>
                <w:sz w:val="18"/>
                <w:szCs w:val="18"/>
                <w:color w:val="FFFFFF"/>
                <w:w w:val="98"/>
              </w:rPr>
              <w:t>Delivering energy</w:t>
            </w:r>
          </w:p>
        </w:tc>
        <w:tc>
          <w:tcPr>
            <w:tcW w:w="2960" w:type="dxa"/>
            <w:vAlign w:val="bottom"/>
            <w:shd w:val="clear" w:color="auto" w:fill="005CB9"/>
          </w:tcPr>
          <w:p>
            <w:pPr>
              <w:jc w:val="center"/>
              <w:spacing w:after="0"/>
              <w:rPr>
                <w:sz w:val="20"/>
                <w:szCs w:val="20"/>
                <w:color w:val="auto"/>
              </w:rPr>
            </w:pPr>
            <w:r>
              <w:rPr>
                <w:rFonts w:ascii="Arial" w:cs="Arial" w:eastAsia="Arial" w:hAnsi="Arial"/>
                <w:sz w:val="18"/>
                <w:szCs w:val="18"/>
                <w:color w:val="FFFFFF"/>
                <w:w w:val="98"/>
              </w:rPr>
              <w:t>Building America’s</w:t>
            </w:r>
          </w:p>
        </w:tc>
        <w:tc>
          <w:tcPr>
            <w:tcW w:w="2860" w:type="dxa"/>
            <w:vAlign w:val="bottom"/>
            <w:shd w:val="clear" w:color="auto" w:fill="001689"/>
          </w:tcPr>
          <w:p>
            <w:pPr>
              <w:jc w:val="center"/>
              <w:ind w:left="13"/>
              <w:spacing w:after="0"/>
              <w:rPr>
                <w:sz w:val="20"/>
                <w:szCs w:val="20"/>
                <w:color w:val="auto"/>
              </w:rPr>
            </w:pPr>
            <w:r>
              <w:rPr>
                <w:rFonts w:ascii="Arial" w:cs="Arial" w:eastAsia="Arial" w:hAnsi="Arial"/>
                <w:sz w:val="18"/>
                <w:szCs w:val="18"/>
                <w:color w:val="FFFFFF"/>
                <w:w w:val="99"/>
              </w:rPr>
              <w:t>Do the right thing</w:t>
            </w:r>
          </w:p>
        </w:tc>
        <w:tc>
          <w:tcPr>
            <w:tcW w:w="1100" w:type="dxa"/>
            <w:vAlign w:val="bottom"/>
          </w:tcPr>
          <w:p>
            <w:pPr>
              <w:spacing w:after="0"/>
              <w:rPr>
                <w:sz w:val="23"/>
                <w:szCs w:val="23"/>
                <w:color w:val="auto"/>
              </w:rPr>
            </w:pPr>
          </w:p>
        </w:tc>
      </w:tr>
      <w:tr>
        <w:trPr>
          <w:trHeight w:val="201"/>
        </w:trPr>
        <w:tc>
          <w:tcPr>
            <w:tcW w:w="1100" w:type="dxa"/>
            <w:vAlign w:val="bottom"/>
          </w:tcPr>
          <w:p>
            <w:pPr>
              <w:spacing w:after="0"/>
              <w:rPr>
                <w:sz w:val="17"/>
                <w:szCs w:val="17"/>
                <w:color w:val="auto"/>
              </w:rPr>
            </w:pPr>
          </w:p>
        </w:tc>
        <w:tc>
          <w:tcPr>
            <w:tcW w:w="2900" w:type="dxa"/>
            <w:vAlign w:val="bottom"/>
            <w:shd w:val="clear" w:color="auto" w:fill="7F7F7F"/>
          </w:tcPr>
          <w:p>
            <w:pPr>
              <w:jc w:val="center"/>
              <w:spacing w:after="0" w:line="201" w:lineRule="exact"/>
              <w:rPr>
                <w:sz w:val="20"/>
                <w:szCs w:val="20"/>
                <w:color w:val="auto"/>
              </w:rPr>
            </w:pPr>
            <w:r>
              <w:rPr>
                <w:rFonts w:ascii="Arial" w:cs="Arial" w:eastAsia="Arial" w:hAnsi="Arial"/>
                <w:sz w:val="18"/>
                <w:szCs w:val="18"/>
                <w:color w:val="FFFFFF"/>
                <w:w w:val="99"/>
              </w:rPr>
              <w:t>with purpose</w:t>
            </w:r>
          </w:p>
        </w:tc>
        <w:tc>
          <w:tcPr>
            <w:tcW w:w="2960" w:type="dxa"/>
            <w:vAlign w:val="bottom"/>
            <w:shd w:val="clear" w:color="auto" w:fill="005CB9"/>
          </w:tcPr>
          <w:p>
            <w:pPr>
              <w:jc w:val="center"/>
              <w:spacing w:after="0" w:line="201" w:lineRule="exact"/>
              <w:rPr>
                <w:sz w:val="20"/>
                <w:szCs w:val="20"/>
                <w:color w:val="auto"/>
              </w:rPr>
            </w:pPr>
            <w:r>
              <w:rPr>
                <w:rFonts w:ascii="Arial" w:cs="Arial" w:eastAsia="Arial" w:hAnsi="Arial"/>
                <w:sz w:val="18"/>
                <w:szCs w:val="18"/>
                <w:color w:val="FFFFFF"/>
                <w:w w:val="97"/>
              </w:rPr>
              <w:t>leading utility</w:t>
            </w:r>
          </w:p>
        </w:tc>
        <w:tc>
          <w:tcPr>
            <w:tcW w:w="2860" w:type="dxa"/>
            <w:vAlign w:val="bottom"/>
            <w:shd w:val="clear" w:color="auto" w:fill="001689"/>
          </w:tcPr>
          <w:p>
            <w:pPr>
              <w:jc w:val="center"/>
              <w:ind w:left="13"/>
              <w:spacing w:after="0" w:line="201" w:lineRule="exact"/>
              <w:rPr>
                <w:sz w:val="20"/>
                <w:szCs w:val="20"/>
                <w:color w:val="auto"/>
              </w:rPr>
            </w:pPr>
            <w:r>
              <w:rPr>
                <w:rFonts w:ascii="Arial" w:cs="Arial" w:eastAsia="Arial" w:hAnsi="Arial"/>
                <w:sz w:val="18"/>
                <w:szCs w:val="18"/>
                <w:color w:val="FFFFFF"/>
                <w:w w:val="99"/>
              </w:rPr>
              <w:t>Champion people</w:t>
            </w:r>
          </w:p>
        </w:tc>
        <w:tc>
          <w:tcPr>
            <w:tcW w:w="1100" w:type="dxa"/>
            <w:vAlign w:val="bottom"/>
          </w:tcPr>
          <w:p>
            <w:pPr>
              <w:spacing w:after="0"/>
              <w:rPr>
                <w:sz w:val="17"/>
                <w:szCs w:val="17"/>
                <w:color w:val="auto"/>
              </w:rPr>
            </w:pPr>
          </w:p>
        </w:tc>
      </w:tr>
      <w:tr>
        <w:trPr>
          <w:trHeight w:val="235"/>
        </w:trPr>
        <w:tc>
          <w:tcPr>
            <w:tcW w:w="1100" w:type="dxa"/>
            <w:vAlign w:val="bottom"/>
          </w:tcPr>
          <w:p>
            <w:pPr>
              <w:spacing w:after="0"/>
              <w:rPr>
                <w:sz w:val="20"/>
                <w:szCs w:val="20"/>
                <w:color w:val="auto"/>
              </w:rPr>
            </w:pPr>
          </w:p>
        </w:tc>
        <w:tc>
          <w:tcPr>
            <w:tcW w:w="2900" w:type="dxa"/>
            <w:vAlign w:val="bottom"/>
            <w:shd w:val="clear" w:color="auto" w:fill="7F7F7F"/>
          </w:tcPr>
          <w:p>
            <w:pPr>
              <w:spacing w:after="0"/>
              <w:rPr>
                <w:sz w:val="20"/>
                <w:szCs w:val="20"/>
                <w:color w:val="auto"/>
              </w:rPr>
            </w:pPr>
          </w:p>
        </w:tc>
        <w:tc>
          <w:tcPr>
            <w:tcW w:w="2960" w:type="dxa"/>
            <w:vAlign w:val="bottom"/>
            <w:shd w:val="clear" w:color="auto" w:fill="005CB9"/>
          </w:tcPr>
          <w:p>
            <w:pPr>
              <w:jc w:val="center"/>
              <w:spacing w:after="0"/>
              <w:rPr>
                <w:sz w:val="20"/>
                <w:szCs w:val="20"/>
                <w:color w:val="auto"/>
              </w:rPr>
            </w:pPr>
            <w:r>
              <w:rPr>
                <w:rFonts w:ascii="Arial" w:cs="Arial" w:eastAsia="Arial" w:hAnsi="Arial"/>
                <w:sz w:val="18"/>
                <w:szCs w:val="18"/>
                <w:color w:val="FFFFFF"/>
                <w:w w:val="99"/>
              </w:rPr>
              <w:t>growth business</w:t>
            </w:r>
          </w:p>
        </w:tc>
        <w:tc>
          <w:tcPr>
            <w:tcW w:w="2860" w:type="dxa"/>
            <w:vAlign w:val="bottom"/>
            <w:shd w:val="clear" w:color="auto" w:fill="001689"/>
          </w:tcPr>
          <w:p>
            <w:pPr>
              <w:jc w:val="center"/>
              <w:ind w:left="13"/>
              <w:spacing w:after="0"/>
              <w:rPr>
                <w:sz w:val="20"/>
                <w:szCs w:val="20"/>
                <w:color w:val="auto"/>
              </w:rPr>
            </w:pPr>
            <w:r>
              <w:rPr>
                <w:rFonts w:ascii="Arial" w:cs="Arial" w:eastAsia="Arial" w:hAnsi="Arial"/>
                <w:sz w:val="18"/>
                <w:szCs w:val="18"/>
                <w:color w:val="FFFFFF"/>
                <w:w w:val="99"/>
              </w:rPr>
              <w:t>Shape the future</w:t>
            </w:r>
          </w:p>
        </w:tc>
        <w:tc>
          <w:tcPr>
            <w:tcW w:w="1100" w:type="dxa"/>
            <w:vAlign w:val="bottom"/>
          </w:tcPr>
          <w:p>
            <w:pPr>
              <w:spacing w:after="0"/>
              <w:rPr>
                <w:sz w:val="20"/>
                <w:szCs w:val="20"/>
                <w:color w:val="auto"/>
              </w:rPr>
            </w:pPr>
          </w:p>
        </w:tc>
      </w:tr>
      <w:tr>
        <w:trPr>
          <w:trHeight w:val="171"/>
        </w:trPr>
        <w:tc>
          <w:tcPr>
            <w:tcW w:w="1100" w:type="dxa"/>
            <w:vAlign w:val="bottom"/>
          </w:tcPr>
          <w:p>
            <w:pPr>
              <w:spacing w:after="0"/>
              <w:rPr>
                <w:sz w:val="14"/>
                <w:szCs w:val="14"/>
                <w:color w:val="auto"/>
              </w:rPr>
            </w:pPr>
          </w:p>
        </w:tc>
        <w:tc>
          <w:tcPr>
            <w:tcW w:w="2900" w:type="dxa"/>
            <w:vAlign w:val="bottom"/>
            <w:shd w:val="clear" w:color="auto" w:fill="7F7F7F"/>
          </w:tcPr>
          <w:p>
            <w:pPr>
              <w:spacing w:after="0"/>
              <w:rPr>
                <w:sz w:val="14"/>
                <w:szCs w:val="14"/>
                <w:color w:val="auto"/>
              </w:rPr>
            </w:pPr>
          </w:p>
        </w:tc>
        <w:tc>
          <w:tcPr>
            <w:tcW w:w="2960" w:type="dxa"/>
            <w:vAlign w:val="bottom"/>
            <w:shd w:val="clear" w:color="auto" w:fill="005CB9"/>
          </w:tcPr>
          <w:p>
            <w:pPr>
              <w:spacing w:after="0"/>
              <w:rPr>
                <w:sz w:val="14"/>
                <w:szCs w:val="14"/>
                <w:color w:val="auto"/>
              </w:rPr>
            </w:pPr>
          </w:p>
        </w:tc>
        <w:tc>
          <w:tcPr>
            <w:tcW w:w="2860" w:type="dxa"/>
            <w:vAlign w:val="bottom"/>
            <w:shd w:val="clear" w:color="auto" w:fill="001689"/>
          </w:tcPr>
          <w:p>
            <w:pPr>
              <w:spacing w:after="0"/>
              <w:rPr>
                <w:sz w:val="14"/>
                <w:szCs w:val="14"/>
                <w:color w:val="auto"/>
              </w:rPr>
            </w:pPr>
          </w:p>
        </w:tc>
        <w:tc>
          <w:tcPr>
            <w:tcW w:w="1100" w:type="dxa"/>
            <w:vAlign w:val="bottom"/>
          </w:tcPr>
          <w:p>
            <w:pPr>
              <w:spacing w:after="0"/>
              <w:rPr>
                <w:sz w:val="14"/>
                <w:szCs w:val="14"/>
                <w:color w:val="auto"/>
              </w:rPr>
            </w:pPr>
          </w:p>
        </w:tc>
      </w:tr>
      <w:tr>
        <w:trPr>
          <w:trHeight w:val="160"/>
        </w:trPr>
        <w:tc>
          <w:tcPr>
            <w:tcW w:w="1100" w:type="dxa"/>
            <w:vAlign w:val="bottom"/>
            <w:tcBorders>
              <w:bottom w:val="single" w:sz="8" w:color="7F7F7F"/>
            </w:tcBorders>
          </w:tcPr>
          <w:p>
            <w:pPr>
              <w:spacing w:after="0"/>
              <w:rPr>
                <w:sz w:val="13"/>
                <w:szCs w:val="13"/>
                <w:color w:val="auto"/>
              </w:rPr>
            </w:pPr>
          </w:p>
        </w:tc>
        <w:tc>
          <w:tcPr>
            <w:tcW w:w="2900" w:type="dxa"/>
            <w:vAlign w:val="bottom"/>
            <w:tcBorders>
              <w:bottom w:val="single" w:sz="8" w:color="7F7F7F"/>
            </w:tcBorders>
          </w:tcPr>
          <w:p>
            <w:pPr>
              <w:spacing w:after="0"/>
              <w:rPr>
                <w:sz w:val="13"/>
                <w:szCs w:val="13"/>
                <w:color w:val="auto"/>
              </w:rPr>
            </w:pPr>
          </w:p>
        </w:tc>
        <w:tc>
          <w:tcPr>
            <w:tcW w:w="2960" w:type="dxa"/>
            <w:vAlign w:val="bottom"/>
            <w:tcBorders>
              <w:bottom w:val="single" w:sz="8" w:color="7F7F7F"/>
            </w:tcBorders>
          </w:tcPr>
          <w:p>
            <w:pPr>
              <w:spacing w:after="0"/>
              <w:rPr>
                <w:sz w:val="13"/>
                <w:szCs w:val="13"/>
                <w:color w:val="auto"/>
              </w:rPr>
            </w:pPr>
          </w:p>
        </w:tc>
        <w:tc>
          <w:tcPr>
            <w:tcW w:w="3960" w:type="dxa"/>
            <w:vAlign w:val="bottom"/>
            <w:tcBorders>
              <w:bottom w:val="single" w:sz="8" w:color="7F7F7F"/>
            </w:tcBorders>
            <w:gridSpan w:val="2"/>
          </w:tcPr>
          <w:p>
            <w:pPr>
              <w:spacing w:after="0"/>
              <w:rPr>
                <w:sz w:val="13"/>
                <w:szCs w:val="13"/>
                <w:color w:val="auto"/>
              </w:rPr>
            </w:pPr>
          </w:p>
        </w:tc>
      </w:tr>
      <w:tr>
        <w:trPr>
          <w:trHeight w:val="368"/>
        </w:trPr>
        <w:tc>
          <w:tcPr>
            <w:tcW w:w="1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960" w:type="dxa"/>
            <w:vAlign w:val="bottom"/>
            <w:gridSpan w:val="2"/>
          </w:tcPr>
          <w:p>
            <w:pPr>
              <w:ind w:left="1900"/>
              <w:spacing w:after="0"/>
              <w:rPr>
                <w:sz w:val="20"/>
                <w:szCs w:val="20"/>
                <w:color w:val="auto"/>
              </w:rPr>
            </w:pPr>
            <w:r>
              <w:rPr>
                <w:rFonts w:ascii="Arial" w:cs="Arial" w:eastAsia="Arial" w:hAnsi="Arial"/>
                <w:sz w:val="12"/>
                <w:szCs w:val="12"/>
                <w:color w:val="auto"/>
              </w:rPr>
              <w:t>      2026 Proxy Statement 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4709160</wp:posOffset>
            </wp:positionH>
            <wp:positionV relativeFrom="paragraph">
              <wp:posOffset>-118110</wp:posOffset>
            </wp:positionV>
            <wp:extent cx="739140" cy="144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Proxy Statement Summary</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Executive Compensation</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2025 Compensation Overview</w:t>
      </w:r>
    </w:p>
    <w:p>
      <w:pPr>
        <w:spacing w:after="0" w:line="129" w:lineRule="exact"/>
        <w:rPr>
          <w:sz w:val="20"/>
          <w:szCs w:val="20"/>
          <w:color w:val="auto"/>
        </w:rPr>
      </w:pPr>
    </w:p>
    <w:p>
      <w:pPr>
        <w:ind w:left="160" w:right="180"/>
        <w:spacing w:after="0" w:line="260" w:lineRule="auto"/>
        <w:rPr>
          <w:sz w:val="20"/>
          <w:szCs w:val="20"/>
          <w:color w:val="auto"/>
        </w:rPr>
      </w:pPr>
      <w:r>
        <w:rPr>
          <w:rFonts w:ascii="Arial" w:cs="Arial" w:eastAsia="Arial" w:hAnsi="Arial"/>
          <w:sz w:val="14"/>
          <w:szCs w:val="14"/>
          <w:color w:val="auto"/>
        </w:rPr>
        <w:t>Our executive compensation program is designed to attract, motivate and retain key executive talent and promote strong, sustainable long-term performance. We place an emphasis on variable performance-based pay, with each component designed to promote value creation and alignment of our management team’s compensation with shareholder interests and our long-term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140970</wp:posOffset>
            </wp:positionV>
            <wp:extent cx="6929755" cy="17322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29755"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right="200"/>
        <w:spacing w:after="0" w:line="279" w:lineRule="auto"/>
        <w:rPr>
          <w:sz w:val="20"/>
          <w:szCs w:val="20"/>
          <w:color w:val="auto"/>
        </w:rPr>
      </w:pPr>
      <w:r>
        <w:rPr>
          <w:rFonts w:ascii="Arial" w:cs="Arial" w:eastAsia="Arial" w:hAnsi="Arial"/>
          <w:sz w:val="12"/>
          <w:szCs w:val="12"/>
          <w:color w:val="auto"/>
        </w:rPr>
        <w:t>Note: The Chief Executive Officer’s pay mix at target is based on 2025 annual base salary, 2025 target performance-based annual bonus and the target grant date value of 2025 long-term equity-based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86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6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F"/>
        </w:rPr>
        <w:t>Performance-Based Annual Bonus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80% ABP Earnings (as defined below)</w:t>
      </w:r>
    </w:p>
    <w:p>
      <w:pPr>
        <w:spacing w:after="0" w:line="13" w:lineRule="exact"/>
        <w:rPr>
          <w:sz w:val="20"/>
          <w:szCs w:val="20"/>
          <w:color w:val="auto"/>
        </w:rPr>
      </w:pPr>
    </w:p>
    <w:p>
      <w:pPr>
        <w:ind w:left="400" w:hanging="161"/>
        <w:spacing w:after="0" w:line="259" w:lineRule="auto"/>
        <w:tabs>
          <w:tab w:leader="none" w:pos="400" w:val="left"/>
        </w:tabs>
        <w:numPr>
          <w:ilvl w:val="0"/>
          <w:numId w:val="17"/>
        </w:numPr>
        <w:rPr>
          <w:rFonts w:ascii="Times New Roman" w:cs="Times New Roman" w:eastAsia="Times New Roman" w:hAnsi="Times New Roman"/>
          <w:sz w:val="14"/>
          <w:szCs w:val="14"/>
          <w:color w:val="005CB9"/>
        </w:rPr>
      </w:pPr>
      <w:r>
        <w:rPr>
          <w:rFonts w:ascii="Arial" w:cs="Arial" w:eastAsia="Arial" w:hAnsi="Arial"/>
          <w:sz w:val="14"/>
          <w:szCs w:val="14"/>
          <w:color w:val="auto"/>
        </w:rPr>
        <w:t>Provides an accurate, comprehensive, and understandable picture of annual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13970</wp:posOffset>
            </wp:positionV>
            <wp:extent cx="28276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12% Safety Measures (as defined below)</w:t>
      </w:r>
    </w:p>
    <w:p>
      <w:pPr>
        <w:spacing w:after="0" w:line="13" w:lineRule="exact"/>
        <w:rPr>
          <w:sz w:val="20"/>
          <w:szCs w:val="20"/>
          <w:color w:val="auto"/>
        </w:rPr>
      </w:pPr>
    </w:p>
    <w:p>
      <w:pPr>
        <w:ind w:left="400" w:right="440" w:hanging="161"/>
        <w:spacing w:after="0" w:line="259" w:lineRule="auto"/>
        <w:tabs>
          <w:tab w:leader="none" w:pos="400" w:val="left"/>
        </w:tabs>
        <w:numPr>
          <w:ilvl w:val="0"/>
          <w:numId w:val="18"/>
        </w:numPr>
        <w:rPr>
          <w:rFonts w:ascii="Times New Roman" w:cs="Times New Roman" w:eastAsia="Times New Roman" w:hAnsi="Times New Roman"/>
          <w:sz w:val="14"/>
          <w:szCs w:val="14"/>
          <w:color w:val="005CB9"/>
        </w:rPr>
      </w:pPr>
      <w:r>
        <w:rPr>
          <w:rFonts w:ascii="Arial" w:cs="Arial" w:eastAsia="Arial" w:hAnsi="Arial"/>
          <w:sz w:val="14"/>
          <w:szCs w:val="14"/>
          <w:color w:val="auto"/>
        </w:rPr>
        <w:t>Promotes safe and responsible operations and the safety of customers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13970</wp:posOffset>
            </wp:positionV>
            <wp:extent cx="28276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8% Responsible Business Practice Measures (as defined below)</w:t>
      </w:r>
    </w:p>
    <w:p>
      <w:pPr>
        <w:spacing w:after="0" w:line="34" w:lineRule="exact"/>
        <w:rPr>
          <w:sz w:val="20"/>
          <w:szCs w:val="20"/>
          <w:color w:val="auto"/>
        </w:rPr>
      </w:pPr>
    </w:p>
    <w:p>
      <w:pPr>
        <w:ind w:left="400" w:right="200" w:hanging="161"/>
        <w:spacing w:after="0" w:line="268" w:lineRule="auto"/>
        <w:tabs>
          <w:tab w:leader="none" w:pos="400" w:val="left"/>
        </w:tabs>
        <w:numPr>
          <w:ilvl w:val="0"/>
          <w:numId w:val="19"/>
        </w:numPr>
        <w:rPr>
          <w:rFonts w:ascii="Times New Roman" w:cs="Times New Roman" w:eastAsia="Times New Roman" w:hAnsi="Times New Roman"/>
          <w:sz w:val="14"/>
          <w:szCs w:val="14"/>
          <w:color w:val="005CB9"/>
        </w:rPr>
      </w:pPr>
      <w:r>
        <w:rPr>
          <w:rFonts w:ascii="Arial" w:cs="Arial" w:eastAsia="Arial" w:hAnsi="Arial"/>
          <w:sz w:val="14"/>
          <w:szCs w:val="14"/>
          <w:color w:val="auto"/>
        </w:rPr>
        <w:t>Promotes responsible business practices, including sustainable operations and strong governance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Long Term Equity-Based Incentives</w:t>
      </w:r>
      <w:r>
        <w:rPr>
          <w:rFonts w:ascii="Arial" w:cs="Arial" w:eastAsia="Arial" w:hAnsi="Arial"/>
          <w:sz w:val="21"/>
          <w:szCs w:val="21"/>
          <w:b w:val="1"/>
          <w:bCs w:val="1"/>
          <w:color w:val="FFFFFF"/>
          <w:vertAlign w:val="superscript"/>
        </w:rPr>
        <w:t>(1)</w:t>
      </w:r>
    </w:p>
    <w:p>
      <w:pPr>
        <w:spacing w:after="0" w:line="4" w:lineRule="exact"/>
        <w:rPr>
          <w:sz w:val="20"/>
          <w:szCs w:val="20"/>
          <w:color w:val="auto"/>
        </w:rPr>
      </w:pPr>
    </w:p>
    <w:p>
      <w:pPr>
        <w:ind w:right="2360"/>
        <w:spacing w:after="0" w:line="239" w:lineRule="auto"/>
        <w:rPr>
          <w:sz w:val="20"/>
          <w:szCs w:val="20"/>
          <w:color w:val="auto"/>
        </w:rPr>
      </w:pPr>
      <w:r>
        <w:rPr>
          <w:rFonts w:ascii="Arial" w:cs="Arial" w:eastAsia="Arial" w:hAnsi="Arial"/>
          <w:sz w:val="14"/>
          <w:szCs w:val="14"/>
          <w:b w:val="1"/>
          <w:bCs w:val="1"/>
          <w:color w:val="auto"/>
        </w:rPr>
        <w:t>Performance-Based Restricted Stock Units (weighted at two-thirds, collectively)</w:t>
      </w:r>
    </w:p>
    <w:p>
      <w:pPr>
        <w:ind w:left="140" w:right="520" w:hanging="134"/>
        <w:spacing w:after="0" w:line="191" w:lineRule="auto"/>
        <w:tabs>
          <w:tab w:leader="none" w:pos="163" w:val="left"/>
        </w:tabs>
        <w:numPr>
          <w:ilvl w:val="0"/>
          <w:numId w:val="20"/>
        </w:numPr>
        <w:rPr>
          <w:rFonts w:ascii="Times New Roman" w:cs="Times New Roman" w:eastAsia="Times New Roman" w:hAnsi="Times New Roman"/>
          <w:sz w:val="14"/>
          <w:szCs w:val="14"/>
          <w:color w:val="005CB9"/>
        </w:rPr>
      </w:pPr>
      <w:r>
        <w:rPr>
          <w:rFonts w:ascii="Arial" w:cs="Arial" w:eastAsia="Arial" w:hAnsi="Arial"/>
          <w:sz w:val="14"/>
          <w:szCs w:val="14"/>
          <w:color w:val="auto"/>
        </w:rPr>
        <w:t>One-third based on 3-year relative total shareholder return (TSR), allocated as follows: -  70% relative TSR vs. S&amp;P 500 Utilities Index</w:t>
      </w:r>
      <w:r>
        <w:rPr>
          <w:rFonts w:ascii="Arial" w:cs="Arial" w:eastAsia="Arial" w:hAnsi="Arial"/>
          <w:sz w:val="21"/>
          <w:szCs w:val="21"/>
          <w:color w:val="auto"/>
          <w:vertAlign w:val="superscript"/>
        </w:rPr>
        <w:t>(2)</w:t>
      </w:r>
    </w:p>
    <w:p>
      <w:pPr>
        <w:ind w:left="140"/>
        <w:spacing w:after="0"/>
        <w:rPr>
          <w:rFonts w:ascii="Times New Roman" w:cs="Times New Roman" w:eastAsia="Times New Roman" w:hAnsi="Times New Roman"/>
          <w:sz w:val="14"/>
          <w:szCs w:val="14"/>
          <w:color w:val="005CB9"/>
        </w:rPr>
      </w:pPr>
      <w:r>
        <w:rPr>
          <w:rFonts w:ascii="Arial" w:cs="Arial" w:eastAsia="Arial" w:hAnsi="Arial"/>
          <w:sz w:val="14"/>
          <w:szCs w:val="14"/>
          <w:color w:val="auto"/>
        </w:rPr>
        <w:t>-  30% relative TSR vs. S&amp;P 500 Index</w:t>
      </w:r>
    </w:p>
    <w:p>
      <w:pPr>
        <w:jc w:val="both"/>
        <w:ind w:left="180" w:right="220" w:hanging="174"/>
        <w:spacing w:after="0" w:line="207" w:lineRule="auto"/>
        <w:tabs>
          <w:tab w:leader="none" w:pos="180" w:val="left"/>
        </w:tabs>
        <w:numPr>
          <w:ilvl w:val="0"/>
          <w:numId w:val="20"/>
        </w:numPr>
        <w:rPr>
          <w:rFonts w:ascii="Times New Roman" w:cs="Times New Roman" w:eastAsia="Times New Roman" w:hAnsi="Times New Roman"/>
          <w:sz w:val="14"/>
          <w:szCs w:val="14"/>
          <w:color w:val="005CB9"/>
        </w:rPr>
      </w:pPr>
      <w:r>
        <w:rPr>
          <w:rFonts w:ascii="Arial" w:cs="Arial" w:eastAsia="Arial" w:hAnsi="Arial"/>
          <w:sz w:val="14"/>
          <w:szCs w:val="14"/>
          <w:color w:val="auto"/>
        </w:rPr>
        <w:t>One-third based on the 3-year compound annual growth rate (CAGR) of Sempra’s adjusted earnings per common share (EPS) relative to the 3-year adjusted EPS CAGRs of S&amp;P 500 Utilities Index peers</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-5715</wp:posOffset>
            </wp:positionV>
            <wp:extent cx="40081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008120" cy="825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3"/>
          <w:szCs w:val="13"/>
          <w:b w:val="1"/>
          <w:bCs w:val="1"/>
          <w:color w:val="auto"/>
        </w:rPr>
        <w:t>Stock Options (weighted at one-third)</w:t>
      </w:r>
      <w:r>
        <w:rPr>
          <w:rFonts w:ascii="Arial" w:cs="Arial" w:eastAsia="Arial" w:hAnsi="Arial"/>
          <w:sz w:val="19"/>
          <w:szCs w:val="19"/>
          <w:b w:val="1"/>
          <w:bCs w:val="1"/>
          <w:color w:val="auto"/>
          <w:vertAlign w:val="superscript"/>
        </w:rPr>
        <w:t>(3)</w:t>
      </w:r>
    </w:p>
    <w:p>
      <w:pPr>
        <w:ind w:left="180" w:hanging="174"/>
        <w:spacing w:after="0"/>
        <w:tabs>
          <w:tab w:leader="none" w:pos="180" w:val="left"/>
        </w:tabs>
        <w:numPr>
          <w:ilvl w:val="0"/>
          <w:numId w:val="21"/>
        </w:numPr>
        <w:rPr>
          <w:rFonts w:ascii="Times New Roman" w:cs="Times New Roman" w:eastAsia="Times New Roman" w:hAnsi="Times New Roman"/>
          <w:sz w:val="14"/>
          <w:szCs w:val="14"/>
          <w:color w:val="005CB9"/>
        </w:rPr>
      </w:pPr>
      <w:r>
        <w:rPr>
          <w:rFonts w:ascii="Arial" w:cs="Arial" w:eastAsia="Arial" w:hAnsi="Arial"/>
          <w:sz w:val="14"/>
          <w:szCs w:val="14"/>
          <w:color w:val="auto"/>
        </w:rPr>
        <w:t>Focus on growth and alignment with company performance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55880</wp:posOffset>
            </wp:positionV>
            <wp:extent cx="69297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4600" w:space="340"/>
            <w:col w:w="6140"/>
          </w:cols>
          <w:pgMar w:left="320" w:top="478" w:right="499" w:bottom="1440" w:gutter="0" w:footer="0" w:header="0"/>
          <w:type w:val="continuous"/>
        </w:sectPr>
      </w:pPr>
    </w:p>
    <w:p>
      <w:pPr>
        <w:ind w:left="480" w:hanging="313"/>
        <w:spacing w:after="0"/>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As used in this proxy statement, the term “long-term equity-based incentives” refers to the annual long-term incentive plan (LTIP) awards granted on January 2, 2025.</w:t>
      </w:r>
    </w:p>
    <w:p>
      <w:pPr>
        <w:spacing w:after="0" w:line="35" w:lineRule="exact"/>
        <w:rPr>
          <w:rFonts w:ascii="Arial" w:cs="Arial" w:eastAsia="Arial" w:hAnsi="Arial"/>
          <w:sz w:val="12"/>
          <w:szCs w:val="12"/>
          <w:color w:val="auto"/>
        </w:rPr>
      </w:pPr>
    </w:p>
    <w:p>
      <w:pPr>
        <w:ind w:left="480" w:right="220" w:hanging="313"/>
        <w:spacing w:after="0" w:line="267" w:lineRule="auto"/>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For purposes of long-term equity-based incentives, all references to the S&amp;P 500 Utilities Index or our S&amp;P 500 Utilities Index peers refer to the companies constituting the S&amp;P 500 Utilities Index, excluding water companies.</w:t>
      </w:r>
    </w:p>
    <w:p>
      <w:pPr>
        <w:ind w:left="480" w:hanging="313"/>
        <w:spacing w:after="0"/>
        <w:tabs>
          <w:tab w:leader="none" w:pos="4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Our Chief Executive Officer and Executive Vice Presidents receive stock options, and other executives receive service-based restricted stock units.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2025 Compensation Decisions and Outcomes</w:t>
      </w:r>
    </w:p>
    <w:p>
      <w:pPr>
        <w:spacing w:after="0" w:line="125" w:lineRule="exact"/>
        <w:rPr>
          <w:sz w:val="20"/>
          <w:szCs w:val="20"/>
          <w:color w:val="auto"/>
        </w:rPr>
      </w:pPr>
    </w:p>
    <w:p>
      <w:pPr>
        <w:ind w:left="160"/>
        <w:spacing w:after="0" w:line="253" w:lineRule="auto"/>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color w:val="auto"/>
        </w:rPr>
        <w:t>The Compensation and Talent Development Committee annually reviews base salaries for executive officers. The committee takes into account factors such as</w:t>
      </w:r>
      <w:r>
        <w:rPr>
          <w:rFonts w:ascii="Arial" w:cs="Arial" w:eastAsia="Arial" w:hAnsi="Arial"/>
          <w:sz w:val="14"/>
          <w:szCs w:val="14"/>
          <w:b w:val="1"/>
          <w:bCs w:val="1"/>
          <w:color w:val="auto"/>
        </w:rPr>
        <w:t xml:space="preserve"> </w:t>
      </w:r>
      <w:r>
        <w:rPr>
          <w:rFonts w:ascii="Arial" w:cs="Arial" w:eastAsia="Arial" w:hAnsi="Arial"/>
          <w:sz w:val="14"/>
          <w:szCs w:val="14"/>
          <w:color w:val="auto"/>
        </w:rPr>
        <w:t>market survey data, evaluation of each named executive officer’s responsibilities and contributions, retention considerations, and others, to help ensure base salaries remain competitive and appropriately account for any evolution or expansion of individuals’ roles. For additional information, see “Executive Compensation—Compensation Discussion and Analysis—Compensation Components—Base Salaries.”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Performance-Based Annual Bonus. </w:t>
      </w:r>
      <w:r>
        <w:rPr>
          <w:rFonts w:ascii="Arial" w:cs="Arial" w:eastAsia="Arial" w:hAnsi="Arial"/>
          <w:sz w:val="14"/>
          <w:szCs w:val="14"/>
          <w:color w:val="auto"/>
        </w:rPr>
        <w:t>Our 2025 target earnings for annual bonus plan purposes (ABP Earnings) were $2,912 million. Our 2025 ABP Earnings were</w:t>
      </w:r>
    </w:p>
    <w:p>
      <w:pPr>
        <w:spacing w:after="0" w:line="13" w:lineRule="exact"/>
        <w:rPr>
          <w:sz w:val="20"/>
          <w:szCs w:val="20"/>
          <w:color w:val="auto"/>
        </w:rPr>
      </w:pPr>
    </w:p>
    <w:p>
      <w:pPr>
        <w:ind w:left="160" w:right="80"/>
        <w:spacing w:after="0" w:line="244" w:lineRule="auto"/>
        <w:rPr>
          <w:sz w:val="20"/>
          <w:szCs w:val="20"/>
          <w:color w:val="auto"/>
        </w:rPr>
      </w:pPr>
      <w:r>
        <w:rPr>
          <w:rFonts w:ascii="Arial" w:cs="Arial" w:eastAsia="Arial" w:hAnsi="Arial"/>
          <w:sz w:val="14"/>
          <w:szCs w:val="14"/>
          <w:color w:val="auto"/>
        </w:rPr>
        <w:t xml:space="preserve">$3,154 million. In determining ABP Earnings for 2025, the Compensation and Talent Development Committee made certain predefined adjustments to earnings computed in conformity with generally accepted accounting principles in the United States of America (GAAP). See “Reconciliation of GAAP Earnings to ABP Earnings” on page </w:t>
      </w:r>
      <w:r>
        <w:rPr>
          <w:rFonts w:ascii="Arial" w:cs="Arial" w:eastAsia="Arial" w:hAnsi="Arial"/>
          <w:sz w:val="14"/>
          <w:szCs w:val="14"/>
          <w:u w:val="single" w:color="auto"/>
          <w:color w:val="0000EE"/>
        </w:rPr>
        <w:t>57</w:t>
      </w:r>
      <w:r>
        <w:rPr>
          <w:rFonts w:ascii="Arial" w:cs="Arial" w:eastAsia="Arial" w:hAnsi="Arial"/>
          <w:sz w:val="14"/>
          <w:szCs w:val="14"/>
          <w:color w:val="auto"/>
        </w:rPr>
        <w:t xml:space="preserve"> and Appendix B to this proxy statement for additional information. Based on performance on ABP Earnings, and on the public and employee safety measures (Safety Measures) and measures tied to responsible business practices (RBP Measures), 2025 annual bonuses were achieved at 173% of target. For more detail, see “Executive Compensation— Compensation Discussion and Analysis—Rigor of Incentive Targets.”</w:t>
      </w:r>
    </w:p>
    <w:p>
      <w:pPr>
        <w:spacing w:after="0" w:line="77" w:lineRule="exact"/>
        <w:rPr>
          <w:sz w:val="20"/>
          <w:szCs w:val="20"/>
          <w:color w:val="auto"/>
        </w:rPr>
      </w:pPr>
    </w:p>
    <w:p>
      <w:pPr>
        <w:ind w:left="160" w:right="20"/>
        <w:spacing w:after="0" w:line="249" w:lineRule="auto"/>
        <w:rPr>
          <w:sz w:val="20"/>
          <w:szCs w:val="20"/>
          <w:color w:val="auto"/>
        </w:rPr>
      </w:pPr>
      <w:r>
        <w:rPr>
          <w:rFonts w:ascii="Arial" w:cs="Arial" w:eastAsia="Arial" w:hAnsi="Arial"/>
          <w:sz w:val="14"/>
          <w:szCs w:val="14"/>
          <w:b w:val="1"/>
          <w:bCs w:val="1"/>
          <w:color w:val="auto"/>
        </w:rPr>
        <w:t xml:space="preserve">Long-Term Equity-Based Incentives. </w:t>
      </w:r>
      <w:r>
        <w:rPr>
          <w:rFonts w:ascii="Arial" w:cs="Arial" w:eastAsia="Arial" w:hAnsi="Arial"/>
          <w:sz w:val="14"/>
          <w:szCs w:val="14"/>
          <w:color w:val="auto"/>
        </w:rPr>
        <w:t>Long-term equity-based incentives are the largest component of the total 2025 target compensation package for each named</w:t>
      </w:r>
      <w:r>
        <w:rPr>
          <w:rFonts w:ascii="Arial" w:cs="Arial" w:eastAsia="Arial" w:hAnsi="Arial"/>
          <w:sz w:val="14"/>
          <w:szCs w:val="14"/>
          <w:b w:val="1"/>
          <w:bCs w:val="1"/>
          <w:color w:val="auto"/>
        </w:rPr>
        <w:t xml:space="preserve"> </w:t>
      </w:r>
      <w:r>
        <w:rPr>
          <w:rFonts w:ascii="Arial" w:cs="Arial" w:eastAsia="Arial" w:hAnsi="Arial"/>
          <w:sz w:val="14"/>
          <w:szCs w:val="14"/>
          <w:color w:val="auto"/>
        </w:rPr>
        <w:t>executive officer. In accordance with our pay-for-performance philosophy, 100% of our Chief Executive Officer’s 2025 annual LTIP award was performance-based, with one-third of the award’s grant date value tied to relative TSR performance, one-third tied to adjusted EPS growth and one-third in nonqualified stock options, which the Compensation and Talent Development Committee views as performance-based because their value depends on our stock price increasing over time. The overall payout for the 2023-2025 LTIP awards based on relative TSR and adjusted EPS growth was 35%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6              </w:t>
      </w:r>
      <w:r>
        <w:rPr>
          <w:sz w:val="1"/>
          <w:szCs w:val="1"/>
          <w:color w:val="auto"/>
        </w:rPr>
        <w:drawing>
          <wp:inline distT="0" distB="0" distL="0" distR="0">
            <wp:extent cx="739140" cy="15303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720"/>
        <w:spacing w:after="0"/>
        <w:rPr>
          <w:sz w:val="20"/>
          <w:szCs w:val="20"/>
          <w:color w:val="auto"/>
        </w:rPr>
      </w:pPr>
      <w:r>
        <w:rPr>
          <w:rFonts w:ascii="Arial" w:cs="Arial" w:eastAsia="Arial" w:hAnsi="Arial"/>
          <w:sz w:val="10"/>
          <w:szCs w:val="10"/>
          <w:b w:val="1"/>
          <w:bCs w:val="1"/>
          <w:color w:val="7F7F7F"/>
        </w:rPr>
        <w:t>Proxy Statement Summary</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Voting Information</w:t>
      </w:r>
    </w:p>
    <w:p>
      <w:pPr>
        <w:spacing w:after="0" w:line="132" w:lineRule="exact"/>
        <w:rPr>
          <w:sz w:val="20"/>
          <w:szCs w:val="20"/>
          <w:color w:val="auto"/>
        </w:rPr>
      </w:pPr>
    </w:p>
    <w:p>
      <w:pPr>
        <w:ind w:left="160" w:right="80"/>
        <w:spacing w:after="0" w:line="260" w:lineRule="auto"/>
        <w:rPr>
          <w:sz w:val="20"/>
          <w:szCs w:val="20"/>
          <w:color w:val="auto"/>
        </w:rPr>
      </w:pPr>
      <w:r>
        <w:rPr>
          <w:rFonts w:ascii="Arial" w:cs="Arial" w:eastAsia="Arial" w:hAnsi="Arial"/>
          <w:sz w:val="14"/>
          <w:szCs w:val="14"/>
          <w:b w:val="1"/>
          <w:bCs w:val="1"/>
          <w:color w:val="auto"/>
        </w:rPr>
        <w:t xml:space="preserve">Eligibility: </w:t>
      </w:r>
      <w:r>
        <w:rPr>
          <w:rFonts w:ascii="Arial" w:cs="Arial" w:eastAsia="Arial" w:hAnsi="Arial"/>
          <w:sz w:val="14"/>
          <w:szCs w:val="14"/>
          <w:color w:val="auto"/>
        </w:rPr>
        <w:t>Shareholders of our common stock at the close of business on the record date, March 20, 2026, are entitled to notice of the Annual Shareholders Meeting and to</w:t>
      </w:r>
      <w:r>
        <w:rPr>
          <w:rFonts w:ascii="Arial" w:cs="Arial" w:eastAsia="Arial" w:hAnsi="Arial"/>
          <w:sz w:val="14"/>
          <w:szCs w:val="14"/>
          <w:b w:val="1"/>
          <w:bCs w:val="1"/>
          <w:color w:val="auto"/>
        </w:rPr>
        <w:t xml:space="preserve"> </w:t>
      </w:r>
      <w:r>
        <w:rPr>
          <w:rFonts w:ascii="Arial" w:cs="Arial" w:eastAsia="Arial" w:hAnsi="Arial"/>
          <w:sz w:val="14"/>
          <w:szCs w:val="14"/>
          <w:color w:val="auto"/>
        </w:rPr>
        <w:t>vote their shares as described below on each of the proposals to be voted on at the meeting. Each share of common stock is entitled to one vote on each of the 11 director nominees named in this proxy statement and one vote on each of the other proposals to be voted on at the meeting.</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 xml:space="preserve">Voting by Shareholders of Record: </w:t>
      </w:r>
      <w:r>
        <w:rPr>
          <w:rFonts w:ascii="Arial" w:cs="Arial" w:eastAsia="Arial" w:hAnsi="Arial"/>
          <w:sz w:val="14"/>
          <w:szCs w:val="14"/>
          <w:color w:val="auto"/>
        </w:rPr>
        <w:t>Shareholders of record may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158750</wp:posOffset>
            </wp:positionV>
            <wp:extent cx="69297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243205</wp:posOffset>
            </wp:positionV>
            <wp:extent cx="424815" cy="4248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4815" cy="424815"/>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260350</wp:posOffset>
            </wp:positionV>
            <wp:extent cx="407670" cy="399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07670" cy="399415"/>
                    </a:xfrm>
                    <a:prstGeom prst="rect">
                      <a:avLst/>
                    </a:prstGeom>
                    <a:noFill/>
                  </pic:spPr>
                </pic:pic>
              </a:graphicData>
            </a:graphic>
          </wp:anchor>
        </w:drawing>
        <w:drawing>
          <wp:anchor simplePos="0" relativeHeight="251657728" behindDoc="1" locked="0" layoutInCell="0" allowOverlap="1">
            <wp:simplePos x="0" y="0"/>
            <wp:positionH relativeFrom="column">
              <wp:posOffset>4233545</wp:posOffset>
            </wp:positionH>
            <wp:positionV relativeFrom="paragraph">
              <wp:posOffset>370840</wp:posOffset>
            </wp:positionV>
            <wp:extent cx="424815" cy="288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4815" cy="28892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268605</wp:posOffset>
            </wp:positionV>
            <wp:extent cx="467360" cy="399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7360"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800" w:type="dxa"/>
            <w:vAlign w:val="bottom"/>
          </w:tcPr>
          <w:p>
            <w:pPr>
              <w:jc w:val="center"/>
              <w:ind w:right="209"/>
              <w:spacing w:after="0"/>
              <w:rPr>
                <w:sz w:val="20"/>
                <w:szCs w:val="20"/>
                <w:color w:val="auto"/>
              </w:rPr>
            </w:pPr>
            <w:r>
              <w:rPr>
                <w:rFonts w:ascii="Arial" w:cs="Arial" w:eastAsia="Arial" w:hAnsi="Arial"/>
                <w:sz w:val="14"/>
                <w:szCs w:val="14"/>
                <w:color w:val="auto"/>
              </w:rPr>
              <w:t>Using the Internet at</w:t>
            </w:r>
          </w:p>
        </w:tc>
        <w:tc>
          <w:tcPr>
            <w:tcW w:w="2560" w:type="dxa"/>
            <w:vAlign w:val="bottom"/>
          </w:tcPr>
          <w:p>
            <w:pPr>
              <w:ind w:left="480"/>
              <w:spacing w:after="0"/>
              <w:rPr>
                <w:sz w:val="20"/>
                <w:szCs w:val="20"/>
                <w:color w:val="auto"/>
              </w:rPr>
            </w:pPr>
            <w:r>
              <w:rPr>
                <w:rFonts w:ascii="Arial" w:cs="Arial" w:eastAsia="Arial" w:hAnsi="Arial"/>
                <w:sz w:val="14"/>
                <w:szCs w:val="14"/>
                <w:color w:val="auto"/>
              </w:rPr>
              <w:t>Calling (800) 690-6903</w:t>
            </w:r>
          </w:p>
        </w:tc>
        <w:tc>
          <w:tcPr>
            <w:tcW w:w="2720" w:type="dxa"/>
            <w:vAlign w:val="bottom"/>
          </w:tcPr>
          <w:p>
            <w:pPr>
              <w:jc w:val="center"/>
              <w:ind w:left="169"/>
              <w:spacing w:after="0"/>
              <w:rPr>
                <w:sz w:val="20"/>
                <w:szCs w:val="20"/>
                <w:color w:val="auto"/>
              </w:rPr>
            </w:pPr>
            <w:r>
              <w:rPr>
                <w:rFonts w:ascii="Arial" w:cs="Arial" w:eastAsia="Arial" w:hAnsi="Arial"/>
                <w:sz w:val="14"/>
                <w:szCs w:val="14"/>
                <w:color w:val="auto"/>
              </w:rPr>
              <w:t>Mailing your marked, dated</w:t>
            </w:r>
          </w:p>
        </w:tc>
        <w:tc>
          <w:tcPr>
            <w:tcW w:w="2840" w:type="dxa"/>
            <w:vAlign w:val="bottom"/>
          </w:tcPr>
          <w:p>
            <w:pPr>
              <w:jc w:val="center"/>
              <w:ind w:left="169"/>
              <w:spacing w:after="0"/>
              <w:rPr>
                <w:sz w:val="20"/>
                <w:szCs w:val="20"/>
                <w:color w:val="auto"/>
              </w:rPr>
            </w:pPr>
            <w:r>
              <w:rPr>
                <w:rFonts w:ascii="Arial" w:cs="Arial" w:eastAsia="Arial" w:hAnsi="Arial"/>
                <w:sz w:val="14"/>
                <w:szCs w:val="14"/>
                <w:color w:val="auto"/>
              </w:rPr>
              <w:t>Attending the Annual</w:t>
            </w:r>
          </w:p>
        </w:tc>
      </w:tr>
      <w:tr>
        <w:trPr>
          <w:trHeight w:val="160"/>
        </w:trPr>
        <w:tc>
          <w:tcPr>
            <w:tcW w:w="2800" w:type="dxa"/>
            <w:vAlign w:val="bottom"/>
          </w:tcPr>
          <w:p>
            <w:pPr>
              <w:jc w:val="center"/>
              <w:ind w:right="209"/>
              <w:spacing w:after="0"/>
              <w:rPr>
                <w:sz w:val="20"/>
                <w:szCs w:val="20"/>
                <w:color w:val="auto"/>
              </w:rPr>
            </w:pPr>
            <w:r>
              <w:rPr>
                <w:rFonts w:ascii="Arial" w:cs="Arial" w:eastAsia="Arial" w:hAnsi="Arial"/>
                <w:sz w:val="14"/>
                <w:szCs w:val="14"/>
                <w:color w:val="auto"/>
              </w:rPr>
              <w:t>www.proxyvote.com or</w:t>
            </w:r>
          </w:p>
        </w:tc>
        <w:tc>
          <w:tcPr>
            <w:tcW w:w="2560" w:type="dxa"/>
            <w:vAlign w:val="bottom"/>
          </w:tcPr>
          <w:p>
            <w:pPr>
              <w:ind w:left="460"/>
              <w:spacing w:after="0"/>
              <w:rPr>
                <w:sz w:val="20"/>
                <w:szCs w:val="20"/>
                <w:color w:val="auto"/>
              </w:rPr>
            </w:pPr>
            <w:r>
              <w:rPr>
                <w:rFonts w:ascii="Arial" w:cs="Arial" w:eastAsia="Arial" w:hAnsi="Arial"/>
                <w:sz w:val="14"/>
                <w:szCs w:val="14"/>
                <w:color w:val="auto"/>
              </w:rPr>
              <w:t>in the U.S. and Canada</w:t>
            </w:r>
          </w:p>
        </w:tc>
        <w:tc>
          <w:tcPr>
            <w:tcW w:w="2720" w:type="dxa"/>
            <w:vAlign w:val="bottom"/>
          </w:tcPr>
          <w:p>
            <w:pPr>
              <w:jc w:val="center"/>
              <w:ind w:left="169"/>
              <w:spacing w:after="0"/>
              <w:rPr>
                <w:sz w:val="20"/>
                <w:szCs w:val="20"/>
                <w:color w:val="auto"/>
              </w:rPr>
            </w:pPr>
            <w:r>
              <w:rPr>
                <w:rFonts w:ascii="Arial" w:cs="Arial" w:eastAsia="Arial" w:hAnsi="Arial"/>
                <w:sz w:val="14"/>
                <w:szCs w:val="14"/>
                <w:color w:val="auto"/>
              </w:rPr>
              <w:t>and signed proxy card</w:t>
            </w:r>
          </w:p>
        </w:tc>
        <w:tc>
          <w:tcPr>
            <w:tcW w:w="2840" w:type="dxa"/>
            <w:vAlign w:val="bottom"/>
          </w:tcPr>
          <w:p>
            <w:pPr>
              <w:jc w:val="center"/>
              <w:ind w:left="169"/>
              <w:spacing w:after="0"/>
              <w:rPr>
                <w:sz w:val="20"/>
                <w:szCs w:val="20"/>
                <w:color w:val="auto"/>
              </w:rPr>
            </w:pPr>
            <w:r>
              <w:rPr>
                <w:rFonts w:ascii="Arial" w:cs="Arial" w:eastAsia="Arial" w:hAnsi="Arial"/>
                <w:sz w:val="14"/>
                <w:szCs w:val="14"/>
                <w:color w:val="auto"/>
              </w:rPr>
              <w:t>Shareholders Meeting at</w:t>
            </w:r>
          </w:p>
        </w:tc>
      </w:tr>
      <w:tr>
        <w:trPr>
          <w:trHeight w:val="160"/>
        </w:trPr>
        <w:tc>
          <w:tcPr>
            <w:tcW w:w="2800" w:type="dxa"/>
            <w:vAlign w:val="bottom"/>
          </w:tcPr>
          <w:p>
            <w:pPr>
              <w:jc w:val="center"/>
              <w:ind w:right="189"/>
              <w:spacing w:after="0"/>
              <w:rPr>
                <w:sz w:val="20"/>
                <w:szCs w:val="20"/>
                <w:color w:val="auto"/>
              </w:rPr>
            </w:pPr>
            <w:r>
              <w:rPr>
                <w:rFonts w:ascii="Arial" w:cs="Arial" w:eastAsia="Arial" w:hAnsi="Arial"/>
                <w:sz w:val="14"/>
                <w:szCs w:val="14"/>
                <w:color w:val="auto"/>
              </w:rPr>
              <w:t>scanning the QR code included in</w:t>
            </w:r>
          </w:p>
        </w:tc>
        <w:tc>
          <w:tcPr>
            <w:tcW w:w="25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840" w:type="dxa"/>
            <w:vAlign w:val="bottom"/>
          </w:tcPr>
          <w:p>
            <w:pPr>
              <w:jc w:val="center"/>
              <w:ind w:left="169"/>
              <w:spacing w:after="0"/>
              <w:rPr>
                <w:sz w:val="20"/>
                <w:szCs w:val="20"/>
                <w:color w:val="auto"/>
              </w:rPr>
            </w:pPr>
            <w:r>
              <w:rPr>
                <w:rFonts w:ascii="Arial" w:cs="Arial" w:eastAsia="Arial" w:hAnsi="Arial"/>
                <w:sz w:val="14"/>
                <w:szCs w:val="14"/>
                <w:color w:val="auto"/>
              </w:rPr>
              <w:t>www.virtualshareholdermeeting.com/</w:t>
            </w:r>
          </w:p>
        </w:tc>
      </w:tr>
      <w:tr>
        <w:trPr>
          <w:trHeight w:val="189"/>
        </w:trPr>
        <w:tc>
          <w:tcPr>
            <w:tcW w:w="2800" w:type="dxa"/>
            <w:vAlign w:val="bottom"/>
          </w:tcPr>
          <w:p>
            <w:pPr>
              <w:jc w:val="center"/>
              <w:ind w:right="209"/>
              <w:spacing w:after="0"/>
              <w:rPr>
                <w:sz w:val="20"/>
                <w:szCs w:val="20"/>
                <w:color w:val="auto"/>
              </w:rPr>
            </w:pPr>
            <w:r>
              <w:rPr>
                <w:rFonts w:ascii="Arial" w:cs="Arial" w:eastAsia="Arial" w:hAnsi="Arial"/>
                <w:sz w:val="14"/>
                <w:szCs w:val="14"/>
                <w:color w:val="auto"/>
              </w:rPr>
              <w:t>your proxy materials</w:t>
            </w:r>
          </w:p>
        </w:tc>
        <w:tc>
          <w:tcPr>
            <w:tcW w:w="25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840" w:type="dxa"/>
            <w:vAlign w:val="bottom"/>
          </w:tcPr>
          <w:p>
            <w:pPr>
              <w:jc w:val="center"/>
              <w:ind w:left="169"/>
              <w:spacing w:after="0"/>
              <w:rPr>
                <w:sz w:val="20"/>
                <w:szCs w:val="20"/>
                <w:color w:val="auto"/>
              </w:rPr>
            </w:pPr>
            <w:r>
              <w:rPr>
                <w:rFonts w:ascii="Arial" w:cs="Arial" w:eastAsia="Arial" w:hAnsi="Arial"/>
                <w:sz w:val="14"/>
                <w:szCs w:val="14"/>
                <w:color w:val="auto"/>
              </w:rPr>
              <w:t>SRE2026</w:t>
            </w:r>
          </w:p>
        </w:tc>
      </w:tr>
      <w:tr>
        <w:trPr>
          <w:trHeight w:val="128"/>
        </w:trPr>
        <w:tc>
          <w:tcPr>
            <w:tcW w:w="2800" w:type="dxa"/>
            <w:vAlign w:val="bottom"/>
            <w:tcBorders>
              <w:bottom w:val="single" w:sz="8" w:color="005CB9"/>
            </w:tcBorders>
          </w:tcPr>
          <w:p>
            <w:pPr>
              <w:spacing w:after="0"/>
              <w:rPr>
                <w:sz w:val="11"/>
                <w:szCs w:val="11"/>
                <w:color w:val="auto"/>
              </w:rPr>
            </w:pPr>
          </w:p>
        </w:tc>
        <w:tc>
          <w:tcPr>
            <w:tcW w:w="2560" w:type="dxa"/>
            <w:vAlign w:val="bottom"/>
            <w:tcBorders>
              <w:bottom w:val="single" w:sz="8" w:color="005CB9"/>
            </w:tcBorders>
          </w:tcPr>
          <w:p>
            <w:pPr>
              <w:spacing w:after="0"/>
              <w:rPr>
                <w:sz w:val="11"/>
                <w:szCs w:val="11"/>
                <w:color w:val="auto"/>
              </w:rPr>
            </w:pPr>
          </w:p>
        </w:tc>
        <w:tc>
          <w:tcPr>
            <w:tcW w:w="2720" w:type="dxa"/>
            <w:vAlign w:val="bottom"/>
            <w:tcBorders>
              <w:bottom w:val="single" w:sz="8" w:color="005CB9"/>
            </w:tcBorders>
          </w:tcPr>
          <w:p>
            <w:pPr>
              <w:spacing w:after="0"/>
              <w:rPr>
                <w:sz w:val="11"/>
                <w:szCs w:val="11"/>
                <w:color w:val="auto"/>
              </w:rPr>
            </w:pPr>
          </w:p>
        </w:tc>
        <w:tc>
          <w:tcPr>
            <w:tcW w:w="2840" w:type="dxa"/>
            <w:vAlign w:val="bottom"/>
            <w:tcBorders>
              <w:bottom w:val="single" w:sz="8" w:color="005CB9"/>
            </w:tcBorders>
          </w:tcPr>
          <w:p>
            <w:pPr>
              <w:spacing w:after="0"/>
              <w:rPr>
                <w:sz w:val="11"/>
                <w:szCs w:val="11"/>
                <w:color w:val="auto"/>
              </w:rPr>
            </w:pPr>
          </w:p>
        </w:tc>
      </w:tr>
    </w:tbl>
    <w:p>
      <w:pPr>
        <w:spacing w:after="0" w:line="165" w:lineRule="exact"/>
        <w:rPr>
          <w:sz w:val="20"/>
          <w:szCs w:val="20"/>
          <w:color w:val="auto"/>
        </w:rPr>
      </w:pPr>
    </w:p>
    <w:p>
      <w:pPr>
        <w:ind w:left="160" w:right="120"/>
        <w:spacing w:after="0" w:line="260" w:lineRule="auto"/>
        <w:rPr>
          <w:sz w:val="20"/>
          <w:szCs w:val="20"/>
          <w:color w:val="auto"/>
        </w:rPr>
      </w:pPr>
      <w:r>
        <w:rPr>
          <w:rFonts w:ascii="Arial" w:cs="Arial" w:eastAsia="Arial" w:hAnsi="Arial"/>
          <w:sz w:val="14"/>
          <w:szCs w:val="14"/>
          <w:color w:val="auto"/>
        </w:rPr>
        <w:t>For Internet and telephone voting in advance of the meeting, you will need to have your notice about the Internet availability of our proxy materials or proxy card available and use the company number and account number shown on the notice and card. Internet and telephone voting in advance of the meeting are available for shareholders of record until 11:59 p.m. Eastern Time on May 11, 2026.</w:t>
      </w:r>
    </w:p>
    <w:p>
      <w:pPr>
        <w:spacing w:after="0" w:line="65"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b w:val="1"/>
          <w:bCs w:val="1"/>
          <w:color w:val="auto"/>
        </w:rPr>
        <w:t xml:space="preserve">Voting By Other Shareholders: </w:t>
      </w:r>
      <w:r>
        <w:rPr>
          <w:rFonts w:ascii="Arial" w:cs="Arial" w:eastAsia="Arial" w:hAnsi="Arial"/>
          <w:sz w:val="14"/>
          <w:szCs w:val="14"/>
          <w:color w:val="auto"/>
        </w:rPr>
        <w:t>Beneficial owners of shares should follow the voting instructions provided by their bank, broker or other nominee. If you hold shares in any</w:t>
      </w:r>
      <w:r>
        <w:rPr>
          <w:rFonts w:ascii="Arial" w:cs="Arial" w:eastAsia="Arial" w:hAnsi="Arial"/>
          <w:sz w:val="14"/>
          <w:szCs w:val="14"/>
          <w:b w:val="1"/>
          <w:bCs w:val="1"/>
          <w:color w:val="auto"/>
        </w:rPr>
        <w:t xml:space="preserve"> </w:t>
      </w:r>
      <w:r>
        <w:rPr>
          <w:rFonts w:ascii="Arial" w:cs="Arial" w:eastAsia="Arial" w:hAnsi="Arial"/>
          <w:sz w:val="14"/>
          <w:szCs w:val="14"/>
          <w:color w:val="auto"/>
        </w:rPr>
        <w:t>of the Employee Savings Plans, as defined in Question 12 under “About the Annual Shareholders Meeting and Voting” below, your voting instructions with respect to such shares must be received by 8 a.m. Eastern Time on May 7, 2026 for the trustee of the plans to vote your shares in accordance with your instructions. See Question 12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211455</wp:posOffset>
            </wp:positionV>
            <wp:extent cx="739140" cy="153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7</w:t>
      </w:r>
    </w:p>
    <w:p>
      <w:pPr>
        <w:sectPr>
          <w:pgSz w:w="11900" w:h="16838" w:orient="portrait"/>
          <w:cols w:equalWidth="0" w:num="1">
            <w:col w:w="11080"/>
          </w:cols>
          <w:pgMar w:left="320" w:top="478"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Corporate Governance</w:t>
      </w:r>
    </w:p>
    <w:p>
      <w:pPr>
        <w:spacing w:after="0" w:line="349" w:lineRule="exact"/>
        <w:rPr>
          <w:sz w:val="20"/>
          <w:szCs w:val="20"/>
          <w:color w:val="auto"/>
        </w:rPr>
      </w:pPr>
    </w:p>
    <w:p>
      <w:pPr>
        <w:ind w:left="160" w:right="120"/>
        <w:spacing w:after="0" w:line="253" w:lineRule="auto"/>
        <w:rPr>
          <w:sz w:val="20"/>
          <w:szCs w:val="20"/>
          <w:color w:val="auto"/>
        </w:rPr>
      </w:pPr>
      <w:r>
        <w:rPr>
          <w:rFonts w:ascii="Arial" w:cs="Arial" w:eastAsia="Arial" w:hAnsi="Arial"/>
          <w:sz w:val="14"/>
          <w:szCs w:val="14"/>
          <w:color w:val="auto"/>
        </w:rPr>
        <w:t>Generally, our business and affairs are managed and all corporate powers are exercised by or under the direction of our Board of Directors. Several standing and ad hoc committees assist the board in carrying out its responsibilities, and each standing committee operates under a written charter adopted by the board. Under our shared governance model, the board and its committees establish fundamental corporate policies and oversee the performance of the company as well as our Chairman and Chief Executive Officer and the other officers to whom the board has delegated authority to manage our day-to-day business operations.</w:t>
      </w:r>
    </w:p>
    <w:p>
      <w:pPr>
        <w:spacing w:after="0" w:line="70" w:lineRule="exact"/>
        <w:rPr>
          <w:sz w:val="20"/>
          <w:szCs w:val="20"/>
          <w:color w:val="auto"/>
        </w:rPr>
      </w:pPr>
    </w:p>
    <w:p>
      <w:pPr>
        <w:ind w:left="160" w:right="20"/>
        <w:spacing w:after="0" w:line="242" w:lineRule="auto"/>
        <w:rPr>
          <w:sz w:val="20"/>
          <w:szCs w:val="20"/>
          <w:color w:val="auto"/>
        </w:rPr>
      </w:pPr>
      <w:r>
        <w:rPr>
          <w:rFonts w:ascii="Arial" w:cs="Arial" w:eastAsia="Arial" w:hAnsi="Arial"/>
          <w:sz w:val="14"/>
          <w:szCs w:val="14"/>
          <w:color w:val="auto"/>
        </w:rPr>
        <w:t>The board has adopted Corporate Governance Guidelines that set forth expectations for director performance, director independence standards, board committee structure and functions, and other policies for the company’s governance. It also has adopted a Code of Business Conduct and Ethics for Directors and Principal and Executive Officers, which applies to (i) each member of the Board of Directors of Sempra, (ii) the principal executive, financial and accounting officers (or persons performing similar functions) of Sempra and Sempra’s two subsidiaries with U.S. publicly traded securities, San Diego Gas &amp; Electric Company (SDG&amp;E) and Southern California Gas Company (SoCalGas), and (iii) all other executive officers of Sempra. We also have a Code of Business Conduct that applies to all employees of Sempra and any subsidiary or other entity as to which Sempra has majority ownership and control. These codes of conduct establish important standards that underpin our business practices, including for honest and ethical conduct, safe and responsible actions, fair and accurate disclosures, and compliance with and accountability to applicable law and company policies. If we either (i) amend any provision of our Code of Business Conduct and Ethics for Directors and Principal and Executive Officers in a way that relates to any element of the code of ethics definition in Item 406(b) of U.S. Securities and Exchange Commission (SEC) Regulation S-K or (ii) grant our principal executive, financial, or accounting officer or controller an explicit or implicit waiver from any provision of our Code of Business Conduct and Ethics for Directors and Principal and Executive Officers and the waiver relates to any element of the code of ethics definition in Item 406(b) of SEC Regulation S-K, then we will describe the date and nature of the amendment or waiver on our website under the “Corporate governance” tab of the “Investors” tab and, if applicable, identify the recipient of the waiver. If we do not make this disclosure on our website, we will include it in a current report on Form 8-K filed with the SEC.</w:t>
      </w:r>
    </w:p>
    <w:p>
      <w:pPr>
        <w:spacing w:after="0" w:line="83" w:lineRule="exact"/>
        <w:rPr>
          <w:sz w:val="20"/>
          <w:szCs w:val="20"/>
          <w:color w:val="auto"/>
        </w:rPr>
      </w:pPr>
    </w:p>
    <w:p>
      <w:pPr>
        <w:ind w:left="160" w:right="100"/>
        <w:spacing w:after="0" w:line="253" w:lineRule="auto"/>
        <w:rPr>
          <w:sz w:val="20"/>
          <w:szCs w:val="20"/>
          <w:color w:val="auto"/>
        </w:rPr>
      </w:pPr>
      <w:r>
        <w:rPr>
          <w:rFonts w:ascii="Arial" w:cs="Arial" w:eastAsia="Arial" w:hAnsi="Arial"/>
          <w:sz w:val="14"/>
          <w:szCs w:val="14"/>
          <w:color w:val="auto"/>
        </w:rPr>
        <w:t>Our Corporate Governance Guidelines, standing committee charters, including our Audit, Compensation and Talent Development and Corporate Governance Committee charters, Code of Business Conduct and Ethics for Directors and Principal and Executive Officers and Code of Business Conduct applicable to all employees, are all posted on our website at www.sempra.com under the “Corporate governance” tab of the “Investors” tab. Paper copies may be obtained upon request by writing to the attention of our Corporate Secretary at Sempra’s principal executive offices at 488 8th Avenue, San Diego, California 92101.</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Board of Directors</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Functions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addition to its general oversight role, our Board of Directors performs a number of specific functions, including, among others:</w:t>
      </w:r>
    </w:p>
    <w:p>
      <w:pPr>
        <w:sectPr>
          <w:pgSz w:w="11900" w:h="16838" w:orient="portrait"/>
          <w:cols w:equalWidth="0" w:num="1">
            <w:col w:w="11080"/>
          </w:cols>
          <w:pgMar w:left="320" w:top="478" w:right="499" w:bottom="1440" w:gutter="0" w:footer="0" w:header="0"/>
        </w:sectPr>
      </w:pPr>
    </w:p>
    <w:p>
      <w:pPr>
        <w:spacing w:after="0" w:line="173" w:lineRule="exact"/>
        <w:rPr>
          <w:sz w:val="20"/>
          <w:szCs w:val="20"/>
          <w:color w:val="auto"/>
        </w:rPr>
      </w:pPr>
    </w:p>
    <w:p>
      <w:pPr>
        <w:ind w:left="620" w:right="680" w:hanging="239"/>
        <w:spacing w:after="0" w:line="280" w:lineRule="auto"/>
        <w:tabs>
          <w:tab w:leader="none" w:pos="620" w:val="left"/>
        </w:tabs>
        <w:numPr>
          <w:ilvl w:val="0"/>
          <w:numId w:val="23"/>
        </w:numPr>
        <w:rPr>
          <w:rFonts w:ascii="Times New Roman" w:cs="Times New Roman" w:eastAsia="Times New Roman" w:hAnsi="Times New Roman"/>
          <w:sz w:val="14"/>
          <w:szCs w:val="14"/>
          <w:color w:val="005CB9"/>
        </w:rPr>
      </w:pPr>
      <w:r>
        <w:rPr>
          <w:rFonts w:ascii="Arial" w:cs="Arial" w:eastAsia="Arial" w:hAnsi="Arial"/>
          <w:sz w:val="14"/>
          <w:szCs w:val="14"/>
          <w:color w:val="auto"/>
        </w:rPr>
        <w:t>Selecting our Chief Executive Officer and overseeing his or her performance and that of other senior management</w:t>
      </w:r>
    </w:p>
    <w:p>
      <w:pPr>
        <w:spacing w:after="0" w:line="64" w:lineRule="exact"/>
        <w:rPr>
          <w:rFonts w:ascii="Times New Roman" w:cs="Times New Roman" w:eastAsia="Times New Roman" w:hAnsi="Times New Roman"/>
          <w:sz w:val="14"/>
          <w:szCs w:val="14"/>
          <w:color w:val="005CB9"/>
        </w:rPr>
      </w:pPr>
    </w:p>
    <w:p>
      <w:pPr>
        <w:ind w:left="620" w:hanging="239"/>
        <w:spacing w:after="0"/>
        <w:tabs>
          <w:tab w:leader="none" w:pos="620" w:val="left"/>
        </w:tabs>
        <w:numPr>
          <w:ilvl w:val="0"/>
          <w:numId w:val="23"/>
        </w:numPr>
        <w:rPr>
          <w:rFonts w:ascii="Times New Roman" w:cs="Times New Roman" w:eastAsia="Times New Roman" w:hAnsi="Times New Roman"/>
          <w:sz w:val="14"/>
          <w:szCs w:val="14"/>
          <w:color w:val="005CB9"/>
        </w:rPr>
      </w:pPr>
      <w:r>
        <w:rPr>
          <w:rFonts w:ascii="Arial" w:cs="Arial" w:eastAsia="Arial" w:hAnsi="Arial"/>
          <w:sz w:val="14"/>
          <w:szCs w:val="14"/>
          <w:color w:val="auto"/>
        </w:rPr>
        <w:t>Planning for management succession</w:t>
      </w:r>
    </w:p>
    <w:p>
      <w:pPr>
        <w:spacing w:after="0" w:line="119" w:lineRule="exact"/>
        <w:rPr>
          <w:rFonts w:ascii="Times New Roman" w:cs="Times New Roman" w:eastAsia="Times New Roman" w:hAnsi="Times New Roman"/>
          <w:sz w:val="14"/>
          <w:szCs w:val="14"/>
          <w:color w:val="005CB9"/>
        </w:rPr>
      </w:pPr>
    </w:p>
    <w:p>
      <w:pPr>
        <w:ind w:left="620" w:right="240" w:hanging="239"/>
        <w:spacing w:after="0" w:line="280" w:lineRule="auto"/>
        <w:tabs>
          <w:tab w:leader="none" w:pos="620" w:val="left"/>
        </w:tabs>
        <w:numPr>
          <w:ilvl w:val="0"/>
          <w:numId w:val="23"/>
        </w:numPr>
        <w:rPr>
          <w:rFonts w:ascii="Times New Roman" w:cs="Times New Roman" w:eastAsia="Times New Roman" w:hAnsi="Times New Roman"/>
          <w:sz w:val="14"/>
          <w:szCs w:val="14"/>
          <w:color w:val="005CB9"/>
        </w:rPr>
      </w:pPr>
      <w:r>
        <w:rPr>
          <w:rFonts w:ascii="Arial" w:cs="Arial" w:eastAsia="Arial" w:hAnsi="Arial"/>
          <w:sz w:val="14"/>
          <w:szCs w:val="14"/>
          <w:color w:val="auto"/>
        </w:rPr>
        <w:t>Reviewing and monitoring strategic, financial and operating plans and budgets and their development and implementation by management</w:t>
      </w:r>
    </w:p>
    <w:p>
      <w:pPr>
        <w:spacing w:after="0" w:line="64" w:lineRule="exact"/>
        <w:rPr>
          <w:rFonts w:ascii="Times New Roman" w:cs="Times New Roman" w:eastAsia="Times New Roman" w:hAnsi="Times New Roman"/>
          <w:sz w:val="14"/>
          <w:szCs w:val="14"/>
          <w:color w:val="005CB9"/>
        </w:rPr>
      </w:pPr>
    </w:p>
    <w:p>
      <w:pPr>
        <w:ind w:left="620" w:hanging="239"/>
        <w:spacing w:after="0" w:line="280" w:lineRule="auto"/>
        <w:tabs>
          <w:tab w:leader="none" w:pos="620" w:val="left"/>
        </w:tabs>
        <w:numPr>
          <w:ilvl w:val="0"/>
          <w:numId w:val="23"/>
        </w:numPr>
        <w:rPr>
          <w:rFonts w:ascii="Times New Roman" w:cs="Times New Roman" w:eastAsia="Times New Roman" w:hAnsi="Times New Roman"/>
          <w:sz w:val="14"/>
          <w:szCs w:val="14"/>
          <w:color w:val="005CB9"/>
        </w:rPr>
      </w:pPr>
      <w:r>
        <w:rPr>
          <w:rFonts w:ascii="Arial" w:cs="Arial" w:eastAsia="Arial" w:hAnsi="Arial"/>
          <w:sz w:val="14"/>
          <w:szCs w:val="14"/>
          <w:color w:val="auto"/>
        </w:rPr>
        <w:t>Assessing and monitoring risks to the company’s business and evaluating and overseeing risk management strategies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33" w:hanging="233"/>
        <w:spacing w:after="0"/>
        <w:tabs>
          <w:tab w:leader="none" w:pos="233" w:val="left"/>
        </w:tabs>
        <w:numPr>
          <w:ilvl w:val="0"/>
          <w:numId w:val="24"/>
        </w:numPr>
        <w:rPr>
          <w:rFonts w:ascii="Times New Roman" w:cs="Times New Roman" w:eastAsia="Times New Roman" w:hAnsi="Times New Roman"/>
          <w:sz w:val="14"/>
          <w:szCs w:val="14"/>
          <w:color w:val="005CB9"/>
        </w:rPr>
      </w:pPr>
      <w:r>
        <w:rPr>
          <w:rFonts w:ascii="Arial" w:cs="Arial" w:eastAsia="Arial" w:hAnsi="Arial"/>
          <w:sz w:val="14"/>
          <w:szCs w:val="14"/>
          <w:color w:val="auto"/>
        </w:rPr>
        <w:t>Reviewing and approving significant corporate actions</w:t>
      </w:r>
    </w:p>
    <w:p>
      <w:pPr>
        <w:spacing w:after="0" w:line="119" w:lineRule="exact"/>
        <w:rPr>
          <w:rFonts w:ascii="Times New Roman" w:cs="Times New Roman" w:eastAsia="Times New Roman" w:hAnsi="Times New Roman"/>
          <w:sz w:val="14"/>
          <w:szCs w:val="14"/>
          <w:color w:val="005CB9"/>
        </w:rPr>
      </w:pPr>
    </w:p>
    <w:p>
      <w:pPr>
        <w:ind w:left="233" w:right="80" w:hanging="233"/>
        <w:spacing w:after="0" w:line="252" w:lineRule="auto"/>
        <w:tabs>
          <w:tab w:leader="none" w:pos="233" w:val="left"/>
        </w:tabs>
        <w:numPr>
          <w:ilvl w:val="0"/>
          <w:numId w:val="24"/>
        </w:numPr>
        <w:rPr>
          <w:rFonts w:ascii="Times New Roman" w:cs="Times New Roman" w:eastAsia="Times New Roman" w:hAnsi="Times New Roman"/>
          <w:sz w:val="14"/>
          <w:szCs w:val="14"/>
          <w:color w:val="005CB9"/>
        </w:rPr>
      </w:pPr>
      <w:r>
        <w:rPr>
          <w:rFonts w:ascii="Arial" w:cs="Arial" w:eastAsia="Arial" w:hAnsi="Arial"/>
          <w:sz w:val="14"/>
          <w:szCs w:val="14"/>
          <w:color w:val="auto"/>
        </w:rPr>
        <w:t>Fostering the company’s values-driven culture and reviewing and monitoring processes designed to maintain the company’s integrity, including financial statements, compliance with law and ethics, and relationships with shareholders, employees, customers, suppliers and other stakeholders</w:t>
      </w:r>
    </w:p>
    <w:p>
      <w:pPr>
        <w:spacing w:after="0" w:line="85" w:lineRule="exact"/>
        <w:rPr>
          <w:rFonts w:ascii="Times New Roman" w:cs="Times New Roman" w:eastAsia="Times New Roman" w:hAnsi="Times New Roman"/>
          <w:sz w:val="14"/>
          <w:szCs w:val="14"/>
          <w:color w:val="005CB9"/>
        </w:rPr>
      </w:pPr>
    </w:p>
    <w:p>
      <w:pPr>
        <w:ind w:left="233" w:right="440" w:hanging="233"/>
        <w:spacing w:after="0" w:line="280" w:lineRule="auto"/>
        <w:tabs>
          <w:tab w:leader="none" w:pos="233" w:val="left"/>
        </w:tabs>
        <w:numPr>
          <w:ilvl w:val="0"/>
          <w:numId w:val="24"/>
        </w:numPr>
        <w:rPr>
          <w:rFonts w:ascii="Times New Roman" w:cs="Times New Roman" w:eastAsia="Times New Roman" w:hAnsi="Times New Roman"/>
          <w:sz w:val="14"/>
          <w:szCs w:val="14"/>
          <w:color w:val="005CB9"/>
        </w:rPr>
      </w:pPr>
      <w:r>
        <w:rPr>
          <w:rFonts w:ascii="Arial" w:cs="Arial" w:eastAsia="Arial" w:hAnsi="Arial"/>
          <w:sz w:val="14"/>
          <w:szCs w:val="14"/>
          <w:color w:val="auto"/>
        </w:rPr>
        <w:t>Nominating directors, evaluating board effectiveness, appointing board committee members and overseeing effective corporate governance</w:t>
      </w:r>
    </w:p>
    <w:p>
      <w:pPr>
        <w:spacing w:after="0" w:line="320" w:lineRule="exact"/>
        <w:rPr>
          <w:sz w:val="20"/>
          <w:szCs w:val="20"/>
          <w:color w:val="auto"/>
        </w:rPr>
      </w:pPr>
    </w:p>
    <w:p>
      <w:pPr>
        <w:sectPr>
          <w:pgSz w:w="11900" w:h="16838" w:orient="portrait"/>
          <w:cols w:equalWidth="0" w:num="2">
            <w:col w:w="5260" w:space="687"/>
            <w:col w:w="5133"/>
          </w:cols>
          <w:pgMar w:left="320" w:top="478" w:right="499" w:bottom="1440" w:gutter="0" w:footer="0" w:header="0"/>
          <w:type w:val="continuous"/>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Leadership Structure</w:t>
      </w:r>
    </w:p>
    <w:p>
      <w:pPr>
        <w:spacing w:after="0" w:line="129" w:lineRule="exact"/>
        <w:rPr>
          <w:sz w:val="20"/>
          <w:szCs w:val="20"/>
          <w:color w:val="auto"/>
        </w:rPr>
      </w:pPr>
    </w:p>
    <w:p>
      <w:pPr>
        <w:jc w:val="both"/>
        <w:ind w:left="160" w:right="380"/>
        <w:spacing w:after="0" w:line="260" w:lineRule="auto"/>
        <w:rPr>
          <w:sz w:val="20"/>
          <w:szCs w:val="20"/>
          <w:color w:val="auto"/>
        </w:rPr>
      </w:pPr>
      <w:r>
        <w:rPr>
          <w:rFonts w:ascii="Arial" w:cs="Arial" w:eastAsia="Arial" w:hAnsi="Arial"/>
          <w:sz w:val="14"/>
          <w:szCs w:val="14"/>
          <w:color w:val="auto"/>
        </w:rPr>
        <w:t>The board is led by the Chairman of the Board, a role that under our Corporate Governance Guidelines must, under certain circumstances, be accompanied by a Lead Independent Director with a comprehensive set of responsibilities. Our current board leadership structure includes our Chairman and Chief Executive Officer, Jeffrey W. Martin, and our Lead Independent Director, Cynthia J. Warner.</w:t>
      </w:r>
    </w:p>
    <w:p>
      <w:pPr>
        <w:spacing w:after="0" w:line="65" w:lineRule="exact"/>
        <w:rPr>
          <w:sz w:val="20"/>
          <w:szCs w:val="20"/>
          <w:color w:val="auto"/>
        </w:rPr>
      </w:pPr>
    </w:p>
    <w:p>
      <w:pPr>
        <w:ind w:left="160"/>
        <w:spacing w:after="0" w:line="246" w:lineRule="auto"/>
        <w:rPr>
          <w:sz w:val="20"/>
          <w:szCs w:val="20"/>
          <w:color w:val="auto"/>
        </w:rPr>
      </w:pPr>
      <w:r>
        <w:rPr>
          <w:rFonts w:ascii="Arial" w:cs="Arial" w:eastAsia="Arial" w:hAnsi="Arial"/>
          <w:sz w:val="14"/>
          <w:szCs w:val="14"/>
          <w:color w:val="auto"/>
        </w:rPr>
        <w:t>The Board of Directors retains the flexibility to periodically determine the board leadership structure that is in the best interest of our company and our shareholders. This flexibility permits the board to organize its functions and conduct its business in a manner it deems most effective under then-prevailing circumstances and to select the individual it considers to be best suited to serve as Chairman of the Board at any particular time. The non-management directors have historically evaluated the board’s leadership structure on an annual basis and expect to continue to do so, and their board leadership decisions are made based on their determination of the optimal leadership structure at the time. As part of its annual evaluation of its leadership structure, the board conducts a comprehensive review of the company’s performance. It also thoroughly evaluates the role of the company’s independent directors and the composition of the board as a whole. This process includes extensive shareholder engagement and thoughtful consideration of how different leadership structures might enhance 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95885</wp:posOffset>
            </wp:positionV>
            <wp:extent cx="6929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8              </w:t>
      </w:r>
      <w:r>
        <w:rPr>
          <w:sz w:val="1"/>
          <w:szCs w:val="1"/>
          <w:color w:val="auto"/>
        </w:rPr>
        <w:drawing>
          <wp:inline distT="0" distB="0" distL="0" distR="0">
            <wp:extent cx="739140" cy="15303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920"/>
        <w:spacing w:after="0"/>
        <w:rPr>
          <w:sz w:val="20"/>
          <w:szCs w:val="20"/>
          <w:color w:val="auto"/>
        </w:rPr>
      </w:pPr>
      <w:r>
        <w:rPr>
          <w:rFonts w:ascii="Arial" w:cs="Arial" w:eastAsia="Arial" w:hAnsi="Arial"/>
          <w:sz w:val="10"/>
          <w:szCs w:val="10"/>
          <w:b w:val="1"/>
          <w:bCs w:val="1"/>
          <w:color w:val="7F7F7F"/>
        </w:rPr>
        <w:t>Corporate Governance</w:t>
      </w:r>
    </w:p>
    <w:p>
      <w:pPr>
        <w:spacing w:after="0" w:line="156" w:lineRule="exact"/>
        <w:rPr>
          <w:sz w:val="20"/>
          <w:szCs w:val="20"/>
          <w:color w:val="auto"/>
        </w:rPr>
      </w:pPr>
    </w:p>
    <w:p>
      <w:pPr>
        <w:ind w:left="160" w:right="80"/>
        <w:spacing w:after="0" w:line="247" w:lineRule="auto"/>
        <w:rPr>
          <w:sz w:val="20"/>
          <w:szCs w:val="20"/>
          <w:color w:val="auto"/>
        </w:rPr>
      </w:pPr>
      <w:r>
        <w:rPr>
          <w:rFonts w:ascii="Arial" w:cs="Arial" w:eastAsia="Arial" w:hAnsi="Arial"/>
          <w:sz w:val="14"/>
          <w:szCs w:val="14"/>
          <w:color w:val="auto"/>
        </w:rPr>
        <w:t>During periods in which we do not have an independent Chairman of the Board, our Corporate Governance Guidelines require the independent directors to select annually an independent director to serve as the Lead Independent Director. If a Lead Independent Director is appointed, the role has broad powers and responsibilities as described below. The role of the Lead Independent Director is intended to expand lines of communication between the board and members of management, and it is not intended to reduce the free and open access and communications that each director has with other directors and members of management. As part of its annual review of the board’s leadership structure, the board evaluates the effectiveness of acting board leaders, including the Chairman of the Board and, if one has been appointed, the Lead Independent Director, in fulfilling their respective responsibilities, as well as the level of leadership provided by the Lead Independent Director role.</w:t>
      </w:r>
    </w:p>
    <w:p>
      <w:pPr>
        <w:spacing w:after="0" w:line="76" w:lineRule="exact"/>
        <w:rPr>
          <w:sz w:val="20"/>
          <w:szCs w:val="20"/>
          <w:color w:val="auto"/>
        </w:rPr>
      </w:pPr>
    </w:p>
    <w:p>
      <w:pPr>
        <w:ind w:left="160" w:right="80"/>
        <w:spacing w:after="0" w:line="249" w:lineRule="auto"/>
        <w:rPr>
          <w:sz w:val="20"/>
          <w:szCs w:val="20"/>
          <w:color w:val="auto"/>
        </w:rPr>
      </w:pPr>
      <w:r>
        <w:rPr>
          <w:rFonts w:ascii="Arial" w:cs="Arial" w:eastAsia="Arial" w:hAnsi="Arial"/>
          <w:sz w:val="14"/>
          <w:szCs w:val="14"/>
          <w:color w:val="auto"/>
        </w:rPr>
        <w:t>Each year since the initial appointment of Mr. Martin to the Chairman and Chief Executive Officer roles in 2018, the non-management directors have considered Mr. Martin’s particular qualifications, including his leadership as a long-tenured employee of the Sempra family of companies, as well as his resulting comprehensive understanding of utility regulation and the various other key factors that impact our businesses. In addition, the non-management directors have carefully evaluated Mr. Martin’s contributions as a director, performance as Chairman of the Board and significant accumulated experience since his appointment to each of these roles. During this time, Mr. Martin has contributed valuable perspectives to the board on, among other topics, strategy, business development, mergers and acquisitions, investor relations and financing activities.</w:t>
      </w:r>
    </w:p>
    <w:p>
      <w:pPr>
        <w:spacing w:after="0" w:line="74" w:lineRule="exact"/>
        <w:rPr>
          <w:sz w:val="20"/>
          <w:szCs w:val="20"/>
          <w:color w:val="auto"/>
        </w:rPr>
      </w:pPr>
    </w:p>
    <w:p>
      <w:pPr>
        <w:ind w:left="160" w:right="120"/>
        <w:spacing w:after="0" w:line="249" w:lineRule="auto"/>
        <w:rPr>
          <w:sz w:val="20"/>
          <w:szCs w:val="20"/>
          <w:color w:val="auto"/>
        </w:rPr>
      </w:pPr>
      <w:r>
        <w:rPr>
          <w:rFonts w:ascii="Arial" w:cs="Arial" w:eastAsia="Arial" w:hAnsi="Arial"/>
          <w:sz w:val="14"/>
          <w:szCs w:val="14"/>
          <w:color w:val="auto"/>
        </w:rPr>
        <w:t>Ms. Warner, who has been a director since 2019, was appointed as the Lead Independent Director immediately following our 2022 annual shareholders meeting. Each year since her initial appointment to this role, the independent directors have considered Ms. Warner’s relevant qualifications, including her decades of experience in the global energy industry and her related government service. The independent directors also have assessed her performance as Lead Independent Director and her many other contributions to the board, including her deep insights on state and federal regulatory matters pertinent to our business strategy and her perspectives on developments related to clean and renewable energy.</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Our robust Lead Independent Director role includes the following functions and responsibilities:</w:t>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ind w:left="620" w:right="40" w:hanging="239"/>
        <w:spacing w:after="0" w:line="252" w:lineRule="auto"/>
        <w:tabs>
          <w:tab w:leader="none" w:pos="620" w:val="left"/>
        </w:tabs>
        <w:numPr>
          <w:ilvl w:val="0"/>
          <w:numId w:val="25"/>
        </w:numPr>
        <w:rPr>
          <w:rFonts w:ascii="Times New Roman" w:cs="Times New Roman" w:eastAsia="Times New Roman" w:hAnsi="Times New Roman"/>
          <w:sz w:val="14"/>
          <w:szCs w:val="14"/>
          <w:color w:val="005CB9"/>
        </w:rPr>
      </w:pPr>
      <w:r>
        <w:rPr>
          <w:rFonts w:ascii="Arial" w:cs="Arial" w:eastAsia="Arial" w:hAnsi="Arial"/>
          <w:sz w:val="14"/>
          <w:szCs w:val="14"/>
          <w:color w:val="auto"/>
        </w:rPr>
        <w:t>Provide leadership to the Board of Directors if circumstances arise in which the role of the Chairman of the Board may be, or may be perceived by the Lead Independent Director or by the other independent directors to be, in conflict</w:t>
      </w:r>
    </w:p>
    <w:p>
      <w:pPr>
        <w:spacing w:after="0" w:line="85" w:lineRule="exact"/>
        <w:rPr>
          <w:rFonts w:ascii="Times New Roman" w:cs="Times New Roman" w:eastAsia="Times New Roman" w:hAnsi="Times New Roman"/>
          <w:sz w:val="14"/>
          <w:szCs w:val="14"/>
          <w:color w:val="005CB9"/>
        </w:rPr>
      </w:pPr>
    </w:p>
    <w:p>
      <w:pPr>
        <w:ind w:left="620" w:right="140" w:hanging="239"/>
        <w:spacing w:after="0" w:line="280" w:lineRule="auto"/>
        <w:tabs>
          <w:tab w:leader="none" w:pos="620" w:val="left"/>
        </w:tabs>
        <w:numPr>
          <w:ilvl w:val="0"/>
          <w:numId w:val="25"/>
        </w:numPr>
        <w:rPr>
          <w:rFonts w:ascii="Times New Roman" w:cs="Times New Roman" w:eastAsia="Times New Roman" w:hAnsi="Times New Roman"/>
          <w:sz w:val="14"/>
          <w:szCs w:val="14"/>
          <w:color w:val="005CB9"/>
        </w:rPr>
      </w:pPr>
      <w:r>
        <w:rPr>
          <w:rFonts w:ascii="Arial" w:cs="Arial" w:eastAsia="Arial" w:hAnsi="Arial"/>
          <w:sz w:val="14"/>
          <w:szCs w:val="14"/>
          <w:color w:val="auto"/>
        </w:rPr>
        <w:t>Preside at all meetings of the Board of Directors at which the Chairman of the Board is not available</w:t>
      </w:r>
    </w:p>
    <w:p>
      <w:pPr>
        <w:spacing w:after="0" w:line="64" w:lineRule="exact"/>
        <w:rPr>
          <w:rFonts w:ascii="Times New Roman" w:cs="Times New Roman" w:eastAsia="Times New Roman" w:hAnsi="Times New Roman"/>
          <w:sz w:val="14"/>
          <w:szCs w:val="14"/>
          <w:color w:val="005CB9"/>
        </w:rPr>
      </w:pPr>
    </w:p>
    <w:p>
      <w:pPr>
        <w:ind w:left="620" w:right="40" w:hanging="239"/>
        <w:spacing w:after="0" w:line="252" w:lineRule="auto"/>
        <w:tabs>
          <w:tab w:leader="none" w:pos="620" w:val="left"/>
        </w:tabs>
        <w:numPr>
          <w:ilvl w:val="0"/>
          <w:numId w:val="25"/>
        </w:numPr>
        <w:rPr>
          <w:rFonts w:ascii="Times New Roman" w:cs="Times New Roman" w:eastAsia="Times New Roman" w:hAnsi="Times New Roman"/>
          <w:sz w:val="14"/>
          <w:szCs w:val="14"/>
          <w:color w:val="005CB9"/>
        </w:rPr>
      </w:pPr>
      <w:r>
        <w:rPr>
          <w:rFonts w:ascii="Arial" w:cs="Arial" w:eastAsia="Arial" w:hAnsi="Arial"/>
          <w:sz w:val="14"/>
          <w:szCs w:val="14"/>
          <w:color w:val="auto"/>
        </w:rPr>
        <w:t>Organize, convene and preside over executive sessions of the non-management directors. The Lead Independent Director also holds an executive session with only the independent directors present at least once annually and more frequently as needed.</w:t>
      </w:r>
    </w:p>
    <w:p>
      <w:pPr>
        <w:spacing w:after="0" w:line="85" w:lineRule="exact"/>
        <w:rPr>
          <w:rFonts w:ascii="Times New Roman" w:cs="Times New Roman" w:eastAsia="Times New Roman" w:hAnsi="Times New Roman"/>
          <w:sz w:val="14"/>
          <w:szCs w:val="14"/>
          <w:color w:val="005CB9"/>
        </w:rPr>
      </w:pPr>
    </w:p>
    <w:p>
      <w:pPr>
        <w:ind w:left="620" w:right="380" w:hanging="239"/>
        <w:spacing w:after="0" w:line="280" w:lineRule="auto"/>
        <w:tabs>
          <w:tab w:leader="none" w:pos="620" w:val="left"/>
        </w:tabs>
        <w:numPr>
          <w:ilvl w:val="0"/>
          <w:numId w:val="25"/>
        </w:numPr>
        <w:rPr>
          <w:rFonts w:ascii="Times New Roman" w:cs="Times New Roman" w:eastAsia="Times New Roman" w:hAnsi="Times New Roman"/>
          <w:sz w:val="14"/>
          <w:szCs w:val="14"/>
          <w:color w:val="005CB9"/>
        </w:rPr>
      </w:pPr>
      <w:r>
        <w:rPr>
          <w:rFonts w:ascii="Arial" w:cs="Arial" w:eastAsia="Arial" w:hAnsi="Arial"/>
          <w:sz w:val="14"/>
          <w:szCs w:val="14"/>
          <w:color w:val="auto"/>
        </w:rPr>
        <w:t>Act as the principal liaison between the independent directors and the Chairman of the Board and Chief Executive Officer</w:t>
      </w:r>
    </w:p>
    <w:p>
      <w:pPr>
        <w:spacing w:after="0" w:line="64" w:lineRule="exact"/>
        <w:rPr>
          <w:rFonts w:ascii="Times New Roman" w:cs="Times New Roman" w:eastAsia="Times New Roman" w:hAnsi="Times New Roman"/>
          <w:sz w:val="14"/>
          <w:szCs w:val="14"/>
          <w:color w:val="005CB9"/>
        </w:rPr>
      </w:pPr>
    </w:p>
    <w:p>
      <w:pPr>
        <w:ind w:left="620" w:right="80" w:hanging="239"/>
        <w:spacing w:after="0" w:line="259" w:lineRule="auto"/>
        <w:tabs>
          <w:tab w:leader="none" w:pos="620" w:val="left"/>
        </w:tabs>
        <w:numPr>
          <w:ilvl w:val="0"/>
          <w:numId w:val="25"/>
        </w:numPr>
        <w:rPr>
          <w:rFonts w:ascii="Times New Roman" w:cs="Times New Roman" w:eastAsia="Times New Roman" w:hAnsi="Times New Roman"/>
          <w:sz w:val="14"/>
          <w:szCs w:val="14"/>
          <w:color w:val="005CB9"/>
        </w:rPr>
      </w:pPr>
      <w:r>
        <w:rPr>
          <w:rFonts w:ascii="Arial" w:cs="Arial" w:eastAsia="Arial" w:hAnsi="Arial"/>
          <w:sz w:val="14"/>
          <w:szCs w:val="14"/>
          <w:color w:val="auto"/>
        </w:rPr>
        <w:t>Review and approve all board and committee agendas and approve information sent to the board, providing input to management on the scope and quality of such information</w:t>
      </w:r>
    </w:p>
    <w:p>
      <w:pPr>
        <w:spacing w:after="0" w:line="79" w:lineRule="exact"/>
        <w:rPr>
          <w:rFonts w:ascii="Times New Roman" w:cs="Times New Roman" w:eastAsia="Times New Roman" w:hAnsi="Times New Roman"/>
          <w:sz w:val="14"/>
          <w:szCs w:val="14"/>
          <w:color w:val="005CB9"/>
        </w:rPr>
      </w:pPr>
    </w:p>
    <w:p>
      <w:pPr>
        <w:ind w:left="620" w:hanging="239"/>
        <w:spacing w:after="0" w:line="252" w:lineRule="auto"/>
        <w:tabs>
          <w:tab w:leader="none" w:pos="620" w:val="left"/>
        </w:tabs>
        <w:numPr>
          <w:ilvl w:val="0"/>
          <w:numId w:val="25"/>
        </w:numPr>
        <w:rPr>
          <w:rFonts w:ascii="Times New Roman" w:cs="Times New Roman" w:eastAsia="Times New Roman" w:hAnsi="Times New Roman"/>
          <w:sz w:val="14"/>
          <w:szCs w:val="14"/>
          <w:color w:val="005CB9"/>
        </w:rPr>
      </w:pPr>
      <w:r>
        <w:rPr>
          <w:rFonts w:ascii="Arial" w:cs="Arial" w:eastAsia="Arial" w:hAnsi="Arial"/>
          <w:sz w:val="14"/>
          <w:szCs w:val="14"/>
          <w:color w:val="auto"/>
        </w:rPr>
        <w:t>Consult with the Chairman of the Board, Chief Executive Officer and committee Chairs regarding the topics and schedules of the meetings of the board and its committees and approve such schedules to assure that there is sufficient time for discussion of all agenda items</w:t>
      </w:r>
    </w:p>
    <w:p>
      <w:pPr>
        <w:spacing w:after="0" w:line="85" w:lineRule="exact"/>
        <w:rPr>
          <w:rFonts w:ascii="Times New Roman" w:cs="Times New Roman" w:eastAsia="Times New Roman" w:hAnsi="Times New Roman"/>
          <w:sz w:val="14"/>
          <w:szCs w:val="14"/>
          <w:color w:val="005CB9"/>
        </w:rPr>
      </w:pPr>
    </w:p>
    <w:p>
      <w:pPr>
        <w:ind w:left="620" w:right="580" w:hanging="239"/>
        <w:spacing w:after="0" w:line="280" w:lineRule="auto"/>
        <w:tabs>
          <w:tab w:leader="none" w:pos="620" w:val="left"/>
        </w:tabs>
        <w:numPr>
          <w:ilvl w:val="0"/>
          <w:numId w:val="25"/>
        </w:numPr>
        <w:rPr>
          <w:rFonts w:ascii="Times New Roman" w:cs="Times New Roman" w:eastAsia="Times New Roman" w:hAnsi="Times New Roman"/>
          <w:sz w:val="14"/>
          <w:szCs w:val="14"/>
          <w:color w:val="005CB9"/>
        </w:rPr>
      </w:pPr>
      <w:r>
        <w:rPr>
          <w:rFonts w:ascii="Arial" w:cs="Arial" w:eastAsia="Arial" w:hAnsi="Arial"/>
          <w:sz w:val="14"/>
          <w:szCs w:val="14"/>
          <w:color w:val="auto"/>
        </w:rPr>
        <w:t>Call a special meeting of the Board of Directors or the independent directors at any time, at any place and for any purpose</w:t>
      </w:r>
    </w:p>
    <w:p>
      <w:pPr>
        <w:spacing w:after="0" w:line="64" w:lineRule="exact"/>
        <w:rPr>
          <w:rFonts w:ascii="Times New Roman" w:cs="Times New Roman" w:eastAsia="Times New Roman" w:hAnsi="Times New Roman"/>
          <w:sz w:val="14"/>
          <w:szCs w:val="14"/>
          <w:color w:val="005CB9"/>
        </w:rPr>
      </w:pPr>
    </w:p>
    <w:p>
      <w:pPr>
        <w:ind w:left="620" w:right="80" w:hanging="239"/>
        <w:spacing w:after="0" w:line="280" w:lineRule="auto"/>
        <w:tabs>
          <w:tab w:leader="none" w:pos="620" w:val="left"/>
        </w:tabs>
        <w:numPr>
          <w:ilvl w:val="0"/>
          <w:numId w:val="25"/>
        </w:numPr>
        <w:rPr>
          <w:rFonts w:ascii="Times New Roman" w:cs="Times New Roman" w:eastAsia="Times New Roman" w:hAnsi="Times New Roman"/>
          <w:sz w:val="14"/>
          <w:szCs w:val="14"/>
          <w:color w:val="005CB9"/>
        </w:rPr>
      </w:pPr>
      <w:r>
        <w:rPr>
          <w:rFonts w:ascii="Arial" w:cs="Arial" w:eastAsia="Arial" w:hAnsi="Arial"/>
          <w:sz w:val="14"/>
          <w:szCs w:val="14"/>
          <w:color w:val="auto"/>
        </w:rPr>
        <w:t>Be available for consultation and direct communication with the company’s major shareholders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33" w:right="200" w:hanging="233"/>
        <w:spacing w:after="0" w:line="259" w:lineRule="auto"/>
        <w:tabs>
          <w:tab w:leader="none" w:pos="233" w:val="left"/>
        </w:tabs>
        <w:numPr>
          <w:ilvl w:val="0"/>
          <w:numId w:val="26"/>
        </w:numPr>
        <w:rPr>
          <w:rFonts w:ascii="Times New Roman" w:cs="Times New Roman" w:eastAsia="Times New Roman" w:hAnsi="Times New Roman"/>
          <w:sz w:val="14"/>
          <w:szCs w:val="14"/>
          <w:color w:val="005CB9"/>
        </w:rPr>
      </w:pPr>
      <w:r>
        <w:rPr>
          <w:rFonts w:ascii="Arial" w:cs="Arial" w:eastAsia="Arial" w:hAnsi="Arial"/>
          <w:sz w:val="14"/>
          <w:szCs w:val="14"/>
          <w:color w:val="auto"/>
        </w:rPr>
        <w:t>In consultation with the Chief Executive Officer, assist the board, the Corporate Governance Committee and management in complying with the Corporate Governance Guidelines</w:t>
      </w:r>
    </w:p>
    <w:p>
      <w:pPr>
        <w:spacing w:after="0" w:line="79" w:lineRule="exact"/>
        <w:rPr>
          <w:rFonts w:ascii="Times New Roman" w:cs="Times New Roman" w:eastAsia="Times New Roman" w:hAnsi="Times New Roman"/>
          <w:sz w:val="14"/>
          <w:szCs w:val="14"/>
          <w:color w:val="005CB9"/>
        </w:rPr>
      </w:pPr>
    </w:p>
    <w:p>
      <w:pPr>
        <w:jc w:val="both"/>
        <w:ind w:left="233" w:right="80" w:hanging="233"/>
        <w:spacing w:after="0" w:line="252" w:lineRule="auto"/>
        <w:tabs>
          <w:tab w:leader="none" w:pos="233" w:val="left"/>
        </w:tabs>
        <w:numPr>
          <w:ilvl w:val="0"/>
          <w:numId w:val="26"/>
        </w:numPr>
        <w:rPr>
          <w:rFonts w:ascii="Times New Roman" w:cs="Times New Roman" w:eastAsia="Times New Roman" w:hAnsi="Times New Roman"/>
          <w:sz w:val="14"/>
          <w:szCs w:val="14"/>
          <w:color w:val="005CB9"/>
        </w:rPr>
      </w:pPr>
      <w:r>
        <w:rPr>
          <w:rFonts w:ascii="Arial" w:cs="Arial" w:eastAsia="Arial" w:hAnsi="Arial"/>
          <w:sz w:val="14"/>
          <w:szCs w:val="14"/>
          <w:color w:val="auto"/>
        </w:rPr>
        <w:t>Collect and communicate to the Chairman of the Board and Chief Executive Officer the views and recommendations of the independent directors relating to his or her performance, other than with respect to the annual performance review</w:t>
      </w:r>
    </w:p>
    <w:p>
      <w:pPr>
        <w:spacing w:after="0" w:line="85" w:lineRule="exact"/>
        <w:rPr>
          <w:rFonts w:ascii="Times New Roman" w:cs="Times New Roman" w:eastAsia="Times New Roman" w:hAnsi="Times New Roman"/>
          <w:sz w:val="14"/>
          <w:szCs w:val="14"/>
          <w:color w:val="005CB9"/>
        </w:rPr>
      </w:pPr>
    </w:p>
    <w:p>
      <w:pPr>
        <w:ind w:left="233" w:right="80" w:hanging="233"/>
        <w:spacing w:after="0" w:line="265" w:lineRule="auto"/>
        <w:tabs>
          <w:tab w:leader="none" w:pos="233" w:val="left"/>
        </w:tabs>
        <w:numPr>
          <w:ilvl w:val="0"/>
          <w:numId w:val="26"/>
        </w:numPr>
        <w:rPr>
          <w:rFonts w:ascii="Times New Roman" w:cs="Times New Roman" w:eastAsia="Times New Roman" w:hAnsi="Times New Roman"/>
          <w:sz w:val="14"/>
          <w:szCs w:val="14"/>
          <w:color w:val="005CB9"/>
        </w:rPr>
      </w:pPr>
      <w:r>
        <w:rPr>
          <w:rFonts w:ascii="Arial" w:cs="Arial" w:eastAsia="Arial" w:hAnsi="Arial"/>
          <w:sz w:val="14"/>
          <w:szCs w:val="14"/>
          <w:color w:val="auto"/>
        </w:rPr>
        <w:t>Consult with the Corporate Governance Committee as part of the committee’s review of director nominations and recommendations of director candidates</w:t>
      </w:r>
    </w:p>
    <w:p>
      <w:pPr>
        <w:spacing w:after="0" w:line="245" w:lineRule="exact"/>
        <w:rPr>
          <w:rFonts w:ascii="Times New Roman" w:cs="Times New Roman" w:eastAsia="Times New Roman" w:hAnsi="Times New Roman"/>
          <w:sz w:val="14"/>
          <w:szCs w:val="14"/>
          <w:color w:val="005CB9"/>
        </w:rPr>
      </w:pPr>
    </w:p>
    <w:p>
      <w:pPr>
        <w:ind w:left="233" w:right="200" w:hanging="233"/>
        <w:spacing w:after="0" w:line="259" w:lineRule="auto"/>
        <w:tabs>
          <w:tab w:leader="none" w:pos="233" w:val="left"/>
        </w:tabs>
        <w:numPr>
          <w:ilvl w:val="0"/>
          <w:numId w:val="26"/>
        </w:numPr>
        <w:rPr>
          <w:rFonts w:ascii="Times New Roman" w:cs="Times New Roman" w:eastAsia="Times New Roman" w:hAnsi="Times New Roman"/>
          <w:sz w:val="14"/>
          <w:szCs w:val="14"/>
          <w:color w:val="005CB9"/>
        </w:rPr>
      </w:pPr>
      <w:r>
        <w:rPr>
          <w:rFonts w:ascii="Arial" w:cs="Arial" w:eastAsia="Arial" w:hAnsi="Arial"/>
          <w:sz w:val="14"/>
          <w:szCs w:val="14"/>
          <w:color w:val="auto"/>
        </w:rPr>
        <w:t>Together with the Chair of the Corporate Governance Committee and the Chairman of the Board, has the authority to extend the board’s invitation to selected candidates to join or be nominated for election to the board</w:t>
      </w:r>
    </w:p>
    <w:p>
      <w:pPr>
        <w:spacing w:after="0" w:line="79" w:lineRule="exact"/>
        <w:rPr>
          <w:rFonts w:ascii="Times New Roman" w:cs="Times New Roman" w:eastAsia="Times New Roman" w:hAnsi="Times New Roman"/>
          <w:sz w:val="14"/>
          <w:szCs w:val="14"/>
          <w:color w:val="005CB9"/>
        </w:rPr>
      </w:pPr>
    </w:p>
    <w:p>
      <w:pPr>
        <w:ind w:left="233" w:right="20" w:hanging="233"/>
        <w:spacing w:after="0" w:line="259" w:lineRule="auto"/>
        <w:tabs>
          <w:tab w:leader="none" w:pos="233" w:val="left"/>
        </w:tabs>
        <w:numPr>
          <w:ilvl w:val="0"/>
          <w:numId w:val="26"/>
        </w:numPr>
        <w:rPr>
          <w:rFonts w:ascii="Times New Roman" w:cs="Times New Roman" w:eastAsia="Times New Roman" w:hAnsi="Times New Roman"/>
          <w:sz w:val="14"/>
          <w:szCs w:val="14"/>
          <w:color w:val="005CB9"/>
        </w:rPr>
      </w:pPr>
      <w:r>
        <w:rPr>
          <w:rFonts w:ascii="Arial" w:cs="Arial" w:eastAsia="Arial" w:hAnsi="Arial"/>
          <w:sz w:val="14"/>
          <w:szCs w:val="14"/>
          <w:color w:val="auto"/>
        </w:rPr>
        <w:t>Consult with directors regarding acceptance of memberships on other boards to assure that multiple board service does not conflict or otherwise interfere with such directors’ service to the company</w:t>
      </w:r>
    </w:p>
    <w:p>
      <w:pPr>
        <w:spacing w:after="0" w:line="79" w:lineRule="exact"/>
        <w:rPr>
          <w:rFonts w:ascii="Times New Roman" w:cs="Times New Roman" w:eastAsia="Times New Roman" w:hAnsi="Times New Roman"/>
          <w:sz w:val="14"/>
          <w:szCs w:val="14"/>
          <w:color w:val="005CB9"/>
        </w:rPr>
      </w:pPr>
    </w:p>
    <w:p>
      <w:pPr>
        <w:jc w:val="both"/>
        <w:ind w:left="233" w:right="20" w:hanging="233"/>
        <w:spacing w:after="0" w:line="259" w:lineRule="auto"/>
        <w:tabs>
          <w:tab w:leader="none" w:pos="233" w:val="left"/>
        </w:tabs>
        <w:numPr>
          <w:ilvl w:val="0"/>
          <w:numId w:val="26"/>
        </w:numPr>
        <w:rPr>
          <w:rFonts w:ascii="Times New Roman" w:cs="Times New Roman" w:eastAsia="Times New Roman" w:hAnsi="Times New Roman"/>
          <w:sz w:val="14"/>
          <w:szCs w:val="14"/>
          <w:color w:val="005CB9"/>
        </w:rPr>
      </w:pPr>
      <w:r>
        <w:rPr>
          <w:rFonts w:ascii="Arial" w:cs="Arial" w:eastAsia="Arial" w:hAnsi="Arial"/>
          <w:sz w:val="14"/>
          <w:szCs w:val="14"/>
          <w:color w:val="auto"/>
        </w:rPr>
        <w:t>Together with the Compensation and Talent Development Committee and the Chairman of the Board, report annually to the board on succession planning, including policies and principles for executive officer selection</w:t>
      </w:r>
    </w:p>
    <w:p>
      <w:pPr>
        <w:spacing w:after="0" w:line="79" w:lineRule="exact"/>
        <w:rPr>
          <w:rFonts w:ascii="Times New Roman" w:cs="Times New Roman" w:eastAsia="Times New Roman" w:hAnsi="Times New Roman"/>
          <w:sz w:val="14"/>
          <w:szCs w:val="14"/>
          <w:color w:val="005CB9"/>
        </w:rPr>
      </w:pPr>
    </w:p>
    <w:p>
      <w:pPr>
        <w:ind w:left="233" w:right="420" w:hanging="233"/>
        <w:spacing w:after="0" w:line="280" w:lineRule="auto"/>
        <w:tabs>
          <w:tab w:leader="none" w:pos="233" w:val="left"/>
        </w:tabs>
        <w:numPr>
          <w:ilvl w:val="0"/>
          <w:numId w:val="26"/>
        </w:numPr>
        <w:rPr>
          <w:rFonts w:ascii="Times New Roman" w:cs="Times New Roman" w:eastAsia="Times New Roman" w:hAnsi="Times New Roman"/>
          <w:sz w:val="14"/>
          <w:szCs w:val="14"/>
          <w:color w:val="005CB9"/>
        </w:rPr>
      </w:pPr>
      <w:r>
        <w:rPr>
          <w:rFonts w:ascii="Arial" w:cs="Arial" w:eastAsia="Arial" w:hAnsi="Arial"/>
          <w:sz w:val="14"/>
          <w:szCs w:val="14"/>
          <w:color w:val="auto"/>
        </w:rPr>
        <w:t>Perform such other duties as may be assigned from time to time by the independent directors</w:t>
      </w:r>
    </w:p>
    <w:p>
      <w:pPr>
        <w:spacing w:after="0" w:line="640" w:lineRule="exact"/>
        <w:rPr>
          <w:sz w:val="20"/>
          <w:szCs w:val="20"/>
          <w:color w:val="auto"/>
        </w:rPr>
      </w:pPr>
    </w:p>
    <w:p>
      <w:pPr>
        <w:sectPr>
          <w:pgSz w:w="11900" w:h="16838" w:orient="portrait"/>
          <w:cols w:equalWidth="0" w:num="2">
            <w:col w:w="5400" w:space="547"/>
            <w:col w:w="5133"/>
          </w:cols>
          <w:pgMar w:left="320" w:top="478" w:right="499" w:bottom="1440" w:gutter="0" w:footer="0" w:header="0"/>
          <w:type w:val="continuous"/>
        </w:sectPr>
      </w:pPr>
    </w:p>
    <w:p>
      <w:pPr>
        <w:ind w:left="160" w:right="240"/>
        <w:spacing w:after="0" w:line="253" w:lineRule="auto"/>
        <w:rPr>
          <w:sz w:val="20"/>
          <w:szCs w:val="20"/>
          <w:color w:val="auto"/>
        </w:rPr>
      </w:pPr>
      <w:r>
        <w:rPr>
          <w:rFonts w:ascii="Arial" w:cs="Arial" w:eastAsia="Arial" w:hAnsi="Arial"/>
          <w:sz w:val="14"/>
          <w:szCs w:val="14"/>
          <w:color w:val="auto"/>
        </w:rPr>
        <w:t>The Board of Directors believes its independence and oversight of management and company risks are maintained effectively through its flexible leadership structure, including the robust role of the Lead Independent Director, the strong role of our independent directors generally, the board’s overall composition, which currently includes nine independent directors (82% of the board) and 100% independent director composition of all NYSE-required board committees, and our other strong corporate governance policies and practices.</w:t>
      </w:r>
    </w:p>
    <w:p>
      <w:pPr>
        <w:spacing w:after="0" w:line="70" w:lineRule="exact"/>
        <w:rPr>
          <w:sz w:val="20"/>
          <w:szCs w:val="20"/>
          <w:color w:val="auto"/>
        </w:rPr>
      </w:pPr>
    </w:p>
    <w:p>
      <w:pPr>
        <w:ind w:left="160" w:right="180"/>
        <w:spacing w:after="0" w:line="281" w:lineRule="auto"/>
        <w:rPr>
          <w:sz w:val="20"/>
          <w:szCs w:val="20"/>
          <w:color w:val="auto"/>
        </w:rPr>
      </w:pPr>
      <w:r>
        <w:rPr>
          <w:rFonts w:ascii="Arial" w:cs="Arial" w:eastAsia="Arial" w:hAnsi="Arial"/>
          <w:sz w:val="14"/>
          <w:szCs w:val="14"/>
          <w:color w:val="auto"/>
        </w:rPr>
        <w:t>Based on the foregoing and other factors, the Board of Directors determined in its most recent evaluation of the board’s leadership structure, and continues to believe, that combining the roles of Chief Executive Officer and Chairman of the Board continues to best serve the interests of Sempra and our shareholders.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Director Independence</w:t>
      </w:r>
    </w:p>
    <w:p>
      <w:pPr>
        <w:spacing w:after="0" w:line="129" w:lineRule="exact"/>
        <w:rPr>
          <w:sz w:val="20"/>
          <w:szCs w:val="20"/>
          <w:color w:val="auto"/>
        </w:rPr>
      </w:pPr>
    </w:p>
    <w:p>
      <w:pPr>
        <w:ind w:left="160" w:right="300"/>
        <w:spacing w:after="0" w:line="253" w:lineRule="auto"/>
        <w:rPr>
          <w:sz w:val="20"/>
          <w:szCs w:val="20"/>
          <w:color w:val="auto"/>
        </w:rPr>
      </w:pPr>
      <w:r>
        <w:rPr>
          <w:rFonts w:ascii="Arial" w:cs="Arial" w:eastAsia="Arial" w:hAnsi="Arial"/>
          <w:sz w:val="14"/>
          <w:szCs w:val="14"/>
          <w:color w:val="auto"/>
        </w:rPr>
        <w:t>The Board of Directors determines the independence of each of our directors and director nominees by applying the independence standards established by the NYSE. These standards provide that a director is independent only if the board affirmatively determines that the director has no direct or indirect material relationship with the company. Material relationships may include, depending on the circumstances, commercial, industrial, banking, consulting, legal, accounting, charitable, family and other business, professional and personal relationships. These standards also identify various relationships that preclude a determination of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4709160</wp:posOffset>
            </wp:positionH>
            <wp:positionV relativeFrom="paragraph">
              <wp:posOffset>211455</wp:posOffset>
            </wp:positionV>
            <wp:extent cx="739140" cy="153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9</w:t>
      </w:r>
    </w:p>
    <w:p>
      <w:pPr>
        <w:sectPr>
          <w:pgSz w:w="11900" w:h="16838" w:orient="portrait"/>
          <w:cols w:equalWidth="0" w:num="1">
            <w:col w:w="11080"/>
          </w:cols>
          <w:pgMar w:left="320" w:top="478" w:right="4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Corporate Governance</w:t>
      </w:r>
    </w:p>
    <w:p>
      <w:pPr>
        <w:spacing w:after="0" w:line="145" w:lineRule="exact"/>
        <w:rPr>
          <w:sz w:val="20"/>
          <w:szCs w:val="20"/>
          <w:color w:val="auto"/>
        </w:rPr>
      </w:pPr>
    </w:p>
    <w:p>
      <w:pPr>
        <w:ind w:left="160" w:right="40"/>
        <w:spacing w:after="0" w:line="243" w:lineRule="auto"/>
        <w:rPr>
          <w:sz w:val="20"/>
          <w:szCs w:val="20"/>
          <w:color w:val="auto"/>
        </w:rPr>
      </w:pPr>
      <w:r>
        <w:rPr>
          <w:rFonts w:ascii="Arial" w:cs="Arial" w:eastAsia="Arial" w:hAnsi="Arial"/>
          <w:sz w:val="14"/>
          <w:szCs w:val="14"/>
          <w:color w:val="auto"/>
        </w:rPr>
        <w:t>Applying these standards, the board annually reviews and determines the independence of each of the company’s directors and director nominees. In its most recent review, the board considered, among other things: each director’s directorships, employment and other service relationships, significant ownership, other affiliations, and any of the foregoing relationships of a director’s immediate family members, in each case with or of organizations with which Sempra or any of its subsidiaries or other entities as to which it has majority ownership or control does business; the absence of any employment relationship between Sempra or any of its subsidiaries or other entities as to which it has majority ownership or control and each director and his or her immediate family members; the absence of any of the other specific relationships that would preclude a determination of independence under NYSE independence standards; the absence of any current affiliation of each director or his or her immediate family members with the company’s independent registered public accounting firm, compensation consultants, legal counsel or investment banks; the absence of any transactions in which a director or his or her immediate family members has a direct or indirect material interest that would require disclosure in this proxy statement under SEC rules regarding related person transactions; and any discretionary contributions we may make to non-profit organizations with which a director or his or her immediate family members are associated. In assessing the materiality of director relationships, the board broadly considers all relevant facts and circumstances both from the standpoint of the director and also from that of persons or organizations with which the director has an affiliation.</w:t>
      </w:r>
    </w:p>
    <w:p>
      <w:pPr>
        <w:spacing w:after="0" w:line="79" w:lineRule="exact"/>
        <w:rPr>
          <w:sz w:val="20"/>
          <w:szCs w:val="20"/>
          <w:color w:val="auto"/>
        </w:rPr>
      </w:pPr>
    </w:p>
    <w:p>
      <w:pPr>
        <w:ind w:left="160" w:right="220"/>
        <w:spacing w:after="0" w:line="281" w:lineRule="auto"/>
        <w:rPr>
          <w:sz w:val="20"/>
          <w:szCs w:val="20"/>
          <w:color w:val="auto"/>
        </w:rPr>
      </w:pPr>
      <w:r>
        <w:rPr>
          <w:rFonts w:ascii="Arial" w:cs="Arial" w:eastAsia="Arial" w:hAnsi="Arial"/>
          <w:sz w:val="14"/>
          <w:szCs w:val="14"/>
          <w:color w:val="auto"/>
        </w:rPr>
        <w:t>Based on this review, the board has affirmatively determined that each of the following directors, each of whom is a director nominee standing for re-election at the Annual Shareholders Meeting, is an independent director:</w:t>
      </w:r>
    </w:p>
    <w:p>
      <w:pPr>
        <w:spacing w:after="0" w:line="174" w:lineRule="exact"/>
        <w:rPr>
          <w:sz w:val="20"/>
          <w:szCs w:val="20"/>
          <w:color w:val="auto"/>
        </w:rPr>
      </w:pPr>
    </w:p>
    <w:tbl>
      <w:tblPr>
        <w:tblLayout w:type="fixed"/>
        <w:tblInd w:w="170" w:type="dxa"/>
        <w:tblCellMar>
          <w:top w:w="0" w:type="dxa"/>
          <w:left w:w="0" w:type="dxa"/>
          <w:bottom w:w="0" w:type="dxa"/>
          <w:right w:w="0" w:type="dxa"/>
        </w:tblCellMar>
      </w:tblPr>
      <w:tr>
        <w:trPr>
          <w:trHeight w:val="287"/>
        </w:trPr>
        <w:tc>
          <w:tcPr>
            <w:tcW w:w="3700" w:type="dxa"/>
            <w:vAlign w:val="bottom"/>
            <w:tcBorders>
              <w:top w:val="single" w:sz="8" w:color="005CB9"/>
              <w:left w:val="single" w:sz="8" w:color="005CB9"/>
            </w:tcBorders>
            <w:shd w:val="clear" w:color="auto" w:fill="F2F2F2"/>
          </w:tcPr>
          <w:p>
            <w:pPr>
              <w:jc w:val="center"/>
              <w:ind w:left="9"/>
              <w:spacing w:after="0"/>
              <w:rPr>
                <w:sz w:val="20"/>
                <w:szCs w:val="20"/>
                <w:color w:val="auto"/>
              </w:rPr>
            </w:pPr>
            <w:r>
              <w:rPr>
                <w:rFonts w:ascii="Arial" w:cs="Arial" w:eastAsia="Arial" w:hAnsi="Arial"/>
                <w:sz w:val="14"/>
                <w:szCs w:val="14"/>
                <w:color w:val="auto"/>
              </w:rPr>
              <w:t>Andrés Conesa</w:t>
            </w:r>
          </w:p>
        </w:tc>
        <w:tc>
          <w:tcPr>
            <w:tcW w:w="3640" w:type="dxa"/>
            <w:vAlign w:val="bottom"/>
            <w:tcBorders>
              <w:top w:val="single" w:sz="8" w:color="005CB9"/>
            </w:tcBorders>
            <w:shd w:val="clear" w:color="auto" w:fill="F2F2F2"/>
          </w:tcPr>
          <w:p>
            <w:pPr>
              <w:jc w:val="center"/>
              <w:spacing w:after="0"/>
              <w:rPr>
                <w:sz w:val="20"/>
                <w:szCs w:val="20"/>
                <w:color w:val="auto"/>
              </w:rPr>
            </w:pPr>
            <w:r>
              <w:rPr>
                <w:rFonts w:ascii="Arial" w:cs="Arial" w:eastAsia="Arial" w:hAnsi="Arial"/>
                <w:sz w:val="14"/>
                <w:szCs w:val="14"/>
                <w:color w:val="auto"/>
              </w:rPr>
              <w:t>Richard J. Mark</w:t>
            </w:r>
          </w:p>
        </w:tc>
        <w:tc>
          <w:tcPr>
            <w:tcW w:w="3600" w:type="dxa"/>
            <w:vAlign w:val="bottom"/>
            <w:tcBorders>
              <w:top w:val="single" w:sz="8" w:color="005CB9"/>
              <w:right w:val="single" w:sz="8" w:color="005CB9"/>
            </w:tcBorders>
            <w:shd w:val="clear" w:color="auto" w:fill="F2F2F2"/>
          </w:tcPr>
          <w:p>
            <w:pPr>
              <w:jc w:val="center"/>
              <w:spacing w:after="0"/>
              <w:rPr>
                <w:sz w:val="20"/>
                <w:szCs w:val="20"/>
                <w:color w:val="auto"/>
              </w:rPr>
            </w:pPr>
            <w:r>
              <w:rPr>
                <w:rFonts w:ascii="Arial" w:cs="Arial" w:eastAsia="Arial" w:hAnsi="Arial"/>
                <w:sz w:val="14"/>
                <w:szCs w:val="14"/>
                <w:color w:val="auto"/>
                <w:w w:val="99"/>
              </w:rPr>
              <w:t>Cynthia J. Warner</w:t>
            </w:r>
          </w:p>
        </w:tc>
      </w:tr>
      <w:tr>
        <w:trPr>
          <w:trHeight w:val="267"/>
        </w:trPr>
        <w:tc>
          <w:tcPr>
            <w:tcW w:w="3700" w:type="dxa"/>
            <w:vAlign w:val="bottom"/>
            <w:tcBorders>
              <w:left w:val="single" w:sz="8" w:color="005CB9"/>
            </w:tcBorders>
            <w:shd w:val="clear" w:color="auto" w:fill="F2F2F2"/>
          </w:tcPr>
          <w:p>
            <w:pPr>
              <w:jc w:val="center"/>
              <w:ind w:left="9"/>
              <w:spacing w:after="0"/>
              <w:rPr>
                <w:sz w:val="20"/>
                <w:szCs w:val="20"/>
                <w:color w:val="auto"/>
              </w:rPr>
            </w:pPr>
            <w:r>
              <w:rPr>
                <w:rFonts w:ascii="Arial" w:cs="Arial" w:eastAsia="Arial" w:hAnsi="Arial"/>
                <w:sz w:val="14"/>
                <w:szCs w:val="14"/>
                <w:color w:val="auto"/>
              </w:rPr>
              <w:t>Pablo A. Ferrero</w:t>
            </w:r>
          </w:p>
        </w:tc>
        <w:tc>
          <w:tcPr>
            <w:tcW w:w="364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Michael N. Mears</w:t>
            </w:r>
          </w:p>
        </w:tc>
        <w:tc>
          <w:tcPr>
            <w:tcW w:w="3600" w:type="dxa"/>
            <w:vAlign w:val="bottom"/>
            <w:tcBorders>
              <w:right w:val="single" w:sz="8" w:color="005CB9"/>
            </w:tcBorders>
            <w:shd w:val="clear" w:color="auto" w:fill="F2F2F2"/>
          </w:tcPr>
          <w:p>
            <w:pPr>
              <w:jc w:val="center"/>
              <w:spacing w:after="0"/>
              <w:rPr>
                <w:sz w:val="20"/>
                <w:szCs w:val="20"/>
                <w:color w:val="auto"/>
              </w:rPr>
            </w:pPr>
            <w:r>
              <w:rPr>
                <w:rFonts w:ascii="Arial" w:cs="Arial" w:eastAsia="Arial" w:hAnsi="Arial"/>
                <w:sz w:val="14"/>
                <w:szCs w:val="14"/>
                <w:color w:val="auto"/>
              </w:rPr>
              <w:t>Anya Weaving</w:t>
            </w:r>
          </w:p>
        </w:tc>
      </w:tr>
      <w:tr>
        <w:trPr>
          <w:trHeight w:val="267"/>
        </w:trPr>
        <w:tc>
          <w:tcPr>
            <w:tcW w:w="3700" w:type="dxa"/>
            <w:vAlign w:val="bottom"/>
            <w:tcBorders>
              <w:left w:val="single" w:sz="8" w:color="005CB9"/>
            </w:tcBorders>
            <w:shd w:val="clear" w:color="auto" w:fill="F2F2F2"/>
          </w:tcPr>
          <w:p>
            <w:pPr>
              <w:jc w:val="center"/>
              <w:ind w:left="9"/>
              <w:spacing w:after="0"/>
              <w:rPr>
                <w:sz w:val="20"/>
                <w:szCs w:val="20"/>
                <w:color w:val="auto"/>
              </w:rPr>
            </w:pPr>
            <w:r>
              <w:rPr>
                <w:rFonts w:ascii="Arial" w:cs="Arial" w:eastAsia="Arial" w:hAnsi="Arial"/>
                <w:sz w:val="14"/>
                <w:szCs w:val="14"/>
                <w:color w:val="auto"/>
              </w:rPr>
              <w:t>Jennifer M. Kirk</w:t>
            </w:r>
          </w:p>
        </w:tc>
        <w:tc>
          <w:tcPr>
            <w:tcW w:w="3640" w:type="dxa"/>
            <w:vAlign w:val="bottom"/>
            <w:shd w:val="clear" w:color="auto" w:fill="F2F2F2"/>
          </w:tcPr>
          <w:p>
            <w:pPr>
              <w:jc w:val="center"/>
              <w:spacing w:after="0"/>
              <w:rPr>
                <w:sz w:val="20"/>
                <w:szCs w:val="20"/>
                <w:color w:val="auto"/>
              </w:rPr>
            </w:pPr>
            <w:r>
              <w:rPr>
                <w:rFonts w:ascii="Arial" w:cs="Arial" w:eastAsia="Arial" w:hAnsi="Arial"/>
                <w:sz w:val="14"/>
                <w:szCs w:val="14"/>
                <w:color w:val="auto"/>
                <w:w w:val="97"/>
              </w:rPr>
              <w:t>Jack T. Taylor</w:t>
            </w:r>
          </w:p>
        </w:tc>
        <w:tc>
          <w:tcPr>
            <w:tcW w:w="3600" w:type="dxa"/>
            <w:vAlign w:val="bottom"/>
            <w:tcBorders>
              <w:right w:val="single" w:sz="8" w:color="005CB9"/>
            </w:tcBorders>
            <w:shd w:val="clear" w:color="auto" w:fill="F2F2F2"/>
          </w:tcPr>
          <w:p>
            <w:pPr>
              <w:jc w:val="center"/>
              <w:spacing w:after="0"/>
              <w:rPr>
                <w:sz w:val="20"/>
                <w:szCs w:val="20"/>
                <w:color w:val="auto"/>
              </w:rPr>
            </w:pPr>
            <w:r>
              <w:rPr>
                <w:rFonts w:ascii="Arial" w:cs="Arial" w:eastAsia="Arial" w:hAnsi="Arial"/>
                <w:sz w:val="14"/>
                <w:szCs w:val="14"/>
                <w:color w:val="auto"/>
              </w:rPr>
              <w:t>James C. Yardley</w:t>
            </w:r>
          </w:p>
        </w:tc>
      </w:tr>
      <w:tr>
        <w:trPr>
          <w:trHeight w:val="101"/>
        </w:trPr>
        <w:tc>
          <w:tcPr>
            <w:tcW w:w="3700" w:type="dxa"/>
            <w:vAlign w:val="bottom"/>
            <w:tcBorders>
              <w:left w:val="single" w:sz="8" w:color="005CB9"/>
              <w:bottom w:val="single" w:sz="8" w:color="005CB9"/>
            </w:tcBorders>
            <w:shd w:val="clear" w:color="auto" w:fill="F2F2F2"/>
          </w:tcPr>
          <w:p>
            <w:pPr>
              <w:spacing w:after="0"/>
              <w:rPr>
                <w:sz w:val="8"/>
                <w:szCs w:val="8"/>
                <w:color w:val="auto"/>
              </w:rPr>
            </w:pPr>
          </w:p>
        </w:tc>
        <w:tc>
          <w:tcPr>
            <w:tcW w:w="3640" w:type="dxa"/>
            <w:vAlign w:val="bottom"/>
            <w:tcBorders>
              <w:bottom w:val="single" w:sz="8" w:color="005CB9"/>
            </w:tcBorders>
            <w:shd w:val="clear" w:color="auto" w:fill="F2F2F2"/>
          </w:tcPr>
          <w:p>
            <w:pPr>
              <w:spacing w:after="0"/>
              <w:rPr>
                <w:sz w:val="8"/>
                <w:szCs w:val="8"/>
                <w:color w:val="auto"/>
              </w:rPr>
            </w:pPr>
          </w:p>
        </w:tc>
        <w:tc>
          <w:tcPr>
            <w:tcW w:w="3600" w:type="dxa"/>
            <w:vAlign w:val="bottom"/>
            <w:tcBorders>
              <w:bottom w:val="single" w:sz="8" w:color="005CB9"/>
              <w:right w:val="single" w:sz="8" w:color="005CB9"/>
            </w:tcBorders>
            <w:shd w:val="clear" w:color="auto" w:fill="F2F2F2"/>
          </w:tcPr>
          <w:p>
            <w:pPr>
              <w:spacing w:after="0"/>
              <w:rPr>
                <w:sz w:val="8"/>
                <w:szCs w:val="8"/>
                <w:color w:val="auto"/>
              </w:rPr>
            </w:pPr>
          </w:p>
        </w:tc>
      </w:tr>
    </w:tbl>
    <w:p>
      <w:pPr>
        <w:spacing w:after="0" w:line="165" w:lineRule="exact"/>
        <w:rPr>
          <w:sz w:val="20"/>
          <w:szCs w:val="20"/>
          <w:color w:val="auto"/>
        </w:rPr>
      </w:pPr>
    </w:p>
    <w:p>
      <w:pPr>
        <w:jc w:val="both"/>
        <w:ind w:left="160" w:right="180"/>
        <w:spacing w:after="0" w:line="260" w:lineRule="auto"/>
        <w:rPr>
          <w:sz w:val="20"/>
          <w:szCs w:val="20"/>
          <w:color w:val="auto"/>
        </w:rPr>
      </w:pPr>
      <w:r>
        <w:rPr>
          <w:rFonts w:ascii="Arial" w:cs="Arial" w:eastAsia="Arial" w:hAnsi="Arial"/>
          <w:sz w:val="14"/>
          <w:szCs w:val="14"/>
          <w:color w:val="auto"/>
        </w:rPr>
        <w:t>Mr. Martin cannot be considered an independent director due to his position as an executive officer of the company. Mr. Sagara, who is a non-employee director, cannot be considered an independent director due to his prior service as an executive officer of the company. Under NYSE independence standards, Mr. Sagara’s prior service as an executive officer of Sempra will not preclude a finding of independence starting on the third anniversary of his retirement from Sempra, or December 1, 2026.</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Director Share Ownership Guideline</w:t>
      </w:r>
    </w:p>
    <w:p>
      <w:pPr>
        <w:spacing w:after="0" w:line="129" w:lineRule="exact"/>
        <w:rPr>
          <w:sz w:val="20"/>
          <w:szCs w:val="20"/>
          <w:color w:val="auto"/>
        </w:rPr>
      </w:pPr>
    </w:p>
    <w:p>
      <w:pPr>
        <w:ind w:left="160" w:right="120"/>
        <w:spacing w:after="0" w:line="247" w:lineRule="auto"/>
        <w:rPr>
          <w:sz w:val="20"/>
          <w:szCs w:val="20"/>
          <w:color w:val="auto"/>
        </w:rPr>
      </w:pPr>
      <w:r>
        <w:rPr>
          <w:rFonts w:ascii="Arial" w:cs="Arial" w:eastAsia="Arial" w:hAnsi="Arial"/>
          <w:sz w:val="14"/>
          <w:szCs w:val="14"/>
          <w:color w:val="auto"/>
        </w:rPr>
        <w:t>The board has established a director share ownership guideline to further strengthen the link between director and shareholder interests. For each of our non-employee directors, the guideline calls for ownership of a number of shares of our common stock having a value of five times the director’s annual base retainer of $120,000, resulting in an ownership guideline equal to $600,000. For these purposes, in addition to shares of our common stock owned directly, share ownership includes phantom shares into which compensation has been deferred and unvested service-based restricted stock units. The Compensation and Talent Development Committee annually reviews adherence to this guideline, which is expected to be attained within five years after becoming a director. At the time of the Compensation and Talent Development Committee’s review in 2025, all of our non-employee directors met or exceeded the ownership guideline or had additional time to do so.</w:t>
      </w:r>
    </w:p>
    <w:p>
      <w:pPr>
        <w:spacing w:after="0" w:line="76" w:lineRule="exact"/>
        <w:rPr>
          <w:sz w:val="20"/>
          <w:szCs w:val="20"/>
          <w:color w:val="auto"/>
        </w:rPr>
      </w:pPr>
    </w:p>
    <w:p>
      <w:pPr>
        <w:ind w:left="160" w:right="180"/>
        <w:spacing w:after="0" w:line="281" w:lineRule="auto"/>
        <w:rPr>
          <w:sz w:val="20"/>
          <w:szCs w:val="20"/>
          <w:color w:val="auto"/>
        </w:rPr>
      </w:pPr>
      <w:r>
        <w:rPr>
          <w:rFonts w:ascii="Arial" w:cs="Arial" w:eastAsia="Arial" w:hAnsi="Arial"/>
          <w:sz w:val="14"/>
          <w:szCs w:val="14"/>
          <w:color w:val="auto"/>
        </w:rPr>
        <w:t>The board also has established officer share ownership guidelines. For information about these guidelines, see “Executive Compensation— Compensation Discussion and Analysis—Share Ownership Guidelines.”</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Director Overboarding Policy</w:t>
      </w:r>
    </w:p>
    <w:p>
      <w:pPr>
        <w:spacing w:after="0" w:line="129" w:lineRule="exact"/>
        <w:rPr>
          <w:sz w:val="20"/>
          <w:szCs w:val="20"/>
          <w:color w:val="auto"/>
        </w:rPr>
      </w:pPr>
    </w:p>
    <w:p>
      <w:pPr>
        <w:ind w:left="160" w:right="60"/>
        <w:spacing w:after="0" w:line="244" w:lineRule="auto"/>
        <w:rPr>
          <w:sz w:val="20"/>
          <w:szCs w:val="20"/>
          <w:color w:val="auto"/>
        </w:rPr>
      </w:pPr>
      <w:r>
        <w:rPr>
          <w:rFonts w:ascii="Arial" w:cs="Arial" w:eastAsia="Arial" w:hAnsi="Arial"/>
          <w:sz w:val="14"/>
          <w:szCs w:val="14"/>
          <w:color w:val="auto"/>
        </w:rPr>
        <w:t>Our director overboarding policy aligns with the preferences and policies of some of our major shareholders. Pursuant to our policy, any director or director nominee who is a named executive officer of a public company should not serve on more than two public company boards (including, if applicable, the board of the company for which the director serves as a named executive officer), and such directors and director nominees will be expected to become compliant with this policy in advance of being nominated to stand for election at Sempra’s next annual shareholders meeting. In addition, any director or director nominee who is not a named executive officer of a public company should not serve on more than four public company boards (including our board). Finally, our Corporate Governance Guidelines provide that no member of the Audit Committee may serve on more than a total of three audit committees of public companies (including our Audit Committee) unless the board affirmatively determines that a director’s multiple service on audit committees does not impair the director’s effectiveness as a member of our Audit Committee. The Corporate Governance Committee considers each director’s compliance with this policy as part of its annual review of the composition of the board in connection with the director nomination process. All of our director nominees are in compliance with our overboarding policy.</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Board, Committee and Shareholder Meetings</w:t>
      </w:r>
    </w:p>
    <w:p>
      <w:pPr>
        <w:spacing w:after="0" w:line="129"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At regularly scheduled board and committee meetings, directors review and discuss management reports regarding the company’s performance, prospects and plans, as well as significant opportunities and material risks facing the company and other matters the board considers germane to fulfilling its responsibilities. At least once a year, the board reviews management’s long-term strategic and financial plans, including an annual detailed and comprehensive strategy discussion. The Chairman of the Board or, in certain circumstances as described in “Leadership Structure” above, the Lead Independent Director, presides over each board meeting.</w:t>
      </w:r>
    </w:p>
    <w:p>
      <w:pPr>
        <w:spacing w:after="0" w:line="70" w:lineRule="exact"/>
        <w:rPr>
          <w:sz w:val="20"/>
          <w:szCs w:val="20"/>
          <w:color w:val="auto"/>
        </w:rPr>
      </w:pPr>
    </w:p>
    <w:p>
      <w:pPr>
        <w:ind w:left="160" w:right="60"/>
        <w:spacing w:after="0" w:line="249" w:lineRule="auto"/>
        <w:rPr>
          <w:sz w:val="20"/>
          <w:szCs w:val="20"/>
          <w:color w:val="auto"/>
        </w:rPr>
      </w:pPr>
      <w:r>
        <w:rPr>
          <w:rFonts w:ascii="Arial" w:cs="Arial" w:eastAsia="Arial" w:hAnsi="Arial"/>
          <w:sz w:val="14"/>
          <w:szCs w:val="14"/>
          <w:color w:val="auto"/>
        </w:rPr>
        <w:t>At executive sessions, directors convene in both director-only sessions and sessions with only non-management directors to discuss issues such as succession planning, Chief Executive Officer performance and compensation (the Chief Executive Officer is not present for deliberations or approvals of his own compensation), executive development, board performance and other matters deemed relevant. An executive session is held at each regular board meeting, and any director may call for an executive session at any board meeting. In addition, at least once each year, the Lead Independent Director holds an executive session including only the independent directors. The Lead Independent Director presides over executive sessions in which the Chairman of the Board is not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10               </w:t>
      </w:r>
      <w:r>
        <w:rPr>
          <w:sz w:val="1"/>
          <w:szCs w:val="1"/>
          <w:color w:val="auto"/>
        </w:rPr>
        <w:drawing>
          <wp:inline distT="0" distB="0" distL="0" distR="0">
            <wp:extent cx="739140" cy="15303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100"/>
          </w:cols>
          <w:pgMar w:left="320" w:top="478"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920"/>
        <w:spacing w:after="0"/>
        <w:rPr>
          <w:sz w:val="20"/>
          <w:szCs w:val="20"/>
          <w:color w:val="auto"/>
        </w:rPr>
      </w:pPr>
      <w:r>
        <w:rPr>
          <w:rFonts w:ascii="Arial" w:cs="Arial" w:eastAsia="Arial" w:hAnsi="Arial"/>
          <w:sz w:val="10"/>
          <w:szCs w:val="10"/>
          <w:b w:val="1"/>
          <w:bCs w:val="1"/>
          <w:color w:val="7F7F7F"/>
        </w:rPr>
        <w:t>Corporate Governance</w:t>
      </w:r>
    </w:p>
    <w:p>
      <w:pPr>
        <w:spacing w:after="0" w:line="156" w:lineRule="exact"/>
        <w:rPr>
          <w:sz w:val="20"/>
          <w:szCs w:val="20"/>
          <w:color w:val="auto"/>
        </w:rPr>
      </w:pPr>
    </w:p>
    <w:p>
      <w:pPr>
        <w:ind w:left="160" w:right="160"/>
        <w:spacing w:after="0" w:line="260" w:lineRule="auto"/>
        <w:rPr>
          <w:sz w:val="20"/>
          <w:szCs w:val="20"/>
          <w:color w:val="auto"/>
        </w:rPr>
      </w:pPr>
      <w:r>
        <w:rPr>
          <w:rFonts w:ascii="Arial" w:cs="Arial" w:eastAsia="Arial" w:hAnsi="Arial"/>
          <w:sz w:val="14"/>
          <w:szCs w:val="14"/>
          <w:color w:val="auto"/>
        </w:rPr>
        <w:t>The Chairman of the Board proposes the agenda and schedule for each meeting, which the Lead Independent Director then reviews and modifies or approves. Committee agendas and schedules are set by or in consultation with the applicable committee Chair and with the approval of the Lead Independent Director. All directors are encouraged to propose agenda items, and any director also may raise subjects that are not on the agenda at any meeting.</w:t>
      </w:r>
    </w:p>
    <w:p>
      <w:pPr>
        <w:spacing w:after="0" w:line="65" w:lineRule="exact"/>
        <w:rPr>
          <w:sz w:val="20"/>
          <w:szCs w:val="20"/>
          <w:color w:val="auto"/>
        </w:rPr>
      </w:pPr>
    </w:p>
    <w:p>
      <w:pPr>
        <w:ind w:left="160" w:right="440"/>
        <w:spacing w:after="0" w:line="281" w:lineRule="auto"/>
        <w:rPr>
          <w:sz w:val="20"/>
          <w:szCs w:val="20"/>
          <w:color w:val="auto"/>
        </w:rPr>
      </w:pPr>
      <w:r>
        <w:rPr>
          <w:rFonts w:ascii="Arial" w:cs="Arial" w:eastAsia="Arial" w:hAnsi="Arial"/>
          <w:sz w:val="14"/>
          <w:szCs w:val="14"/>
          <w:color w:val="auto"/>
        </w:rPr>
        <w:t>Information and other materials important to understanding the business to be conducted at each board and committee meeting are distributed in writing to directors in advance of the meeting to the extent available. Additional information and materials may be presented at the meetings.</w:t>
      </w:r>
    </w:p>
    <w:p>
      <w:pPr>
        <w:spacing w:after="0" w:line="51" w:lineRule="exact"/>
        <w:rPr>
          <w:sz w:val="20"/>
          <w:szCs w:val="20"/>
          <w:color w:val="auto"/>
        </w:rPr>
      </w:pPr>
    </w:p>
    <w:p>
      <w:pPr>
        <w:jc w:val="both"/>
        <w:ind w:left="160" w:right="260"/>
        <w:spacing w:after="0" w:line="260" w:lineRule="auto"/>
        <w:rPr>
          <w:sz w:val="20"/>
          <w:szCs w:val="20"/>
          <w:color w:val="auto"/>
        </w:rPr>
      </w:pPr>
      <w:r>
        <w:rPr>
          <w:rFonts w:ascii="Arial" w:cs="Arial" w:eastAsia="Arial" w:hAnsi="Arial"/>
          <w:sz w:val="14"/>
          <w:szCs w:val="14"/>
          <w:color w:val="auto"/>
        </w:rPr>
        <w:t>During 2025, the full board held seven meetings and committees of the board, including standing and ad hoc committees, collectively held 26 meetings. On an aggregate basis, incumbent directors attended 99% of these meetings. Each incumbent director attended at least 75% of the aggregate number of meetings of the board and each committee of which the director was a member (in each case during the periods when he or she was a member).</w:t>
      </w:r>
    </w:p>
    <w:p>
      <w:pPr>
        <w:spacing w:after="0" w:line="65" w:lineRule="exact"/>
        <w:rPr>
          <w:sz w:val="20"/>
          <w:szCs w:val="20"/>
          <w:color w:val="auto"/>
        </w:rPr>
      </w:pPr>
    </w:p>
    <w:p>
      <w:pPr>
        <w:ind w:left="160" w:right="200"/>
        <w:spacing w:after="0" w:line="281" w:lineRule="auto"/>
        <w:rPr>
          <w:sz w:val="20"/>
          <w:szCs w:val="20"/>
          <w:color w:val="auto"/>
        </w:rPr>
      </w:pPr>
      <w:r>
        <w:rPr>
          <w:rFonts w:ascii="Arial" w:cs="Arial" w:eastAsia="Arial" w:hAnsi="Arial"/>
          <w:sz w:val="14"/>
          <w:szCs w:val="14"/>
          <w:color w:val="auto"/>
        </w:rPr>
        <w:t>The board expects that each director will attend annual shareholders meetings, which will be held virtually in 2026. All of the director nominees who were up for election at our 2025 annual shareholders meeting attended that meeting, which also was held virtually.</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Evaluation of Board and Director Performance</w:t>
      </w:r>
    </w:p>
    <w:p>
      <w:pPr>
        <w:spacing w:after="0" w:line="129" w:lineRule="exact"/>
        <w:rPr>
          <w:sz w:val="20"/>
          <w:szCs w:val="20"/>
          <w:color w:val="auto"/>
        </w:rPr>
      </w:pPr>
    </w:p>
    <w:p>
      <w:pPr>
        <w:ind w:left="160" w:right="120"/>
        <w:spacing w:after="0" w:line="249" w:lineRule="auto"/>
        <w:rPr>
          <w:sz w:val="20"/>
          <w:szCs w:val="20"/>
          <w:color w:val="auto"/>
        </w:rPr>
      </w:pPr>
      <w:r>
        <w:rPr>
          <w:rFonts w:ascii="Arial" w:cs="Arial" w:eastAsia="Arial" w:hAnsi="Arial"/>
          <w:sz w:val="14"/>
          <w:szCs w:val="14"/>
          <w:color w:val="auto"/>
        </w:rPr>
        <w:t>The Corporate Governance Committee annually leads a self-evaluation by the directors of the performance of the Board of Directors in a number of categories, including board oversight, leadership, composition and independence, conduct of meetings, and committees. In this review, the board’s performance as a whole is assessed and areas in which the board believes performance could improve are identified. In addition, each standing committee, other than the Executive Committee, conducts an annual self-evaluation, in accordance with its charter. The purpose of these reviews is to increase the effectiveness of the board and its committees, and the results are reviewed with the board and its committees. The results also are considered in connection with board refreshment efforts.</w:t>
      </w:r>
    </w:p>
    <w:p>
      <w:pPr>
        <w:spacing w:after="0" w:line="74" w:lineRule="exact"/>
        <w:rPr>
          <w:sz w:val="20"/>
          <w:szCs w:val="20"/>
          <w:color w:val="auto"/>
        </w:rPr>
      </w:pPr>
    </w:p>
    <w:p>
      <w:pPr>
        <w:ind w:left="160" w:right="120"/>
        <w:spacing w:after="0" w:line="260" w:lineRule="auto"/>
        <w:rPr>
          <w:sz w:val="20"/>
          <w:szCs w:val="20"/>
          <w:color w:val="auto"/>
        </w:rPr>
      </w:pPr>
      <w:r>
        <w:rPr>
          <w:rFonts w:ascii="Arial" w:cs="Arial" w:eastAsia="Arial" w:hAnsi="Arial"/>
          <w:sz w:val="14"/>
          <w:szCs w:val="14"/>
          <w:color w:val="auto"/>
        </w:rPr>
        <w:t>As illustrated below, the board also conducts an annual peer evaluation in which each director is afforded the opportunity to comment anonymously on each other director’s performance. In order to help ensure the objectivity and integrity of this process, an outside law firm is engaged every year to conduct this peer review evaluation and compile the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64045" cy="1545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64045" cy="154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 w:right="20"/>
        <w:spacing w:after="0" w:line="249" w:lineRule="auto"/>
        <w:rPr>
          <w:sz w:val="20"/>
          <w:szCs w:val="20"/>
          <w:color w:val="auto"/>
        </w:rPr>
      </w:pPr>
      <w:r>
        <w:rPr>
          <w:rFonts w:ascii="Arial" w:cs="Arial" w:eastAsia="Arial" w:hAnsi="Arial"/>
          <w:sz w:val="14"/>
          <w:szCs w:val="14"/>
          <w:color w:val="auto"/>
        </w:rPr>
        <w:t>The evaluations are reviewed by the Corporate Governance Committee, which makes recommendations to the board regarding nominees to stand for election as directors, and by the board in its annual review of the individual performance, commitments and qualifications of each director who may wish to be considered for nomination for re-election for an additional term. Our board appreciates the importance of critically evaluating directors and their contributions to the board in connection with the re-nomination decision, including their collective skills, qualifications and experience, feedback from the annual board evaluation, and individual performance, attendance, participation, independence and outside board and other affiliations.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214630</wp:posOffset>
            </wp:positionV>
            <wp:extent cx="739140" cy="153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11</w:t>
      </w:r>
    </w:p>
    <w:p>
      <w:pPr>
        <w:sectPr>
          <w:pgSz w:w="11900" w:h="16838" w:orient="portrait"/>
          <w:cols w:equalWidth="0" w:num="1">
            <w:col w:w="11080"/>
          </w:cols>
          <w:pgMar w:left="320" w:top="478"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Corporate Governance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Thoughtful Board Refreshment</w:t>
      </w:r>
    </w:p>
    <w:p>
      <w:pPr>
        <w:spacing w:after="0" w:line="129" w:lineRule="exact"/>
        <w:rPr>
          <w:sz w:val="20"/>
          <w:szCs w:val="20"/>
          <w:color w:val="auto"/>
        </w:rPr>
      </w:pPr>
    </w:p>
    <w:p>
      <w:pPr>
        <w:ind w:left="160" w:right="40"/>
        <w:spacing w:after="0" w:line="281" w:lineRule="auto"/>
        <w:rPr>
          <w:sz w:val="20"/>
          <w:szCs w:val="20"/>
          <w:color w:val="auto"/>
        </w:rPr>
      </w:pPr>
      <w:r>
        <w:rPr>
          <w:rFonts w:ascii="Arial" w:cs="Arial" w:eastAsia="Arial" w:hAnsi="Arial"/>
          <w:sz w:val="14"/>
          <w:szCs w:val="14"/>
          <w:color w:val="auto"/>
        </w:rPr>
        <w:t>Our board is committed to thoughtful board refreshment designed to maintain balanced and varied board composition and tenure. To this end, the board has onboarded 36% of its current directors within the past five years, including two directors who joined the board in 2025.</w:t>
      </w:r>
    </w:p>
    <w:p>
      <w:pPr>
        <w:spacing w:after="0" w:line="51" w:lineRule="exact"/>
        <w:rPr>
          <w:sz w:val="20"/>
          <w:szCs w:val="20"/>
          <w:color w:val="auto"/>
        </w:rPr>
      </w:pPr>
    </w:p>
    <w:p>
      <w:pPr>
        <w:ind w:left="160" w:right="20"/>
        <w:spacing w:after="0" w:line="281" w:lineRule="auto"/>
        <w:rPr>
          <w:sz w:val="20"/>
          <w:szCs w:val="20"/>
          <w:color w:val="auto"/>
        </w:rPr>
      </w:pPr>
      <w:r>
        <w:rPr>
          <w:rFonts w:ascii="Arial" w:cs="Arial" w:eastAsia="Arial" w:hAnsi="Arial"/>
          <w:sz w:val="14"/>
          <w:szCs w:val="14"/>
          <w:color w:val="auto"/>
        </w:rPr>
        <w:t>Our board refreshment efforts are supported by the Corporate Governance Committee, which is responsible for identifying qualified candidates for consideration as members of the Board of Directors, consistent with criteria approved by the board. The chart below summarizes the committee’s ongoing and proactive refreshment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64045" cy="781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64045" cy="78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 w:right="340"/>
        <w:spacing w:after="0" w:line="281" w:lineRule="auto"/>
        <w:rPr>
          <w:sz w:val="20"/>
          <w:szCs w:val="20"/>
          <w:color w:val="auto"/>
        </w:rPr>
      </w:pPr>
      <w:r>
        <w:rPr>
          <w:rFonts w:ascii="Arial" w:cs="Arial" w:eastAsia="Arial" w:hAnsi="Arial"/>
          <w:sz w:val="14"/>
          <w:szCs w:val="14"/>
          <w:color w:val="auto"/>
        </w:rPr>
        <w:t>For a further discussion of the Corporate Governance Committee’s role in our board refreshment process, see “Board Committees—Corporate Governance Committee” below.</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The Board’s Role in Risk Oversight</w:t>
      </w:r>
    </w:p>
    <w:p>
      <w:pPr>
        <w:spacing w:after="0" w:line="129" w:lineRule="exact"/>
        <w:rPr>
          <w:sz w:val="20"/>
          <w:szCs w:val="20"/>
          <w:color w:val="auto"/>
        </w:rPr>
      </w:pPr>
    </w:p>
    <w:p>
      <w:pPr>
        <w:ind w:left="160" w:right="140"/>
        <w:spacing w:after="0" w:line="253" w:lineRule="auto"/>
        <w:rPr>
          <w:sz w:val="20"/>
          <w:szCs w:val="20"/>
          <w:color w:val="auto"/>
        </w:rPr>
      </w:pPr>
      <w:r>
        <w:rPr>
          <w:rFonts w:ascii="Arial" w:cs="Arial" w:eastAsia="Arial" w:hAnsi="Arial"/>
          <w:sz w:val="14"/>
          <w:szCs w:val="14"/>
          <w:color w:val="auto"/>
        </w:rPr>
        <w:t>Risks are inherent in our business operations, including risks related to public and employee safety, operations and business activities, financial matters, human capital management, regulatory and compliance, climate and the environment, cybersecurity, and reputational impacts, among others. The board annually reviews an assessment from senior management on its view of Sempra’s most material risks and mitigation strategies for these risks, and the board and its committees, as appropriate, oversee these and other important risks as described below.</w:t>
      </w:r>
    </w:p>
    <w:p>
      <w:pPr>
        <w:spacing w:after="0" w:line="70" w:lineRule="exact"/>
        <w:rPr>
          <w:sz w:val="20"/>
          <w:szCs w:val="20"/>
          <w:color w:val="auto"/>
        </w:rPr>
      </w:pPr>
    </w:p>
    <w:p>
      <w:pPr>
        <w:jc w:val="both"/>
        <w:ind w:left="160" w:right="200"/>
        <w:spacing w:after="0" w:line="260" w:lineRule="auto"/>
        <w:rPr>
          <w:sz w:val="20"/>
          <w:szCs w:val="20"/>
          <w:color w:val="auto"/>
        </w:rPr>
      </w:pPr>
      <w:r>
        <w:rPr>
          <w:rFonts w:ascii="Arial" w:cs="Arial" w:eastAsia="Arial" w:hAnsi="Arial"/>
          <w:sz w:val="14"/>
          <w:szCs w:val="14"/>
          <w:color w:val="auto"/>
        </w:rPr>
        <w:t>Sempra’s board has ultimate responsibility for risk oversight. Consistent with this responsibility, our Corporate Governance Guidelines provide that the specific functions of the Board of Directors include assessing and monitoring risks and risk management strategies. In its risk oversight role, the board reviews key aspects of our businesses, including, among others:</w:t>
      </w:r>
    </w:p>
    <w:p>
      <w:pPr>
        <w:sectPr>
          <w:pgSz w:w="11900" w:h="16838" w:orient="portrait"/>
          <w:cols w:equalWidth="0" w:num="1">
            <w:col w:w="11080"/>
          </w:cols>
          <w:pgMar w:left="320" w:top="478" w:right="499" w:bottom="1440" w:gutter="0" w:footer="0" w:header="0"/>
        </w:sectPr>
      </w:pPr>
    </w:p>
    <w:p>
      <w:pPr>
        <w:spacing w:after="0" w:line="132" w:lineRule="exact"/>
        <w:rPr>
          <w:sz w:val="20"/>
          <w:szCs w:val="20"/>
          <w:color w:val="auto"/>
        </w:rPr>
      </w:pPr>
    </w:p>
    <w:p>
      <w:pPr>
        <w:ind w:left="620" w:hanging="239"/>
        <w:spacing w:after="0"/>
        <w:tabs>
          <w:tab w:leader="none" w:pos="620" w:val="left"/>
        </w:tabs>
        <w:numPr>
          <w:ilvl w:val="0"/>
          <w:numId w:val="27"/>
        </w:numPr>
        <w:rPr>
          <w:rFonts w:ascii="Times New Roman" w:cs="Times New Roman" w:eastAsia="Times New Roman" w:hAnsi="Times New Roman"/>
          <w:sz w:val="14"/>
          <w:szCs w:val="14"/>
          <w:color w:val="005CB9"/>
        </w:rPr>
      </w:pPr>
      <w:r>
        <w:rPr>
          <w:rFonts w:ascii="Arial" w:cs="Arial" w:eastAsia="Arial" w:hAnsi="Arial"/>
          <w:sz w:val="14"/>
          <w:szCs w:val="14"/>
          <w:color w:val="auto"/>
        </w:rPr>
        <w:t>The appropriate capital structure for our businesses</w:t>
      </w:r>
    </w:p>
    <w:p>
      <w:pPr>
        <w:spacing w:after="0" w:line="119" w:lineRule="exact"/>
        <w:rPr>
          <w:rFonts w:ascii="Times New Roman" w:cs="Times New Roman" w:eastAsia="Times New Roman" w:hAnsi="Times New Roman"/>
          <w:sz w:val="14"/>
          <w:szCs w:val="14"/>
          <w:color w:val="005CB9"/>
        </w:rPr>
      </w:pPr>
    </w:p>
    <w:p>
      <w:pPr>
        <w:ind w:left="620" w:right="600" w:hanging="239"/>
        <w:spacing w:after="0" w:line="280" w:lineRule="auto"/>
        <w:tabs>
          <w:tab w:leader="none" w:pos="620" w:val="left"/>
        </w:tabs>
        <w:numPr>
          <w:ilvl w:val="0"/>
          <w:numId w:val="27"/>
        </w:numPr>
        <w:rPr>
          <w:rFonts w:ascii="Times New Roman" w:cs="Times New Roman" w:eastAsia="Times New Roman" w:hAnsi="Times New Roman"/>
          <w:sz w:val="14"/>
          <w:szCs w:val="14"/>
          <w:color w:val="005CB9"/>
        </w:rPr>
      </w:pPr>
      <w:r>
        <w:rPr>
          <w:rFonts w:ascii="Arial" w:cs="Arial" w:eastAsia="Arial" w:hAnsi="Arial"/>
          <w:sz w:val="14"/>
          <w:szCs w:val="14"/>
          <w:color w:val="auto"/>
        </w:rPr>
        <w:t>Utility investment plans consistent with state policy objectives and regulatory review and approval of significant investments</w:t>
      </w:r>
    </w:p>
    <w:p>
      <w:pPr>
        <w:spacing w:after="0" w:line="64" w:lineRule="exact"/>
        <w:rPr>
          <w:rFonts w:ascii="Times New Roman" w:cs="Times New Roman" w:eastAsia="Times New Roman" w:hAnsi="Times New Roman"/>
          <w:sz w:val="14"/>
          <w:szCs w:val="14"/>
          <w:color w:val="005CB9"/>
        </w:rPr>
      </w:pPr>
    </w:p>
    <w:p>
      <w:pPr>
        <w:ind w:left="620" w:hanging="239"/>
        <w:spacing w:after="0" w:line="252" w:lineRule="auto"/>
        <w:tabs>
          <w:tab w:leader="none" w:pos="620" w:val="left"/>
        </w:tabs>
        <w:numPr>
          <w:ilvl w:val="0"/>
          <w:numId w:val="27"/>
        </w:numPr>
        <w:rPr>
          <w:rFonts w:ascii="Times New Roman" w:cs="Times New Roman" w:eastAsia="Times New Roman" w:hAnsi="Times New Roman"/>
          <w:sz w:val="14"/>
          <w:szCs w:val="14"/>
          <w:color w:val="005CB9"/>
        </w:rPr>
      </w:pPr>
      <w:r>
        <w:rPr>
          <w:rFonts w:ascii="Arial" w:cs="Arial" w:eastAsia="Arial" w:hAnsi="Arial"/>
          <w:sz w:val="14"/>
          <w:szCs w:val="14"/>
          <w:color w:val="auto"/>
        </w:rPr>
        <w:t>Non-utility investment policies, including requiring contractual commitments from third parties to purchase a substantial portion of the capacity or output of major non-utility projects before commencing construction on the projects, subject to exceptions</w:t>
      </w:r>
    </w:p>
    <w:p>
      <w:pPr>
        <w:spacing w:after="0" w:line="85" w:lineRule="exact"/>
        <w:rPr>
          <w:rFonts w:ascii="Times New Roman" w:cs="Times New Roman" w:eastAsia="Times New Roman" w:hAnsi="Times New Roman"/>
          <w:sz w:val="14"/>
          <w:szCs w:val="14"/>
          <w:color w:val="005CB9"/>
        </w:rPr>
      </w:pPr>
    </w:p>
    <w:p>
      <w:pPr>
        <w:ind w:left="620" w:right="380" w:hanging="239"/>
        <w:spacing w:after="0" w:line="259" w:lineRule="auto"/>
        <w:tabs>
          <w:tab w:leader="none" w:pos="620" w:val="left"/>
        </w:tabs>
        <w:numPr>
          <w:ilvl w:val="0"/>
          <w:numId w:val="27"/>
        </w:numPr>
        <w:rPr>
          <w:rFonts w:ascii="Times New Roman" w:cs="Times New Roman" w:eastAsia="Times New Roman" w:hAnsi="Times New Roman"/>
          <w:sz w:val="14"/>
          <w:szCs w:val="14"/>
          <w:color w:val="005CB9"/>
        </w:rPr>
      </w:pPr>
      <w:r>
        <w:rPr>
          <w:rFonts w:ascii="Arial" w:cs="Arial" w:eastAsia="Arial" w:hAnsi="Arial"/>
          <w:sz w:val="14"/>
          <w:szCs w:val="14"/>
          <w:color w:val="auto"/>
        </w:rPr>
        <w:t>An employee compensation program that encourages and rewards sustainable growth in our businesses and is within an acceptable risk profile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233" w:right="20" w:hanging="233"/>
        <w:spacing w:after="0" w:line="280" w:lineRule="auto"/>
        <w:tabs>
          <w:tab w:leader="none" w:pos="233" w:val="left"/>
        </w:tabs>
        <w:numPr>
          <w:ilvl w:val="0"/>
          <w:numId w:val="28"/>
        </w:numPr>
        <w:rPr>
          <w:rFonts w:ascii="Times New Roman" w:cs="Times New Roman" w:eastAsia="Times New Roman" w:hAnsi="Times New Roman"/>
          <w:sz w:val="14"/>
          <w:szCs w:val="14"/>
          <w:color w:val="005CB9"/>
        </w:rPr>
      </w:pPr>
      <w:r>
        <w:rPr>
          <w:rFonts w:ascii="Arial" w:cs="Arial" w:eastAsia="Arial" w:hAnsi="Arial"/>
          <w:sz w:val="14"/>
          <w:szCs w:val="14"/>
          <w:color w:val="auto"/>
        </w:rPr>
        <w:t>Commitment policies that require board review and/or approval above certain dollar thresholds</w:t>
      </w:r>
    </w:p>
    <w:p>
      <w:pPr>
        <w:spacing w:after="0" w:line="64" w:lineRule="exact"/>
        <w:rPr>
          <w:rFonts w:ascii="Times New Roman" w:cs="Times New Roman" w:eastAsia="Times New Roman" w:hAnsi="Times New Roman"/>
          <w:sz w:val="14"/>
          <w:szCs w:val="14"/>
          <w:color w:val="005CB9"/>
        </w:rPr>
      </w:pPr>
    </w:p>
    <w:p>
      <w:pPr>
        <w:ind w:left="233" w:right="220" w:hanging="233"/>
        <w:spacing w:after="0" w:line="259" w:lineRule="auto"/>
        <w:tabs>
          <w:tab w:leader="none" w:pos="233" w:val="left"/>
        </w:tabs>
        <w:numPr>
          <w:ilvl w:val="0"/>
          <w:numId w:val="28"/>
        </w:numPr>
        <w:rPr>
          <w:rFonts w:ascii="Times New Roman" w:cs="Times New Roman" w:eastAsia="Times New Roman" w:hAnsi="Times New Roman"/>
          <w:sz w:val="14"/>
          <w:szCs w:val="14"/>
          <w:color w:val="005CB9"/>
        </w:rPr>
      </w:pPr>
      <w:r>
        <w:rPr>
          <w:rFonts w:ascii="Arial" w:cs="Arial" w:eastAsia="Arial" w:hAnsi="Arial"/>
          <w:sz w:val="14"/>
          <w:szCs w:val="14"/>
          <w:color w:val="auto"/>
        </w:rPr>
        <w:t>The company’s commitment to a high-performance culture with a focus on key areas of our operations, such as safety, sustainability, culture and belonging and customer service</w:t>
      </w:r>
    </w:p>
    <w:p>
      <w:pPr>
        <w:spacing w:after="0" w:line="79" w:lineRule="exact"/>
        <w:rPr>
          <w:rFonts w:ascii="Times New Roman" w:cs="Times New Roman" w:eastAsia="Times New Roman" w:hAnsi="Times New Roman"/>
          <w:sz w:val="14"/>
          <w:szCs w:val="14"/>
          <w:color w:val="005CB9"/>
        </w:rPr>
      </w:pPr>
    </w:p>
    <w:p>
      <w:pPr>
        <w:ind w:left="233" w:right="20" w:hanging="233"/>
        <w:spacing w:after="0" w:line="259" w:lineRule="auto"/>
        <w:tabs>
          <w:tab w:leader="none" w:pos="233" w:val="left"/>
        </w:tabs>
        <w:numPr>
          <w:ilvl w:val="0"/>
          <w:numId w:val="28"/>
        </w:numPr>
        <w:rPr>
          <w:rFonts w:ascii="Times New Roman" w:cs="Times New Roman" w:eastAsia="Times New Roman" w:hAnsi="Times New Roman"/>
          <w:sz w:val="14"/>
          <w:szCs w:val="14"/>
          <w:color w:val="005CB9"/>
        </w:rPr>
      </w:pPr>
      <w:r>
        <w:rPr>
          <w:rFonts w:ascii="Arial" w:cs="Arial" w:eastAsia="Arial" w:hAnsi="Arial"/>
          <w:sz w:val="14"/>
          <w:szCs w:val="14"/>
          <w:color w:val="auto"/>
        </w:rPr>
        <w:t>With respect to investments in which we do not operate or control the applicable entity, careful selection of business partners and representation on the entity’s board or equivalent governing body when possible</w:t>
      </w:r>
    </w:p>
    <w:p>
      <w:pPr>
        <w:spacing w:after="0" w:line="641" w:lineRule="exact"/>
        <w:rPr>
          <w:sz w:val="20"/>
          <w:szCs w:val="20"/>
          <w:color w:val="auto"/>
        </w:rPr>
      </w:pPr>
    </w:p>
    <w:p>
      <w:pPr>
        <w:sectPr>
          <w:pgSz w:w="11900" w:h="16838" w:orient="portrait"/>
          <w:cols w:equalWidth="0" w:num="2">
            <w:col w:w="5360" w:space="587"/>
            <w:col w:w="5133"/>
          </w:cols>
          <w:pgMar w:left="320" w:top="478" w:right="499" w:bottom="1440" w:gutter="0" w:footer="0" w:header="0"/>
          <w:type w:val="continuous"/>
        </w:sectPr>
      </w:pPr>
    </w:p>
    <w:p>
      <w:pPr>
        <w:spacing w:after="0" w:line="147" w:lineRule="exact"/>
        <w:rPr>
          <w:sz w:val="20"/>
          <w:szCs w:val="20"/>
          <w:color w:val="auto"/>
        </w:rPr>
      </w:pPr>
    </w:p>
    <w:p>
      <w:pPr>
        <w:ind w:left="160"/>
        <w:spacing w:after="0" w:line="243" w:lineRule="auto"/>
        <w:rPr>
          <w:sz w:val="20"/>
          <w:szCs w:val="20"/>
          <w:color w:val="auto"/>
        </w:rPr>
      </w:pPr>
      <w:r>
        <w:rPr>
          <w:rFonts w:ascii="Arial" w:cs="Arial" w:eastAsia="Arial" w:hAnsi="Arial"/>
          <w:sz w:val="14"/>
          <w:szCs w:val="14"/>
          <w:color w:val="auto"/>
        </w:rPr>
        <w:t>The board fulfills its risk oversight function by, among other things, discussing material risks and opportunities with management, engaging outside experts when needed, selecting director candidates with wide-ranging experience and qualifications and staying informed about developments in our industry and other current events that may signal meaningful emerging or heightened risks or otherwise impact the company, such as artificial intelligence and data governance, tariffs and supply chain impacts, among others. The board also reviews senior management reports provided to the board and to appropriate board committees, which are informed by an enterprise risk management policy and an integrated risk management framework developed to assess, prioritize and monitor risks across our operations. This policy and framework are overseen by Sempra’s Chief Risk Officer, who regularly interacts with the board regarding the company’s risk management practices, policies and related matters. The board may adjust the frequency and manner of its risk oversight activities from time to time based on the nature of the company’s material risks. The board also reviews and monitors strategic, financial and operating plans and goals intended to support sustainable long-term growth, and each of our principal operating companies is responsible for identifying and managing risk in a manner consistent with these plans and goals. Additionally, the board utilizes various committees to focus on specific risk areas as described below.</w:t>
      </w:r>
    </w:p>
    <w:p>
      <w:pPr>
        <w:spacing w:after="0" w:line="245" w:lineRule="exact"/>
        <w:rPr>
          <w:sz w:val="20"/>
          <w:szCs w:val="20"/>
          <w:color w:val="auto"/>
        </w:rPr>
      </w:pPr>
    </w:p>
    <w:p>
      <w:pPr>
        <w:ind w:left="160" w:right="60"/>
        <w:spacing w:after="0" w:line="243" w:lineRule="auto"/>
        <w:rPr>
          <w:sz w:val="20"/>
          <w:szCs w:val="20"/>
          <w:color w:val="auto"/>
        </w:rPr>
      </w:pPr>
      <w:r>
        <w:rPr>
          <w:rFonts w:ascii="Arial" w:cs="Arial" w:eastAsia="Arial" w:hAnsi="Arial"/>
          <w:sz w:val="14"/>
          <w:szCs w:val="14"/>
          <w:color w:val="auto"/>
        </w:rPr>
        <w:t>The board believes that risk oversight requires more than any one committee. As a result, the board has diversified its risk oversight responsibilities across its membership, housing categories of risk oversight within standing board committees by topic and forming ad hoc committees to oversee certain risks as needed. This helps to focus committee members on specific risk areas and to direct risks by category to the committees and committee members best suited to oversee them. For example, the responsibilities of the board’s Safety, Sustainability and Technology Committee include oversight of the company’s overall safety and health practices and safety culture, reinforcing our company’s strong commitment to safety. This committee also oversees a variety of other matters, including cybersecurity, technology, sustainability, and other climate, environmental and social issues affecting the company’s businesses. As part of its responsibilities, this committee oversees cybersecurity and other information technology risks and keeps abreast of technology advancements important to our businesses and other current events or developments that could impact our cybersecurity risk, including with respect to the use and integration of artificial intelligence in our operations. Oversight of any risk areas that do not fall within the responsibility of a particular committee remains with the full board. The committee chairs periodically report to the full board regarding their respective committees’ risk oversight roles. For additional information on the responsibilities of our standing board committees, see “Board Committees”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92075</wp:posOffset>
            </wp:positionV>
            <wp:extent cx="69297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12               </w:t>
      </w:r>
      <w:r>
        <w:rPr>
          <w:sz w:val="1"/>
          <w:szCs w:val="1"/>
          <w:color w:val="auto"/>
        </w:rPr>
        <w:drawing>
          <wp:inline distT="0" distB="0" distL="0" distR="0">
            <wp:extent cx="739140" cy="15303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Corporate Governance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The Board’s Oversight of Sustainability Matters</w:t>
      </w:r>
    </w:p>
    <w:p>
      <w:pPr>
        <w:spacing w:after="0" w:line="129" w:lineRule="exact"/>
        <w:rPr>
          <w:sz w:val="20"/>
          <w:szCs w:val="20"/>
          <w:color w:val="auto"/>
        </w:rPr>
      </w:pPr>
    </w:p>
    <w:p>
      <w:pPr>
        <w:ind w:left="160" w:right="540"/>
        <w:spacing w:after="0" w:line="281" w:lineRule="auto"/>
        <w:rPr>
          <w:sz w:val="20"/>
          <w:szCs w:val="20"/>
          <w:color w:val="auto"/>
        </w:rPr>
      </w:pPr>
      <w:r>
        <w:rPr>
          <w:rFonts w:ascii="Arial" w:cs="Arial" w:eastAsia="Arial" w:hAnsi="Arial"/>
          <w:sz w:val="14"/>
          <w:szCs w:val="14"/>
          <w:color w:val="auto"/>
        </w:rPr>
        <w:t>The board recognizes the importance of overseeing risks and opportunities related to responsible governance, safety, environmental stewardship, human capital and stakeholder engagement consistent with our vision, mission and values.</w:t>
      </w:r>
    </w:p>
    <w:p>
      <w:pPr>
        <w:spacing w:after="0" w:line="51" w:lineRule="exact"/>
        <w:rPr>
          <w:sz w:val="20"/>
          <w:szCs w:val="20"/>
          <w:color w:val="auto"/>
        </w:rPr>
      </w:pPr>
    </w:p>
    <w:p>
      <w:pPr>
        <w:ind w:left="160" w:right="100"/>
        <w:spacing w:after="0" w:line="244" w:lineRule="auto"/>
        <w:rPr>
          <w:sz w:val="20"/>
          <w:szCs w:val="20"/>
          <w:color w:val="auto"/>
        </w:rPr>
      </w:pPr>
      <w:r>
        <w:rPr>
          <w:rFonts w:ascii="Arial" w:cs="Arial" w:eastAsia="Arial" w:hAnsi="Arial"/>
          <w:sz w:val="14"/>
          <w:szCs w:val="14"/>
          <w:color w:val="auto"/>
        </w:rPr>
        <w:t>As a general practice, the board monitors overall governance processes and delegates specific areas of focus to standing committees, including for sustainability matters. The board has delegated to the Safety, Sustainability and Technology Committee the responsibility to oversee the company’s risk management and oversight programs and performance related to safety, safety culture, health, security, cybersecurity, technology, climate change, environment, sustainability, human rights and related matters. The board reviews annually and updates as necessary the Safety, Sustainability and Technology Committee’s charter with a view to further strengthen and clarify the way this committee oversees and considers sustainability and other related matters, including emerging risks. In addition, the board’s Compensation and Talent Development Committee is responsible for overseeing the company’s programs and initiatives related to human capital matters, including our commitment to fostering an inclusive workplace, and also determines executive compensation metrics related to safety and responsible business practices. Additional standing committees, such as the Audit Committee and Corporate Governance Committee, also support in overseeing the integration and strengthening of responsible business practices throughout the organization with respect to their specific areas of responsibility.</w:t>
      </w:r>
    </w:p>
    <w:p>
      <w:pPr>
        <w:spacing w:after="0" w:line="78" w:lineRule="exact"/>
        <w:rPr>
          <w:sz w:val="20"/>
          <w:szCs w:val="20"/>
          <w:color w:val="auto"/>
        </w:rPr>
      </w:pPr>
    </w:p>
    <w:p>
      <w:pPr>
        <w:ind w:left="160" w:right="20"/>
        <w:spacing w:after="0" w:line="246" w:lineRule="auto"/>
        <w:rPr>
          <w:sz w:val="20"/>
          <w:szCs w:val="20"/>
          <w:color w:val="auto"/>
        </w:rPr>
      </w:pPr>
      <w:r>
        <w:rPr>
          <w:rFonts w:ascii="Arial" w:cs="Arial" w:eastAsia="Arial" w:hAnsi="Arial"/>
          <w:sz w:val="14"/>
          <w:szCs w:val="14"/>
          <w:color w:val="auto"/>
        </w:rPr>
        <w:t>Management also has committees that meet regularly to discuss topics related to Sempra’s sustainable business strategy. These committees include the Corporate Executive Team for Sustainability, made up of Sempra officers representing accounting, corporate development, legal, human resources, audit, investor relations and corporate governance and chaired by the Chief Sustainability Officer (CSO); the enterprise Sustainability Steering Committee, comprising senior sustainability leaders across Sempra’s businesses; and the Compliance and Enterprise Risk Committee (CERC), made up of the chief compliance officers of Sempra, SDG&amp;E, SoCalGas and Sempra Infrastructure as well as Sempra officers representing legal, audit, human resources and corporate affairs. The CERC is chaired by Sempra’s Chief Compliance Officer (CCO), who is also the CSO. The CSO/CCO informs the board of the topics covered by these committees as the board works to collaborate with management to address key issues facing our company and our industry.</w:t>
      </w:r>
    </w:p>
    <w:p>
      <w:pPr>
        <w:spacing w:after="0" w:line="75" w:lineRule="exact"/>
        <w:rPr>
          <w:sz w:val="20"/>
          <w:szCs w:val="20"/>
          <w:color w:val="auto"/>
        </w:rPr>
      </w:pPr>
    </w:p>
    <w:p>
      <w:pPr>
        <w:ind w:left="160" w:right="60"/>
        <w:spacing w:after="0" w:line="246" w:lineRule="auto"/>
        <w:rPr>
          <w:sz w:val="20"/>
          <w:szCs w:val="20"/>
          <w:color w:val="auto"/>
        </w:rPr>
      </w:pPr>
      <w:r>
        <w:rPr>
          <w:rFonts w:ascii="Arial" w:cs="Arial" w:eastAsia="Arial" w:hAnsi="Arial"/>
          <w:sz w:val="14"/>
          <w:szCs w:val="14"/>
          <w:color w:val="auto"/>
        </w:rPr>
        <w:t>Our directors come from a variety of professional backgrounds including global companies, government service and public policy, financial institution leadership, and others, both within and outside of our industry. A number of our directors have had direct exposure to, and in many cases, direct oversight or decision-making responsibility for, key environmental, human capital, cybersecurity, and regulatory and government affairs matters. This includes experience and leadership in the global energy industry, including renewable energy, where sustainable business practices, such as decarbonization and climate resilience measures, have been priorities. Our directors also bring knowledge and insight from leadership on other public company boards, deepening our board’s collective understanding of cross-cutting matters relating to these topics. These varied backgrounds, experiences and insights better equip our directors to guide the company in its assessment and management of evolving sustainability-related risks and opportunities, including related to the topics discussed below that continue to be a strong focus for our board.</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High-Performance Culture</w:t>
      </w:r>
    </w:p>
    <w:p>
      <w:pPr>
        <w:spacing w:after="0" w:line="139" w:lineRule="exact"/>
        <w:rPr>
          <w:sz w:val="20"/>
          <w:szCs w:val="20"/>
          <w:color w:val="auto"/>
        </w:rPr>
      </w:pPr>
    </w:p>
    <w:p>
      <w:pPr>
        <w:ind w:left="160" w:right="2140"/>
        <w:spacing w:after="0" w:line="253" w:lineRule="auto"/>
        <w:rPr>
          <w:sz w:val="20"/>
          <w:szCs w:val="20"/>
          <w:color w:val="auto"/>
        </w:rPr>
      </w:pPr>
      <w:r>
        <w:rPr>
          <w:rFonts w:ascii="Arial" w:cs="Arial" w:eastAsia="Arial" w:hAnsi="Arial"/>
          <w:sz w:val="14"/>
          <w:szCs w:val="14"/>
          <w:color w:val="auto"/>
        </w:rPr>
        <w:t>The board actively oversees management’s commitment to building a high-performance culture that is consistent with our ethical and responsible business practices and our company values – do the right thing, champion people and shape the future. Sempra’s high-performance culture has an unwavering focus on safety in everything we do, an emphasis on leadership and employee development, and a recognition that an inclusive environment can propel our workforce and performance for the markets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-424815</wp:posOffset>
            </wp:positionV>
            <wp:extent cx="560705" cy="5861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0705" cy="586105"/>
                    </a:xfrm>
                    <a:prstGeom prst="rect">
                      <a:avLst/>
                    </a:prstGeom>
                    <a:noFill/>
                  </pic:spPr>
                </pic:pic>
              </a:graphicData>
            </a:graphic>
          </wp:anchor>
        </w:drawing>
      </w:r>
    </w:p>
    <w:p>
      <w:pPr>
        <w:spacing w:after="0" w:line="2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Safety</w:t>
      </w:r>
    </w:p>
    <w:p>
      <w:pPr>
        <w:spacing w:after="0" w:line="110" w:lineRule="exact"/>
        <w:rPr>
          <w:sz w:val="20"/>
          <w:szCs w:val="20"/>
          <w:color w:val="auto"/>
        </w:rPr>
      </w:pPr>
    </w:p>
    <w:p>
      <w:pPr>
        <w:ind w:left="160" w:right="80"/>
        <w:spacing w:after="0" w:line="247" w:lineRule="auto"/>
        <w:rPr>
          <w:sz w:val="20"/>
          <w:szCs w:val="20"/>
          <w:color w:val="auto"/>
        </w:rPr>
      </w:pPr>
      <w:r>
        <w:rPr>
          <w:rFonts w:ascii="Arial" w:cs="Arial" w:eastAsia="Arial" w:hAnsi="Arial"/>
          <w:sz w:val="14"/>
          <w:szCs w:val="14"/>
          <w:color w:val="auto"/>
        </w:rPr>
        <w:t>Health and safety are foundational to the Sempra family of companies. Safety is ingrained in, and a key component of, our high-performance culture and is prioritized in planning and resource allocation across the organization. Through training and awareness-building on the importance of learning from experience and sharing lessons learned, our leaders strive to foster an environment where employees and contractors are empowered to act in the interest of personal, public and infrastructure safety at all times. Comprehensive safety management plans that follow applicable safety laws, regulations and protocols are integral to our approach. Each of our operating companies manages the safe operation of its assets, with oversight provided by its board of directors. The Sempra board’s Safety, Sustainability and Technology Committee regularly receives reports regarding operating company health and safety matters.</w:t>
      </w:r>
    </w:p>
    <w:p>
      <w:pPr>
        <w:spacing w:after="0" w:line="76" w:lineRule="exact"/>
        <w:rPr>
          <w:sz w:val="20"/>
          <w:szCs w:val="20"/>
          <w:color w:val="auto"/>
        </w:rPr>
      </w:pPr>
    </w:p>
    <w:p>
      <w:pPr>
        <w:ind w:left="160" w:right="260"/>
        <w:spacing w:after="0" w:line="253" w:lineRule="auto"/>
        <w:rPr>
          <w:sz w:val="20"/>
          <w:szCs w:val="20"/>
          <w:color w:val="auto"/>
        </w:rPr>
      </w:pPr>
      <w:r>
        <w:rPr>
          <w:rFonts w:ascii="Arial" w:cs="Arial" w:eastAsia="Arial" w:hAnsi="Arial"/>
          <w:sz w:val="14"/>
          <w:szCs w:val="14"/>
          <w:color w:val="auto"/>
        </w:rPr>
        <w:t>The Sempra board and its applicable committees oversee management’s efforts to uphold the safety culture of the Sempra organization through, among other things, the questions they ask, the focus they place on key health and safety issues, the input they provide to management during board and committee meetings and the overall compensation programs they approve, including basing a portion of executive compensation on the company’s performance on key public and employee safety and cybersecurity measures.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 Development</w:t>
      </w:r>
    </w:p>
    <w:p>
      <w:pPr>
        <w:spacing w:after="0" w:line="110" w:lineRule="exact"/>
        <w:rPr>
          <w:sz w:val="20"/>
          <w:szCs w:val="20"/>
          <w:color w:val="auto"/>
        </w:rPr>
      </w:pPr>
    </w:p>
    <w:p>
      <w:pPr>
        <w:ind w:left="160" w:right="100"/>
        <w:spacing w:after="0" w:line="249" w:lineRule="auto"/>
        <w:rPr>
          <w:sz w:val="20"/>
          <w:szCs w:val="20"/>
          <w:color w:val="auto"/>
        </w:rPr>
      </w:pPr>
      <w:r>
        <w:rPr>
          <w:rFonts w:ascii="Arial" w:cs="Arial" w:eastAsia="Arial" w:hAnsi="Arial"/>
          <w:sz w:val="14"/>
          <w:szCs w:val="14"/>
          <w:color w:val="auto"/>
        </w:rPr>
        <w:t>Our board, primarily through its Compensation and Talent Development Committee, oversees initiatives in recruitment, development and retention of high-performing employees. We invest in a range of programs to advance a robust talent development pipeline, including internal and external mentoring and leadership training, learning and networking opportunities, workshops and a tuition reimbursement program. In addition, we offer a variety of employee community service opportunities. At our U.S. operations, we support employees’ personal volunteering and charitable giving through the charitable matching program of the Sempra Foundation, which was founded and is solely funded by 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214630</wp:posOffset>
            </wp:positionV>
            <wp:extent cx="739140" cy="144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13</w:t>
      </w:r>
    </w:p>
    <w:p>
      <w:pPr>
        <w:sectPr>
          <w:pgSz w:w="11900" w:h="16838" w:orient="portrait"/>
          <w:cols w:equalWidth="0" w:num="1">
            <w:col w:w="11080"/>
          </w:cols>
          <w:pgMar w:left="320" w:top="478"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Corporate Governance</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Performance Through Inclusion and Belonging</w:t>
      </w:r>
    </w:p>
    <w:p>
      <w:pPr>
        <w:spacing w:after="0" w:line="110" w:lineRule="exact"/>
        <w:rPr>
          <w:sz w:val="20"/>
          <w:szCs w:val="20"/>
          <w:color w:val="auto"/>
        </w:rPr>
      </w:pPr>
    </w:p>
    <w:p>
      <w:pPr>
        <w:ind w:left="160" w:right="160"/>
        <w:spacing w:after="0" w:line="253" w:lineRule="auto"/>
        <w:rPr>
          <w:sz w:val="20"/>
          <w:szCs w:val="20"/>
          <w:color w:val="auto"/>
        </w:rPr>
      </w:pPr>
      <w:r>
        <w:rPr>
          <w:rFonts w:ascii="Arial" w:cs="Arial" w:eastAsia="Arial" w:hAnsi="Arial"/>
          <w:sz w:val="14"/>
          <w:szCs w:val="14"/>
          <w:color w:val="auto"/>
        </w:rPr>
        <w:t>Our board takes an active role, primarily through its Compensation and Talent Development Committee, in overseeing efforts to champion the markets we serve and maintain an engaged workforce that feels empowered to bring their whole, authentic selves to work. The board’s commitment to investing in our employees and advancing our high-performance culture underpins our efforts to deliver strong performance for all our shareholders and other stakeholders through an inclusive workplace where employee perspectives are embraced.</w:t>
      </w:r>
    </w:p>
    <w:p>
      <w:pPr>
        <w:spacing w:after="0" w:line="70"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As part of our work to enhance our high-performance culture, the board oversees our action plan to improve inclusion and belonging across our enterprise, which centers on five strategies: lead from the top, accelerate engagement, create opportunity, drive conscious inclusion and partner with communities. Since introducing our action plan, we have worked to make progress under each strategy. A portion of named executive officer compensation is linked to progress on certain objectives related to advancing the company’s high-performance culture.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Demand for Lower Carbon Energy</w:t>
      </w:r>
    </w:p>
    <w:p>
      <w:pPr>
        <w:spacing w:after="0" w:line="139" w:lineRule="exact"/>
        <w:rPr>
          <w:sz w:val="20"/>
          <w:szCs w:val="20"/>
          <w:color w:val="auto"/>
        </w:rPr>
      </w:pPr>
    </w:p>
    <w:p>
      <w:pPr>
        <w:ind w:left="160" w:right="2080"/>
        <w:spacing w:after="0" w:line="249" w:lineRule="auto"/>
        <w:rPr>
          <w:sz w:val="20"/>
          <w:szCs w:val="20"/>
          <w:color w:val="auto"/>
        </w:rPr>
      </w:pPr>
      <w:r>
        <w:rPr>
          <w:rFonts w:ascii="Arial" w:cs="Arial" w:eastAsia="Arial" w:hAnsi="Arial"/>
          <w:sz w:val="14"/>
          <w:szCs w:val="14"/>
          <w:color w:val="auto"/>
        </w:rPr>
        <w:t>The board, primarily through its Safety, Sustainability and Technology Committee, takes an active role in overseeing Sempra’s sustainability strategy focused on investing in safe and resilient operations, engaging people and communities, and innovating for the future. This strategy includes our energy transition action plan, which outlines representative capabilities and investment opportunities to advance our efforts to decarbonize and modernize our energy networks and improve service through innovation and technology. Representative capabilities and investment opportunities intended to support these efforts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-523875</wp:posOffset>
            </wp:positionV>
            <wp:extent cx="586105" cy="5861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6105" cy="586105"/>
                    </a:xfrm>
                    <a:prstGeom prst="rect">
                      <a:avLst/>
                    </a:prstGeom>
                    <a:noFill/>
                  </pic:spPr>
                </pic:pic>
              </a:graphicData>
            </a:graphic>
          </wp:anchor>
        </w:drawing>
      </w:r>
    </w:p>
    <w:p>
      <w:pPr>
        <w:spacing w:after="0" w:line="201" w:lineRule="exact"/>
        <w:rPr>
          <w:sz w:val="20"/>
          <w:szCs w:val="20"/>
          <w:color w:val="auto"/>
        </w:rPr>
      </w:pPr>
    </w:p>
    <w:p>
      <w:pPr>
        <w:ind w:left="800" w:hanging="312"/>
        <w:spacing w:after="0"/>
        <w:tabs>
          <w:tab w:leader="none" w:pos="800" w:val="left"/>
        </w:tabs>
        <w:numPr>
          <w:ilvl w:val="0"/>
          <w:numId w:val="29"/>
        </w:numPr>
        <w:rPr>
          <w:rFonts w:ascii="Times New Roman" w:cs="Times New Roman" w:eastAsia="Times New Roman" w:hAnsi="Times New Roman"/>
          <w:sz w:val="14"/>
          <w:szCs w:val="14"/>
          <w:color w:val="005CB9"/>
        </w:rPr>
      </w:pPr>
      <w:r>
        <w:rPr>
          <w:rFonts w:ascii="Arial" w:cs="Arial" w:eastAsia="Arial" w:hAnsi="Arial"/>
          <w:sz w:val="14"/>
          <w:szCs w:val="14"/>
          <w:color w:val="auto"/>
        </w:rPr>
        <w:t>decarbonization of key market sectors, including power generation, industry and transportation;</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29"/>
        </w:numPr>
        <w:rPr>
          <w:rFonts w:ascii="Times New Roman" w:cs="Times New Roman" w:eastAsia="Times New Roman" w:hAnsi="Times New Roman"/>
          <w:sz w:val="14"/>
          <w:szCs w:val="14"/>
          <w:color w:val="005CB9"/>
        </w:rPr>
      </w:pPr>
      <w:r>
        <w:rPr>
          <w:rFonts w:ascii="Arial" w:cs="Arial" w:eastAsia="Arial" w:hAnsi="Arial"/>
          <w:sz w:val="14"/>
          <w:szCs w:val="14"/>
          <w:color w:val="auto"/>
        </w:rPr>
        <w:t>diversification of energy networks, including the integration of energy storage and distributed energy resources; and</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29"/>
        </w:numPr>
        <w:rPr>
          <w:rFonts w:ascii="Times New Roman" w:cs="Times New Roman" w:eastAsia="Times New Roman" w:hAnsi="Times New Roman"/>
          <w:sz w:val="14"/>
          <w:szCs w:val="14"/>
          <w:color w:val="005CB9"/>
        </w:rPr>
      </w:pPr>
      <w:r>
        <w:rPr>
          <w:rFonts w:ascii="Arial" w:cs="Arial" w:eastAsia="Arial" w:hAnsi="Arial"/>
          <w:sz w:val="14"/>
          <w:szCs w:val="14"/>
          <w:color w:val="auto"/>
        </w:rPr>
        <w:t>digitalization of energy systems, including the use of artificial intelligence and other technologies to increase efficiency and agility.</w:t>
      </w:r>
    </w:p>
    <w:p>
      <w:pPr>
        <w:spacing w:after="0" w:line="106" w:lineRule="exact"/>
        <w:rPr>
          <w:sz w:val="20"/>
          <w:szCs w:val="20"/>
          <w:color w:val="auto"/>
        </w:rPr>
      </w:pPr>
    </w:p>
    <w:p>
      <w:pPr>
        <w:ind w:left="160"/>
        <w:spacing w:after="0" w:line="227" w:lineRule="auto"/>
        <w:rPr>
          <w:sz w:val="20"/>
          <w:szCs w:val="20"/>
          <w:color w:val="auto"/>
        </w:rPr>
      </w:pPr>
      <w:r>
        <w:rPr>
          <w:rFonts w:ascii="Arial" w:cs="Arial" w:eastAsia="Arial" w:hAnsi="Arial"/>
          <w:sz w:val="14"/>
          <w:szCs w:val="14"/>
          <w:color w:val="auto"/>
        </w:rPr>
        <w:t>Part of being a responsible business means regularly reassessing the goals we set, with input from the board. Supporting the demand for lower carbon energy while also prioritizing affordability and other customer-focused service goals will depend on the development, commercialization and regulatory acceptance of affordable, alternative and lower-carbon energy sources, including cleaner fuels, among other factors. Sempra aims to have net-zero scope 1 and 2 greenhouse gas (GHG) emissions by 2050 and has an interim aim of 50% scope 1 and 2 GHG emissions reductions by 2035 relative to a 2019 baseline.</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The board continues to take an active role through its Safety, Sustainability and Technology Committee in reviewing and overseeing Sempra’s continued advocacy for programs and initiatives that support regulatory, consumer and market demand for lower- and zero-carbon energy.</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Transparency</w:t>
      </w:r>
    </w:p>
    <w:p>
      <w:pPr>
        <w:spacing w:after="0" w:line="139" w:lineRule="exact"/>
        <w:rPr>
          <w:sz w:val="20"/>
          <w:szCs w:val="20"/>
          <w:color w:val="auto"/>
        </w:rPr>
      </w:pPr>
    </w:p>
    <w:p>
      <w:pPr>
        <w:ind w:left="160" w:right="2280"/>
        <w:spacing w:after="0" w:line="246" w:lineRule="auto"/>
        <w:rPr>
          <w:sz w:val="20"/>
          <w:szCs w:val="20"/>
          <w:color w:val="auto"/>
        </w:rPr>
      </w:pPr>
      <w:r>
        <w:rPr>
          <w:rFonts w:ascii="Arial" w:cs="Arial" w:eastAsia="Arial" w:hAnsi="Arial"/>
          <w:sz w:val="14"/>
          <w:szCs w:val="14"/>
          <w:color w:val="auto"/>
        </w:rPr>
        <w:t>The board recognizes the importance of transparent communication about the key sustainability risks and opportunities we believe are most relevant to our shareholders and other stakeholders. Engagement with our shareholders and periodic assessments that solicit input from our stakeholders inform the topics on which we report. The Safety, Sustainability and Technology Committee oversees certain of these disclosures, including our annual corporate sustainability report, which addresses topics including employee, contractor and public safety; affordability and reliability of our services; employee recruitment and retention; labor standards and employment conditions; stakeholder engagement; community giving, responsible lobbying and advocacy; GHG emissions; climate adaptation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6195695</wp:posOffset>
            </wp:positionH>
            <wp:positionV relativeFrom="paragraph">
              <wp:posOffset>-622300</wp:posOffset>
            </wp:positionV>
            <wp:extent cx="568960" cy="6197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8960" cy="619760"/>
                    </a:xfrm>
                    <a:prstGeom prst="rect">
                      <a:avLst/>
                    </a:prstGeom>
                    <a:noFill/>
                  </pic:spPr>
                </pic:pic>
              </a:graphicData>
            </a:graphic>
          </wp:anchor>
        </w:drawing>
      </w:r>
    </w:p>
    <w:p>
      <w:pPr>
        <w:ind w:left="160" w:right="120"/>
        <w:spacing w:after="0" w:line="252" w:lineRule="auto"/>
        <w:rPr>
          <w:sz w:val="20"/>
          <w:szCs w:val="20"/>
          <w:color w:val="auto"/>
        </w:rPr>
      </w:pPr>
      <w:r>
        <w:rPr>
          <w:rFonts w:ascii="Arial" w:cs="Arial" w:eastAsia="Arial" w:hAnsi="Arial"/>
          <w:sz w:val="14"/>
          <w:szCs w:val="14"/>
          <w:color w:val="auto"/>
        </w:rPr>
        <w:t>and resilience; water stewardship; and biodiversity for Sempra and its operating companies. In preparing our disclosures, we consider input from shareholders and other stakeholders, industry standards and leading sustainability frameworks, including certain Sustainability Accounting Standards Board (SASB), the Greenhouse Gas Protocol (GHGP) Corporate Accounting and Reporting Standard and Global Reporting Initiative (GRI) standards and certain Task Force on Climate-related Financial Disclosures (TCFD) recommendations.</w:t>
      </w:r>
    </w:p>
    <w:p>
      <w:pPr>
        <w:spacing w:after="0" w:line="71" w:lineRule="exact"/>
        <w:rPr>
          <w:sz w:val="20"/>
          <w:szCs w:val="20"/>
          <w:color w:val="auto"/>
        </w:rPr>
      </w:pPr>
    </w:p>
    <w:p>
      <w:pPr>
        <w:ind w:left="160" w:right="120"/>
        <w:spacing w:after="0" w:line="281" w:lineRule="auto"/>
        <w:rPr>
          <w:sz w:val="20"/>
          <w:szCs w:val="20"/>
          <w:color w:val="auto"/>
        </w:rPr>
      </w:pPr>
      <w:r>
        <w:rPr>
          <w:rFonts w:ascii="Arial" w:cs="Arial" w:eastAsia="Arial" w:hAnsi="Arial"/>
          <w:sz w:val="14"/>
          <w:szCs w:val="14"/>
          <w:color w:val="auto"/>
        </w:rPr>
        <w:t>Sempra’s commitment to transparency is reflected in our performance on key sustainability ratings and indices, such as the Dow Jones Best-In-Class North America Index, of which Sempra has been a constituent since 2011.</w:t>
      </w:r>
    </w:p>
    <w:p>
      <w:pPr>
        <w:spacing w:after="0" w:line="176" w:lineRule="exact"/>
        <w:rPr>
          <w:sz w:val="20"/>
          <w:szCs w:val="20"/>
          <w:color w:val="auto"/>
        </w:rPr>
      </w:pPr>
    </w:p>
    <w:p>
      <w:pPr>
        <w:ind w:left="480" w:hanging="313"/>
        <w:spacing w:after="0"/>
        <w:tabs>
          <w:tab w:leader="none" w:pos="480" w:val="left"/>
        </w:tabs>
        <w:numPr>
          <w:ilvl w:val="0"/>
          <w:numId w:val="30"/>
        </w:numPr>
        <w:rPr>
          <w:rFonts w:ascii="Arial" w:cs="Arial" w:eastAsia="Arial" w:hAnsi="Arial"/>
          <w:sz w:val="19"/>
          <w:szCs w:val="19"/>
          <w:color w:val="auto"/>
          <w:vertAlign w:val="superscript"/>
        </w:rPr>
      </w:pPr>
      <w:r>
        <w:rPr>
          <w:rFonts w:ascii="Arial" w:cs="Arial" w:eastAsia="Arial" w:hAnsi="Arial"/>
          <w:sz w:val="12"/>
          <w:szCs w:val="12"/>
          <w:color w:val="auto"/>
        </w:rPr>
        <w:t>Even in a state of “net-zero,” GHG emissions may still be generated, but innovation and continued development of new technology and solutions could allow an equal amount of carbon dioxide or its equivalent to be removed from the atmosphere, resulting in a zero net increase in emissions. In addition, for purposes of these net-zero aims, we expect that achievement of net-zero GHG emissions will be determined based on company operations at the time the applicable goal is to be reached, and GHG emissions will be calculated according to widely accepted emissions reporting guidelines or mandates at that time. Our net-zero aim does not include Oncor Electric Delivery Company LLC (Oncor), an electric T+D utility in Texas in which we hold a significant interest, which sets its own goals due to certain ring-fencing measures that limit Sempra’s ability to direct the management, policies and operations of Oncor. Our interim 2035 target applies to Sempra California’s operations and Sempra Infrastructure’s Mexico (non-LNG) operations and may be subject to further revision if Sempra’s planned sale of a portion of its equity interest in SI Partners is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130810</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6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14               </w:t>
      </w:r>
      <w:r>
        <w:rPr>
          <w:sz w:val="1"/>
          <w:szCs w:val="1"/>
          <w:color w:val="auto"/>
        </w:rPr>
        <w:drawing>
          <wp:inline distT="0" distB="0" distL="0" distR="0">
            <wp:extent cx="739140" cy="14414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60"/>
          </w:cols>
          <w:pgMar w:left="320" w:top="478"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920"/>
        <w:spacing w:after="0"/>
        <w:rPr>
          <w:sz w:val="20"/>
          <w:szCs w:val="20"/>
          <w:color w:val="auto"/>
        </w:rPr>
      </w:pPr>
      <w:r>
        <w:rPr>
          <w:rFonts w:ascii="Arial" w:cs="Arial" w:eastAsia="Arial" w:hAnsi="Arial"/>
          <w:sz w:val="10"/>
          <w:szCs w:val="10"/>
          <w:b w:val="1"/>
          <w:bCs w:val="1"/>
          <w:color w:val="7F7F7F"/>
        </w:rPr>
        <w:t>Corporate Governance</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Robust Engagement Program</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Shareholders</w:t>
      </w:r>
    </w:p>
    <w:p>
      <w:pPr>
        <w:spacing w:after="0" w:line="125" w:lineRule="exact"/>
        <w:rPr>
          <w:sz w:val="20"/>
          <w:szCs w:val="20"/>
          <w:color w:val="auto"/>
        </w:rPr>
      </w:pPr>
    </w:p>
    <w:p>
      <w:pPr>
        <w:ind w:left="160" w:right="40"/>
        <w:spacing w:after="0" w:line="246" w:lineRule="auto"/>
        <w:rPr>
          <w:sz w:val="20"/>
          <w:szCs w:val="20"/>
          <w:color w:val="auto"/>
        </w:rPr>
      </w:pPr>
      <w:r>
        <w:rPr>
          <w:rFonts w:ascii="Arial" w:cs="Arial" w:eastAsia="Arial" w:hAnsi="Arial"/>
          <w:sz w:val="14"/>
          <w:szCs w:val="14"/>
          <w:color w:val="auto"/>
        </w:rPr>
        <w:t>Sempra conducts regular engagement with our shareholders throughout the year, including spring/summer engagement following our annual shareholders meetings and fall/winter “off-season” engagement, all of which is in addition to our investor relations team’s engagement efforts. This cadence may be supplemented if the company wishes to gain additional feedback from shareholders on a particular matter. Recently, we have been engaging with shareholders more frequently throughout the year to maintain a steady conversation about their top priorities, and feedback from our engagement program is provided to our board and certain of its committees on an ongoing basis. This regular dialogue with shareholders provides Sempra’s board and management team valuable insights into our shareholders’ priorities and feedback on how we can enhance future disclosures to provide additional clarity on matters of significance to the company and our shareholders. Our shareholder outreach regularly includes many of our top 50 shareholders and we also contact and engage with investors with substantial shareholdings outside our top 50 shareholders.</w:t>
      </w:r>
    </w:p>
    <w:p>
      <w:pPr>
        <w:spacing w:after="0" w:line="198" w:lineRule="exact"/>
        <w:rPr>
          <w:sz w:val="20"/>
          <w:szCs w:val="20"/>
          <w:color w:val="auto"/>
        </w:rPr>
      </w:pPr>
    </w:p>
    <w:tbl>
      <w:tblPr>
        <w:tblLayout w:type="fixed"/>
        <w:tblInd w:w="170" w:type="dxa"/>
        <w:tblCellMar>
          <w:top w:w="0" w:type="dxa"/>
          <w:left w:w="0" w:type="dxa"/>
          <w:bottom w:w="0" w:type="dxa"/>
          <w:right w:w="0" w:type="dxa"/>
        </w:tblCellMar>
      </w:tblPr>
      <w:tr>
        <w:trPr>
          <w:trHeight w:val="370"/>
        </w:trPr>
        <w:tc>
          <w:tcPr>
            <w:tcW w:w="2580" w:type="dxa"/>
            <w:vAlign w:val="bottom"/>
            <w:tcBorders>
              <w:top w:val="single" w:sz="8" w:color="005CB9"/>
              <w:left w:val="single" w:sz="8" w:color="005CB9"/>
            </w:tcBorders>
            <w:shd w:val="clear" w:color="auto" w:fill="F2F2F2"/>
          </w:tcPr>
          <w:p>
            <w:pPr>
              <w:jc w:val="center"/>
              <w:ind w:left="68"/>
              <w:spacing w:after="0"/>
              <w:rPr>
                <w:sz w:val="20"/>
                <w:szCs w:val="20"/>
                <w:color w:val="auto"/>
              </w:rPr>
            </w:pPr>
            <w:r>
              <w:rPr>
                <w:rFonts w:ascii="Arial" w:cs="Arial" w:eastAsia="Arial" w:hAnsi="Arial"/>
                <w:sz w:val="23"/>
                <w:szCs w:val="23"/>
                <w:b w:val="1"/>
                <w:bCs w:val="1"/>
                <w:color w:val="auto"/>
                <w:w w:val="99"/>
              </w:rPr>
              <w:t>2025-2026</w:t>
            </w:r>
          </w:p>
        </w:tc>
        <w:tc>
          <w:tcPr>
            <w:tcW w:w="140" w:type="dxa"/>
            <w:vAlign w:val="bottom"/>
            <w:tcBorders>
              <w:top w:val="single" w:sz="8" w:color="005CB9"/>
            </w:tcBorders>
          </w:tcPr>
          <w:p>
            <w:pPr>
              <w:spacing w:after="0"/>
              <w:rPr>
                <w:sz w:val="24"/>
                <w:szCs w:val="24"/>
                <w:color w:val="auto"/>
              </w:rPr>
            </w:pPr>
          </w:p>
        </w:tc>
        <w:tc>
          <w:tcPr>
            <w:tcW w:w="2700" w:type="dxa"/>
            <w:vAlign w:val="bottom"/>
            <w:tcBorders>
              <w:top w:val="single" w:sz="8" w:color="005CB9"/>
            </w:tcBorders>
            <w:shd w:val="clear" w:color="auto" w:fill="F2F2F2"/>
          </w:tcPr>
          <w:p>
            <w:pPr>
              <w:jc w:val="center"/>
              <w:ind w:left="22"/>
              <w:spacing w:after="0"/>
              <w:rPr>
                <w:sz w:val="20"/>
                <w:szCs w:val="20"/>
                <w:color w:val="auto"/>
              </w:rPr>
            </w:pPr>
            <w:r>
              <w:rPr>
                <w:rFonts w:ascii="Arial" w:cs="Arial" w:eastAsia="Arial" w:hAnsi="Arial"/>
                <w:sz w:val="18"/>
                <w:szCs w:val="18"/>
                <w:b w:val="1"/>
                <w:bCs w:val="1"/>
                <w:color w:val="auto"/>
                <w:w w:val="98"/>
              </w:rPr>
              <w:t>Outreach</w:t>
            </w:r>
          </w:p>
        </w:tc>
        <w:tc>
          <w:tcPr>
            <w:tcW w:w="160" w:type="dxa"/>
            <w:vAlign w:val="bottom"/>
            <w:tcBorders>
              <w:top w:val="single" w:sz="8" w:color="005CB9"/>
            </w:tcBorders>
          </w:tcPr>
          <w:p>
            <w:pPr>
              <w:spacing w:after="0"/>
              <w:rPr>
                <w:sz w:val="24"/>
                <w:szCs w:val="24"/>
                <w:color w:val="auto"/>
              </w:rPr>
            </w:pPr>
          </w:p>
        </w:tc>
        <w:tc>
          <w:tcPr>
            <w:tcW w:w="2580" w:type="dxa"/>
            <w:vAlign w:val="bottom"/>
            <w:tcBorders>
              <w:top w:val="single" w:sz="8" w:color="005CB9"/>
            </w:tcBorders>
            <w:shd w:val="clear" w:color="auto" w:fill="F2F2F2"/>
          </w:tcPr>
          <w:p>
            <w:pPr>
              <w:jc w:val="center"/>
              <w:ind w:left="2"/>
              <w:spacing w:after="0"/>
              <w:rPr>
                <w:sz w:val="20"/>
                <w:szCs w:val="20"/>
                <w:color w:val="auto"/>
              </w:rPr>
            </w:pPr>
            <w:r>
              <w:rPr>
                <w:rFonts w:ascii="Arial" w:cs="Arial" w:eastAsia="Arial" w:hAnsi="Arial"/>
                <w:sz w:val="18"/>
                <w:szCs w:val="18"/>
                <w:b w:val="1"/>
                <w:bCs w:val="1"/>
                <w:color w:val="auto"/>
                <w:w w:val="99"/>
              </w:rPr>
              <w:t>Engagement</w:t>
            </w:r>
          </w:p>
        </w:tc>
        <w:tc>
          <w:tcPr>
            <w:tcW w:w="160" w:type="dxa"/>
            <w:vAlign w:val="bottom"/>
            <w:tcBorders>
              <w:top w:val="single" w:sz="8" w:color="005CB9"/>
            </w:tcBorders>
          </w:tcPr>
          <w:p>
            <w:pPr>
              <w:spacing w:after="0"/>
              <w:rPr>
                <w:sz w:val="24"/>
                <w:szCs w:val="24"/>
                <w:color w:val="auto"/>
              </w:rPr>
            </w:pPr>
          </w:p>
        </w:tc>
        <w:tc>
          <w:tcPr>
            <w:tcW w:w="2620" w:type="dxa"/>
            <w:vAlign w:val="bottom"/>
            <w:tcBorders>
              <w:top w:val="single" w:sz="8" w:color="005CB9"/>
              <w:right w:val="single" w:sz="8" w:color="005CB9"/>
            </w:tcBorders>
            <w:shd w:val="clear" w:color="auto" w:fill="F2F2F2"/>
          </w:tcPr>
          <w:p>
            <w:pPr>
              <w:jc w:val="center"/>
              <w:spacing w:after="0"/>
              <w:rPr>
                <w:sz w:val="20"/>
                <w:szCs w:val="20"/>
                <w:color w:val="auto"/>
              </w:rPr>
            </w:pPr>
            <w:r>
              <w:rPr>
                <w:rFonts w:ascii="Arial" w:cs="Arial" w:eastAsia="Arial" w:hAnsi="Arial"/>
                <w:sz w:val="18"/>
                <w:szCs w:val="18"/>
                <w:b w:val="1"/>
                <w:bCs w:val="1"/>
                <w:color w:val="auto"/>
                <w:w w:val="99"/>
              </w:rPr>
              <w:t>Director Participation</w:t>
            </w:r>
          </w:p>
        </w:tc>
      </w:tr>
      <w:tr>
        <w:trPr>
          <w:trHeight w:val="517"/>
        </w:trPr>
        <w:tc>
          <w:tcPr>
            <w:tcW w:w="2580" w:type="dxa"/>
            <w:vAlign w:val="bottom"/>
            <w:tcBorders>
              <w:left w:val="single" w:sz="8" w:color="005CB9"/>
            </w:tcBorders>
            <w:shd w:val="clear" w:color="auto" w:fill="F2F2F2"/>
          </w:tcPr>
          <w:p>
            <w:pPr>
              <w:jc w:val="center"/>
              <w:ind w:left="68"/>
              <w:spacing w:after="0"/>
              <w:rPr>
                <w:sz w:val="20"/>
                <w:szCs w:val="20"/>
                <w:color w:val="auto"/>
              </w:rPr>
            </w:pPr>
            <w:r>
              <w:rPr>
                <w:rFonts w:ascii="Arial" w:cs="Arial" w:eastAsia="Arial" w:hAnsi="Arial"/>
                <w:sz w:val="23"/>
                <w:szCs w:val="23"/>
                <w:b w:val="1"/>
                <w:bCs w:val="1"/>
                <w:color w:val="auto"/>
              </w:rPr>
              <w:t>Engagement Cycle</w:t>
            </w:r>
          </w:p>
        </w:tc>
        <w:tc>
          <w:tcPr>
            <w:tcW w:w="140" w:type="dxa"/>
            <w:vAlign w:val="bottom"/>
          </w:tcPr>
          <w:p>
            <w:pPr>
              <w:spacing w:after="0"/>
              <w:rPr>
                <w:sz w:val="24"/>
                <w:szCs w:val="24"/>
                <w:color w:val="auto"/>
              </w:rPr>
            </w:pPr>
          </w:p>
        </w:tc>
        <w:tc>
          <w:tcPr>
            <w:tcW w:w="2700" w:type="dxa"/>
            <w:vAlign w:val="bottom"/>
            <w:shd w:val="clear" w:color="auto" w:fill="F2F2F2"/>
          </w:tcPr>
          <w:p>
            <w:pPr>
              <w:jc w:val="center"/>
              <w:ind w:left="22"/>
              <w:spacing w:after="0"/>
              <w:rPr>
                <w:sz w:val="20"/>
                <w:szCs w:val="20"/>
                <w:color w:val="auto"/>
              </w:rPr>
            </w:pPr>
            <w:r>
              <w:rPr>
                <w:rFonts w:ascii="Arial" w:cs="Arial" w:eastAsia="Arial" w:hAnsi="Arial"/>
                <w:sz w:val="37"/>
                <w:szCs w:val="37"/>
                <w:b w:val="1"/>
                <w:bCs w:val="1"/>
                <w:color w:val="auto"/>
                <w:w w:val="99"/>
              </w:rPr>
              <w:t>61%</w:t>
            </w:r>
          </w:p>
        </w:tc>
        <w:tc>
          <w:tcPr>
            <w:tcW w:w="160" w:type="dxa"/>
            <w:vAlign w:val="bottom"/>
          </w:tcPr>
          <w:p>
            <w:pPr>
              <w:spacing w:after="0"/>
              <w:rPr>
                <w:sz w:val="24"/>
                <w:szCs w:val="24"/>
                <w:color w:val="auto"/>
              </w:rPr>
            </w:pPr>
          </w:p>
        </w:tc>
        <w:tc>
          <w:tcPr>
            <w:tcW w:w="2580" w:type="dxa"/>
            <w:vAlign w:val="bottom"/>
            <w:shd w:val="clear" w:color="auto" w:fill="F2F2F2"/>
          </w:tcPr>
          <w:p>
            <w:pPr>
              <w:jc w:val="center"/>
              <w:ind w:left="2"/>
              <w:spacing w:after="0"/>
              <w:rPr>
                <w:sz w:val="20"/>
                <w:szCs w:val="20"/>
                <w:color w:val="auto"/>
              </w:rPr>
            </w:pPr>
            <w:r>
              <w:rPr>
                <w:rFonts w:ascii="Arial" w:cs="Arial" w:eastAsia="Arial" w:hAnsi="Arial"/>
                <w:sz w:val="37"/>
                <w:szCs w:val="37"/>
                <w:b w:val="1"/>
                <w:bCs w:val="1"/>
                <w:color w:val="auto"/>
              </w:rPr>
              <w:t>50%</w:t>
            </w:r>
          </w:p>
        </w:tc>
        <w:tc>
          <w:tcPr>
            <w:tcW w:w="160" w:type="dxa"/>
            <w:vAlign w:val="bottom"/>
          </w:tcPr>
          <w:p>
            <w:pPr>
              <w:spacing w:after="0"/>
              <w:rPr>
                <w:sz w:val="24"/>
                <w:szCs w:val="24"/>
                <w:color w:val="auto"/>
              </w:rPr>
            </w:pPr>
          </w:p>
        </w:tc>
        <w:tc>
          <w:tcPr>
            <w:tcW w:w="2620" w:type="dxa"/>
            <w:vAlign w:val="bottom"/>
            <w:tcBorders>
              <w:right w:val="single" w:sz="8" w:color="005CB9"/>
            </w:tcBorders>
            <w:shd w:val="clear" w:color="auto" w:fill="F2F2F2"/>
          </w:tcPr>
          <w:p>
            <w:pPr>
              <w:jc w:val="center"/>
              <w:spacing w:after="0"/>
              <w:rPr>
                <w:sz w:val="20"/>
                <w:szCs w:val="20"/>
                <w:color w:val="auto"/>
              </w:rPr>
            </w:pPr>
            <w:r>
              <w:rPr>
                <w:rFonts w:ascii="Arial" w:cs="Arial" w:eastAsia="Arial" w:hAnsi="Arial"/>
                <w:sz w:val="37"/>
                <w:szCs w:val="37"/>
                <w:b w:val="1"/>
                <w:bCs w:val="1"/>
                <w:color w:val="auto"/>
                <w:w w:val="99"/>
              </w:rPr>
              <w:t>27%</w:t>
            </w:r>
          </w:p>
        </w:tc>
      </w:tr>
      <w:tr>
        <w:trPr>
          <w:trHeight w:val="316"/>
        </w:trPr>
        <w:tc>
          <w:tcPr>
            <w:tcW w:w="2580" w:type="dxa"/>
            <w:vAlign w:val="bottom"/>
            <w:tcBorders>
              <w:left w:val="single" w:sz="8" w:color="005CB9"/>
            </w:tcBorders>
            <w:shd w:val="clear" w:color="auto" w:fill="F2F2F2"/>
          </w:tcPr>
          <w:p>
            <w:pPr>
              <w:jc w:val="center"/>
              <w:ind w:left="48"/>
              <w:spacing w:after="0"/>
              <w:rPr>
                <w:sz w:val="20"/>
                <w:szCs w:val="20"/>
                <w:color w:val="auto"/>
              </w:rPr>
            </w:pPr>
            <w:r>
              <w:rPr>
                <w:rFonts w:ascii="Arial" w:cs="Arial" w:eastAsia="Arial" w:hAnsi="Arial"/>
                <w:sz w:val="16"/>
                <w:szCs w:val="16"/>
                <w:color w:val="auto"/>
              </w:rPr>
              <w:t>Our 2025-2026</w:t>
            </w:r>
          </w:p>
        </w:tc>
        <w:tc>
          <w:tcPr>
            <w:tcW w:w="140" w:type="dxa"/>
            <w:vAlign w:val="bottom"/>
          </w:tcPr>
          <w:p>
            <w:pPr>
              <w:spacing w:after="0"/>
              <w:rPr>
                <w:sz w:val="24"/>
                <w:szCs w:val="24"/>
                <w:color w:val="auto"/>
              </w:rPr>
            </w:pPr>
          </w:p>
        </w:tc>
        <w:tc>
          <w:tcPr>
            <w:tcW w:w="2700" w:type="dxa"/>
            <w:vAlign w:val="bottom"/>
            <w:shd w:val="clear" w:color="auto" w:fill="F2F2F2"/>
          </w:tcPr>
          <w:p>
            <w:pPr>
              <w:jc w:val="center"/>
              <w:ind w:left="2"/>
              <w:spacing w:after="0"/>
              <w:rPr>
                <w:sz w:val="20"/>
                <w:szCs w:val="20"/>
                <w:color w:val="auto"/>
              </w:rPr>
            </w:pPr>
            <w:r>
              <w:rPr>
                <w:rFonts w:ascii="Arial" w:cs="Arial" w:eastAsia="Arial" w:hAnsi="Arial"/>
                <w:sz w:val="16"/>
                <w:szCs w:val="16"/>
                <w:color w:val="auto"/>
              </w:rPr>
              <w:t>We reached out to holders</w:t>
            </w:r>
          </w:p>
        </w:tc>
        <w:tc>
          <w:tcPr>
            <w:tcW w:w="160" w:type="dxa"/>
            <w:vAlign w:val="bottom"/>
          </w:tcPr>
          <w:p>
            <w:pPr>
              <w:spacing w:after="0"/>
              <w:rPr>
                <w:sz w:val="24"/>
                <w:szCs w:val="24"/>
                <w:color w:val="auto"/>
              </w:rPr>
            </w:pPr>
          </w:p>
        </w:tc>
        <w:tc>
          <w:tcPr>
            <w:tcW w:w="2580" w:type="dxa"/>
            <w:vAlign w:val="bottom"/>
            <w:shd w:val="clear" w:color="auto" w:fill="F2F2F2"/>
          </w:tcPr>
          <w:p>
            <w:pPr>
              <w:jc w:val="center"/>
              <w:ind w:left="2"/>
              <w:spacing w:after="0"/>
              <w:rPr>
                <w:sz w:val="20"/>
                <w:szCs w:val="20"/>
                <w:color w:val="auto"/>
              </w:rPr>
            </w:pPr>
            <w:r>
              <w:rPr>
                <w:rFonts w:ascii="Arial" w:cs="Arial" w:eastAsia="Arial" w:hAnsi="Arial"/>
                <w:sz w:val="16"/>
                <w:szCs w:val="16"/>
                <w:color w:val="auto"/>
                <w:w w:val="99"/>
              </w:rPr>
              <w:t>We held meetings with</w:t>
            </w:r>
          </w:p>
        </w:tc>
        <w:tc>
          <w:tcPr>
            <w:tcW w:w="160" w:type="dxa"/>
            <w:vAlign w:val="bottom"/>
          </w:tcPr>
          <w:p>
            <w:pPr>
              <w:spacing w:after="0"/>
              <w:rPr>
                <w:sz w:val="24"/>
                <w:szCs w:val="24"/>
                <w:color w:val="auto"/>
              </w:rPr>
            </w:pPr>
          </w:p>
        </w:tc>
        <w:tc>
          <w:tcPr>
            <w:tcW w:w="2620" w:type="dxa"/>
            <w:vAlign w:val="bottom"/>
            <w:tcBorders>
              <w:right w:val="single" w:sz="8" w:color="005CB9"/>
            </w:tcBorders>
            <w:shd w:val="clear" w:color="auto" w:fill="F2F2F2"/>
          </w:tcPr>
          <w:p>
            <w:pPr>
              <w:jc w:val="center"/>
              <w:spacing w:after="0"/>
              <w:rPr>
                <w:sz w:val="20"/>
                <w:szCs w:val="20"/>
                <w:color w:val="auto"/>
              </w:rPr>
            </w:pPr>
            <w:r>
              <w:rPr>
                <w:rFonts w:ascii="Arial" w:cs="Arial" w:eastAsia="Arial" w:hAnsi="Arial"/>
                <w:sz w:val="16"/>
                <w:szCs w:val="16"/>
                <w:color w:val="auto"/>
              </w:rPr>
              <w:t>Our Lead Independent Director</w:t>
            </w:r>
          </w:p>
        </w:tc>
      </w:tr>
      <w:tr>
        <w:trPr>
          <w:trHeight w:val="187"/>
        </w:trPr>
        <w:tc>
          <w:tcPr>
            <w:tcW w:w="2580" w:type="dxa"/>
            <w:vAlign w:val="bottom"/>
            <w:tcBorders>
              <w:left w:val="single" w:sz="8" w:color="005CB9"/>
            </w:tcBorders>
            <w:shd w:val="clear" w:color="auto" w:fill="F2F2F2"/>
          </w:tcPr>
          <w:p>
            <w:pPr>
              <w:jc w:val="center"/>
              <w:ind w:left="68"/>
              <w:spacing w:after="0"/>
              <w:rPr>
                <w:sz w:val="20"/>
                <w:szCs w:val="20"/>
                <w:color w:val="auto"/>
              </w:rPr>
            </w:pPr>
            <w:r>
              <w:rPr>
                <w:rFonts w:ascii="Arial" w:cs="Arial" w:eastAsia="Arial" w:hAnsi="Arial"/>
                <w:sz w:val="16"/>
                <w:szCs w:val="16"/>
                <w:color w:val="auto"/>
              </w:rPr>
              <w:t>engagement cycle ran</w:t>
            </w:r>
          </w:p>
        </w:tc>
        <w:tc>
          <w:tcPr>
            <w:tcW w:w="140" w:type="dxa"/>
            <w:vAlign w:val="bottom"/>
          </w:tcPr>
          <w:p>
            <w:pPr>
              <w:spacing w:after="0"/>
              <w:rPr>
                <w:sz w:val="16"/>
                <w:szCs w:val="16"/>
                <w:color w:val="auto"/>
              </w:rPr>
            </w:pPr>
          </w:p>
        </w:tc>
        <w:tc>
          <w:tcPr>
            <w:tcW w:w="2700" w:type="dxa"/>
            <w:vAlign w:val="bottom"/>
            <w:shd w:val="clear" w:color="auto" w:fill="F2F2F2"/>
          </w:tcPr>
          <w:p>
            <w:pPr>
              <w:jc w:val="center"/>
              <w:ind w:left="22"/>
              <w:spacing w:after="0" w:line="188" w:lineRule="exact"/>
              <w:rPr>
                <w:sz w:val="20"/>
                <w:szCs w:val="20"/>
                <w:color w:val="auto"/>
              </w:rPr>
            </w:pPr>
            <w:r>
              <w:rPr>
                <w:rFonts w:ascii="Arial" w:cs="Arial" w:eastAsia="Arial" w:hAnsi="Arial"/>
                <w:sz w:val="14"/>
                <w:szCs w:val="14"/>
                <w:color w:val="auto"/>
              </w:rPr>
              <w:t>of approximately 61%</w:t>
            </w:r>
            <w:r>
              <w:rPr>
                <w:rFonts w:ascii="Arial" w:cs="Arial" w:eastAsia="Arial" w:hAnsi="Arial"/>
                <w:sz w:val="21"/>
                <w:szCs w:val="21"/>
                <w:color w:val="auto"/>
                <w:vertAlign w:val="superscript"/>
              </w:rPr>
              <w:t>(1)(2)</w:t>
            </w:r>
            <w:r>
              <w:rPr>
                <w:rFonts w:ascii="Arial" w:cs="Arial" w:eastAsia="Arial" w:hAnsi="Arial"/>
                <w:sz w:val="14"/>
                <w:szCs w:val="14"/>
                <w:color w:val="auto"/>
              </w:rPr>
              <w:t xml:space="preserve"> of</w:t>
            </w:r>
          </w:p>
        </w:tc>
        <w:tc>
          <w:tcPr>
            <w:tcW w:w="160" w:type="dxa"/>
            <w:vAlign w:val="bottom"/>
          </w:tcPr>
          <w:p>
            <w:pPr>
              <w:spacing w:after="0"/>
              <w:rPr>
                <w:sz w:val="16"/>
                <w:szCs w:val="16"/>
                <w:color w:val="auto"/>
              </w:rPr>
            </w:pPr>
          </w:p>
        </w:tc>
        <w:tc>
          <w:tcPr>
            <w:tcW w:w="2580" w:type="dxa"/>
            <w:vAlign w:val="bottom"/>
            <w:shd w:val="clear" w:color="auto" w:fill="F2F2F2"/>
          </w:tcPr>
          <w:p>
            <w:pPr>
              <w:jc w:val="center"/>
              <w:ind w:left="2"/>
              <w:spacing w:after="0"/>
              <w:rPr>
                <w:sz w:val="20"/>
                <w:szCs w:val="20"/>
                <w:color w:val="auto"/>
              </w:rPr>
            </w:pPr>
            <w:r>
              <w:rPr>
                <w:rFonts w:ascii="Arial" w:cs="Arial" w:eastAsia="Arial" w:hAnsi="Arial"/>
                <w:sz w:val="16"/>
                <w:szCs w:val="16"/>
                <w:color w:val="auto"/>
              </w:rPr>
              <w:t>holders of approximately</w:t>
            </w:r>
          </w:p>
        </w:tc>
        <w:tc>
          <w:tcPr>
            <w:tcW w:w="160" w:type="dxa"/>
            <w:vAlign w:val="bottom"/>
          </w:tcPr>
          <w:p>
            <w:pPr>
              <w:spacing w:after="0"/>
              <w:rPr>
                <w:sz w:val="16"/>
                <w:szCs w:val="16"/>
                <w:color w:val="auto"/>
              </w:rPr>
            </w:pPr>
          </w:p>
        </w:tc>
        <w:tc>
          <w:tcPr>
            <w:tcW w:w="2620" w:type="dxa"/>
            <w:vAlign w:val="bottom"/>
            <w:tcBorders>
              <w:right w:val="single" w:sz="8" w:color="005CB9"/>
            </w:tcBorders>
            <w:shd w:val="clear" w:color="auto" w:fill="F2F2F2"/>
          </w:tcPr>
          <w:p>
            <w:pPr>
              <w:jc w:val="center"/>
              <w:spacing w:after="0"/>
              <w:rPr>
                <w:sz w:val="20"/>
                <w:szCs w:val="20"/>
                <w:color w:val="auto"/>
              </w:rPr>
            </w:pPr>
            <w:r>
              <w:rPr>
                <w:rFonts w:ascii="Arial" w:cs="Arial" w:eastAsia="Arial" w:hAnsi="Arial"/>
                <w:sz w:val="16"/>
                <w:szCs w:val="16"/>
                <w:color w:val="auto"/>
              </w:rPr>
              <w:t>participated in meetings with</w:t>
            </w:r>
          </w:p>
        </w:tc>
      </w:tr>
      <w:tr>
        <w:trPr>
          <w:trHeight w:val="187"/>
        </w:trPr>
        <w:tc>
          <w:tcPr>
            <w:tcW w:w="2580" w:type="dxa"/>
            <w:vAlign w:val="bottom"/>
            <w:tcBorders>
              <w:left w:val="single" w:sz="8" w:color="005CB9"/>
            </w:tcBorders>
            <w:shd w:val="clear" w:color="auto" w:fill="F2F2F2"/>
          </w:tcPr>
          <w:p>
            <w:pPr>
              <w:jc w:val="center"/>
              <w:ind w:left="68"/>
              <w:spacing w:after="0"/>
              <w:rPr>
                <w:sz w:val="20"/>
                <w:szCs w:val="20"/>
                <w:color w:val="auto"/>
              </w:rPr>
            </w:pPr>
            <w:r>
              <w:rPr>
                <w:rFonts w:ascii="Arial" w:cs="Arial" w:eastAsia="Arial" w:hAnsi="Arial"/>
                <w:sz w:val="16"/>
                <w:szCs w:val="16"/>
                <w:color w:val="auto"/>
              </w:rPr>
              <w:t>from May 2025 through</w:t>
            </w:r>
          </w:p>
        </w:tc>
        <w:tc>
          <w:tcPr>
            <w:tcW w:w="140" w:type="dxa"/>
            <w:vAlign w:val="bottom"/>
          </w:tcPr>
          <w:p>
            <w:pPr>
              <w:spacing w:after="0"/>
              <w:rPr>
                <w:sz w:val="16"/>
                <w:szCs w:val="16"/>
                <w:color w:val="auto"/>
              </w:rPr>
            </w:pPr>
          </w:p>
        </w:tc>
        <w:tc>
          <w:tcPr>
            <w:tcW w:w="2700" w:type="dxa"/>
            <w:vAlign w:val="bottom"/>
            <w:shd w:val="clear" w:color="auto" w:fill="F2F2F2"/>
          </w:tcPr>
          <w:p>
            <w:pPr>
              <w:jc w:val="center"/>
              <w:ind w:left="22"/>
              <w:spacing w:after="0"/>
              <w:rPr>
                <w:sz w:val="20"/>
                <w:szCs w:val="20"/>
                <w:color w:val="auto"/>
              </w:rPr>
            </w:pPr>
            <w:r>
              <w:rPr>
                <w:rFonts w:ascii="Arial" w:cs="Arial" w:eastAsia="Arial" w:hAnsi="Arial"/>
                <w:sz w:val="16"/>
                <w:szCs w:val="16"/>
                <w:color w:val="auto"/>
              </w:rPr>
              <w:t>our outstanding shares of</w:t>
            </w:r>
          </w:p>
        </w:tc>
        <w:tc>
          <w:tcPr>
            <w:tcW w:w="160" w:type="dxa"/>
            <w:vAlign w:val="bottom"/>
          </w:tcPr>
          <w:p>
            <w:pPr>
              <w:spacing w:after="0"/>
              <w:rPr>
                <w:sz w:val="16"/>
                <w:szCs w:val="16"/>
                <w:color w:val="auto"/>
              </w:rPr>
            </w:pPr>
          </w:p>
        </w:tc>
        <w:tc>
          <w:tcPr>
            <w:tcW w:w="2580" w:type="dxa"/>
            <w:vAlign w:val="bottom"/>
            <w:shd w:val="clear" w:color="auto" w:fill="F2F2F2"/>
          </w:tcPr>
          <w:p>
            <w:pPr>
              <w:jc w:val="center"/>
              <w:ind w:left="2"/>
              <w:spacing w:after="0" w:line="188" w:lineRule="exact"/>
              <w:rPr>
                <w:sz w:val="20"/>
                <w:szCs w:val="20"/>
                <w:color w:val="auto"/>
              </w:rPr>
            </w:pPr>
            <w:r>
              <w:rPr>
                <w:rFonts w:ascii="Arial" w:cs="Arial" w:eastAsia="Arial" w:hAnsi="Arial"/>
                <w:sz w:val="14"/>
                <w:szCs w:val="14"/>
                <w:color w:val="auto"/>
              </w:rPr>
              <w:t>50%</w:t>
            </w:r>
            <w:r>
              <w:rPr>
                <w:rFonts w:ascii="Arial" w:cs="Arial" w:eastAsia="Arial" w:hAnsi="Arial"/>
                <w:sz w:val="21"/>
                <w:szCs w:val="21"/>
                <w:color w:val="auto"/>
                <w:vertAlign w:val="superscript"/>
              </w:rPr>
              <w:t>(1)(2)</w:t>
            </w:r>
            <w:r>
              <w:rPr>
                <w:rFonts w:ascii="Arial" w:cs="Arial" w:eastAsia="Arial" w:hAnsi="Arial"/>
                <w:sz w:val="14"/>
                <w:szCs w:val="14"/>
                <w:color w:val="auto"/>
              </w:rPr>
              <w:t xml:space="preserve"> of our outstanding</w:t>
            </w:r>
          </w:p>
        </w:tc>
        <w:tc>
          <w:tcPr>
            <w:tcW w:w="160" w:type="dxa"/>
            <w:vAlign w:val="bottom"/>
          </w:tcPr>
          <w:p>
            <w:pPr>
              <w:spacing w:after="0"/>
              <w:rPr>
                <w:sz w:val="16"/>
                <w:szCs w:val="16"/>
                <w:color w:val="auto"/>
              </w:rPr>
            </w:pPr>
          </w:p>
        </w:tc>
        <w:tc>
          <w:tcPr>
            <w:tcW w:w="2620" w:type="dxa"/>
            <w:vAlign w:val="bottom"/>
            <w:tcBorders>
              <w:right w:val="single" w:sz="8" w:color="005CB9"/>
            </w:tcBorders>
            <w:shd w:val="clear" w:color="auto" w:fill="F2F2F2"/>
          </w:tcPr>
          <w:p>
            <w:pPr>
              <w:jc w:val="center"/>
              <w:spacing w:after="0"/>
              <w:rPr>
                <w:sz w:val="20"/>
                <w:szCs w:val="20"/>
                <w:color w:val="auto"/>
              </w:rPr>
            </w:pPr>
            <w:r>
              <w:rPr>
                <w:rFonts w:ascii="Arial" w:cs="Arial" w:eastAsia="Arial" w:hAnsi="Arial"/>
                <w:sz w:val="16"/>
                <w:szCs w:val="16"/>
                <w:color w:val="auto"/>
                <w:w w:val="99"/>
              </w:rPr>
              <w:t>holders of approximately</w:t>
            </w:r>
          </w:p>
        </w:tc>
      </w:tr>
      <w:tr>
        <w:trPr>
          <w:trHeight w:val="187"/>
        </w:trPr>
        <w:tc>
          <w:tcPr>
            <w:tcW w:w="2580" w:type="dxa"/>
            <w:vAlign w:val="bottom"/>
            <w:tcBorders>
              <w:left w:val="single" w:sz="8" w:color="005CB9"/>
            </w:tcBorders>
            <w:shd w:val="clear" w:color="auto" w:fill="F2F2F2"/>
          </w:tcPr>
          <w:p>
            <w:pPr>
              <w:jc w:val="center"/>
              <w:ind w:left="68"/>
              <w:spacing w:after="0"/>
              <w:rPr>
                <w:sz w:val="20"/>
                <w:szCs w:val="20"/>
                <w:color w:val="auto"/>
              </w:rPr>
            </w:pPr>
            <w:r>
              <w:rPr>
                <w:rFonts w:ascii="Arial" w:cs="Arial" w:eastAsia="Arial" w:hAnsi="Arial"/>
                <w:sz w:val="16"/>
                <w:szCs w:val="16"/>
                <w:color w:val="auto"/>
              </w:rPr>
              <w:t>January 2026</w:t>
            </w:r>
          </w:p>
        </w:tc>
        <w:tc>
          <w:tcPr>
            <w:tcW w:w="140" w:type="dxa"/>
            <w:vAlign w:val="bottom"/>
          </w:tcPr>
          <w:p>
            <w:pPr>
              <w:spacing w:after="0"/>
              <w:rPr>
                <w:sz w:val="16"/>
                <w:szCs w:val="16"/>
                <w:color w:val="auto"/>
              </w:rPr>
            </w:pPr>
          </w:p>
        </w:tc>
        <w:tc>
          <w:tcPr>
            <w:tcW w:w="2700" w:type="dxa"/>
            <w:vAlign w:val="bottom"/>
            <w:shd w:val="clear" w:color="auto" w:fill="F2F2F2"/>
          </w:tcPr>
          <w:p>
            <w:pPr>
              <w:jc w:val="center"/>
              <w:ind w:left="2"/>
              <w:spacing w:after="0"/>
              <w:rPr>
                <w:sz w:val="20"/>
                <w:szCs w:val="20"/>
                <w:color w:val="auto"/>
              </w:rPr>
            </w:pPr>
            <w:r>
              <w:rPr>
                <w:rFonts w:ascii="Arial" w:cs="Arial" w:eastAsia="Arial" w:hAnsi="Arial"/>
                <w:sz w:val="16"/>
                <w:szCs w:val="16"/>
                <w:color w:val="auto"/>
              </w:rPr>
              <w:t>common stock</w:t>
            </w:r>
          </w:p>
        </w:tc>
        <w:tc>
          <w:tcPr>
            <w:tcW w:w="160" w:type="dxa"/>
            <w:vAlign w:val="bottom"/>
          </w:tcPr>
          <w:p>
            <w:pPr>
              <w:spacing w:after="0"/>
              <w:rPr>
                <w:sz w:val="16"/>
                <w:szCs w:val="16"/>
                <w:color w:val="auto"/>
              </w:rPr>
            </w:pPr>
          </w:p>
        </w:tc>
        <w:tc>
          <w:tcPr>
            <w:tcW w:w="2580" w:type="dxa"/>
            <w:vAlign w:val="bottom"/>
            <w:shd w:val="clear" w:color="auto" w:fill="F2F2F2"/>
          </w:tcPr>
          <w:p>
            <w:pPr>
              <w:jc w:val="center"/>
              <w:ind w:left="22"/>
              <w:spacing w:after="0"/>
              <w:rPr>
                <w:sz w:val="20"/>
                <w:szCs w:val="20"/>
                <w:color w:val="auto"/>
              </w:rPr>
            </w:pPr>
            <w:r>
              <w:rPr>
                <w:rFonts w:ascii="Arial" w:cs="Arial" w:eastAsia="Arial" w:hAnsi="Arial"/>
                <w:sz w:val="16"/>
                <w:szCs w:val="16"/>
                <w:color w:val="auto"/>
              </w:rPr>
              <w:t>shares of common stock</w:t>
            </w:r>
          </w:p>
        </w:tc>
        <w:tc>
          <w:tcPr>
            <w:tcW w:w="160" w:type="dxa"/>
            <w:vAlign w:val="bottom"/>
          </w:tcPr>
          <w:p>
            <w:pPr>
              <w:spacing w:after="0"/>
              <w:rPr>
                <w:sz w:val="16"/>
                <w:szCs w:val="16"/>
                <w:color w:val="auto"/>
              </w:rPr>
            </w:pPr>
          </w:p>
        </w:tc>
        <w:tc>
          <w:tcPr>
            <w:tcW w:w="2620" w:type="dxa"/>
            <w:vAlign w:val="bottom"/>
            <w:tcBorders>
              <w:right w:val="single" w:sz="8" w:color="005CB9"/>
            </w:tcBorders>
            <w:shd w:val="clear" w:color="auto" w:fill="F2F2F2"/>
          </w:tcPr>
          <w:p>
            <w:pPr>
              <w:jc w:val="center"/>
              <w:spacing w:after="0" w:line="188" w:lineRule="exact"/>
              <w:rPr>
                <w:sz w:val="20"/>
                <w:szCs w:val="20"/>
                <w:color w:val="auto"/>
              </w:rPr>
            </w:pPr>
            <w:r>
              <w:rPr>
                <w:rFonts w:ascii="Arial" w:cs="Arial" w:eastAsia="Arial" w:hAnsi="Arial"/>
                <w:sz w:val="14"/>
                <w:szCs w:val="14"/>
                <w:color w:val="auto"/>
              </w:rPr>
              <w:t>27%</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of our outstanding</w:t>
            </w:r>
          </w:p>
        </w:tc>
      </w:tr>
      <w:tr>
        <w:trPr>
          <w:trHeight w:val="211"/>
        </w:trPr>
        <w:tc>
          <w:tcPr>
            <w:tcW w:w="2580" w:type="dxa"/>
            <w:vAlign w:val="bottom"/>
            <w:tcBorders>
              <w:left w:val="single" w:sz="8" w:color="005CB9"/>
            </w:tcBorders>
            <w:shd w:val="clear" w:color="auto" w:fill="F2F2F2"/>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shd w:val="clear" w:color="auto" w:fill="F2F2F2"/>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shd w:val="clear" w:color="auto" w:fill="F2F2F2"/>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Borders>
              <w:right w:val="single" w:sz="8" w:color="005CB9"/>
            </w:tcBorders>
            <w:shd w:val="clear" w:color="auto" w:fill="F2F2F2"/>
          </w:tcPr>
          <w:p>
            <w:pPr>
              <w:jc w:val="center"/>
              <w:spacing w:after="0"/>
              <w:rPr>
                <w:sz w:val="20"/>
                <w:szCs w:val="20"/>
                <w:color w:val="auto"/>
              </w:rPr>
            </w:pPr>
            <w:r>
              <w:rPr>
                <w:rFonts w:ascii="Arial" w:cs="Arial" w:eastAsia="Arial" w:hAnsi="Arial"/>
                <w:sz w:val="16"/>
                <w:szCs w:val="16"/>
                <w:color w:val="auto"/>
              </w:rPr>
              <w:t>shares of common stock</w:t>
            </w:r>
          </w:p>
        </w:tc>
      </w:tr>
      <w:tr>
        <w:trPr>
          <w:trHeight w:val="177"/>
        </w:trPr>
        <w:tc>
          <w:tcPr>
            <w:tcW w:w="2580" w:type="dxa"/>
            <w:vAlign w:val="bottom"/>
            <w:tcBorders>
              <w:left w:val="single" w:sz="8" w:color="005CB9"/>
              <w:bottom w:val="single" w:sz="8" w:color="005CB9"/>
            </w:tcBorders>
            <w:shd w:val="clear" w:color="auto" w:fill="F2F2F2"/>
          </w:tcPr>
          <w:p>
            <w:pPr>
              <w:spacing w:after="0"/>
              <w:rPr>
                <w:sz w:val="15"/>
                <w:szCs w:val="15"/>
                <w:color w:val="auto"/>
              </w:rPr>
            </w:pPr>
          </w:p>
        </w:tc>
        <w:tc>
          <w:tcPr>
            <w:tcW w:w="140" w:type="dxa"/>
            <w:vAlign w:val="bottom"/>
            <w:tcBorders>
              <w:bottom w:val="single" w:sz="8" w:color="005CB9"/>
            </w:tcBorders>
          </w:tcPr>
          <w:p>
            <w:pPr>
              <w:spacing w:after="0"/>
              <w:rPr>
                <w:sz w:val="15"/>
                <w:szCs w:val="15"/>
                <w:color w:val="auto"/>
              </w:rPr>
            </w:pPr>
          </w:p>
        </w:tc>
        <w:tc>
          <w:tcPr>
            <w:tcW w:w="2700" w:type="dxa"/>
            <w:vAlign w:val="bottom"/>
            <w:tcBorders>
              <w:bottom w:val="single" w:sz="8" w:color="005CB9"/>
            </w:tcBorders>
            <w:shd w:val="clear" w:color="auto" w:fill="F2F2F2"/>
          </w:tcPr>
          <w:p>
            <w:pPr>
              <w:spacing w:after="0"/>
              <w:rPr>
                <w:sz w:val="15"/>
                <w:szCs w:val="15"/>
                <w:color w:val="auto"/>
              </w:rPr>
            </w:pPr>
          </w:p>
        </w:tc>
        <w:tc>
          <w:tcPr>
            <w:tcW w:w="160" w:type="dxa"/>
            <w:vAlign w:val="bottom"/>
            <w:tcBorders>
              <w:bottom w:val="single" w:sz="8" w:color="005CB9"/>
            </w:tcBorders>
          </w:tcPr>
          <w:p>
            <w:pPr>
              <w:spacing w:after="0"/>
              <w:rPr>
                <w:sz w:val="15"/>
                <w:szCs w:val="15"/>
                <w:color w:val="auto"/>
              </w:rPr>
            </w:pPr>
          </w:p>
        </w:tc>
        <w:tc>
          <w:tcPr>
            <w:tcW w:w="2580" w:type="dxa"/>
            <w:vAlign w:val="bottom"/>
            <w:tcBorders>
              <w:bottom w:val="single" w:sz="8" w:color="005CB9"/>
            </w:tcBorders>
            <w:shd w:val="clear" w:color="auto" w:fill="F2F2F2"/>
          </w:tcPr>
          <w:p>
            <w:pPr>
              <w:spacing w:after="0"/>
              <w:rPr>
                <w:sz w:val="15"/>
                <w:szCs w:val="15"/>
                <w:color w:val="auto"/>
              </w:rPr>
            </w:pPr>
          </w:p>
        </w:tc>
        <w:tc>
          <w:tcPr>
            <w:tcW w:w="160" w:type="dxa"/>
            <w:vAlign w:val="bottom"/>
            <w:tcBorders>
              <w:bottom w:val="single" w:sz="8" w:color="005CB9"/>
            </w:tcBorders>
          </w:tcPr>
          <w:p>
            <w:pPr>
              <w:spacing w:after="0"/>
              <w:rPr>
                <w:sz w:val="15"/>
                <w:szCs w:val="15"/>
                <w:color w:val="auto"/>
              </w:rPr>
            </w:pPr>
          </w:p>
        </w:tc>
        <w:tc>
          <w:tcPr>
            <w:tcW w:w="2620" w:type="dxa"/>
            <w:vAlign w:val="bottom"/>
            <w:tcBorders>
              <w:bottom w:val="single" w:sz="8" w:color="005CB9"/>
              <w:right w:val="single" w:sz="8" w:color="005CB9"/>
            </w:tcBorders>
            <w:shd w:val="clear" w:color="auto" w:fill="F2F2F2"/>
          </w:tcPr>
          <w:p>
            <w:pPr>
              <w:spacing w:after="0"/>
              <w:rPr>
                <w:sz w:val="15"/>
                <w:szCs w:val="15"/>
                <w:color w:val="auto"/>
              </w:rPr>
            </w:pPr>
          </w:p>
        </w:tc>
      </w:tr>
    </w:tbl>
    <w:p>
      <w:pPr>
        <w:spacing w:after="0" w:line="62" w:lineRule="exact"/>
        <w:rPr>
          <w:sz w:val="20"/>
          <w:szCs w:val="20"/>
          <w:color w:val="auto"/>
        </w:rPr>
      </w:pPr>
    </w:p>
    <w:p>
      <w:pPr>
        <w:ind w:left="480" w:right="40" w:hanging="313"/>
        <w:spacing w:after="0" w:line="267" w:lineRule="auto"/>
        <w:tabs>
          <w:tab w:leader="none" w:pos="4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Percentages are calculated using estimates of the holdings of each shareholder included in our outreach and engagement, as applicable, and the number of outstanding shares of our common stock on December 31, 2025.</w:t>
      </w:r>
    </w:p>
    <w:p>
      <w:pPr>
        <w:ind w:left="480" w:right="20" w:hanging="313"/>
        <w:spacing w:after="0" w:line="244" w:lineRule="auto"/>
        <w:tabs>
          <w:tab w:leader="none" w:pos="4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Includes Newport Trust Company (Newport), the independent fiduciary for the Sempra Common Stock Fund under the Employee Savings Plans (as defined below). Newport exercises its discretion to vote shares held in the Sempra Common Stock Fund on all matters for which it receives no voting instructions. Newport also votes shares held in the Sempra Common Stock Fund for which it receives timely voting instructions from the underlying shareholder in accordance with such instructions. We engaged with Newport on behalf of the holders of shares held in the Sempra Common Stock Fund during our 2025-2026 engagement cycle and we included the number of shares Newport voted at our 2025 annual shareholders meeting (including shares voted on both a discretionary and shareholder-directed basis) in calculating these percentages, which was approximately 13,300,000 shares.</w:t>
      </w:r>
    </w:p>
    <w:p>
      <w:pPr>
        <w:spacing w:after="0" w:line="8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Key topics discussed during the 2025-2026 engagement cycle included:</w:t>
      </w:r>
    </w:p>
    <w:p>
      <w:pPr>
        <w:sectPr>
          <w:pgSz w:w="11900" w:h="16838" w:orient="portrait"/>
          <w:cols w:equalWidth="0" w:num="1">
            <w:col w:w="11100"/>
          </w:cols>
          <w:pgMar w:left="320" w:top="478" w:right="479" w:bottom="1440" w:gutter="0" w:footer="0" w:header="0"/>
        </w:sectPr>
      </w:pPr>
    </w:p>
    <w:p>
      <w:pPr>
        <w:spacing w:after="0" w:line="173" w:lineRule="exact"/>
        <w:rPr>
          <w:sz w:val="20"/>
          <w:szCs w:val="20"/>
          <w:color w:val="auto"/>
        </w:rPr>
      </w:pPr>
    </w:p>
    <w:p>
      <w:pPr>
        <w:ind w:left="620" w:right="20" w:hanging="239"/>
        <w:spacing w:after="0" w:line="259" w:lineRule="auto"/>
        <w:tabs>
          <w:tab w:leader="none" w:pos="620" w:val="left"/>
        </w:tabs>
        <w:numPr>
          <w:ilvl w:val="0"/>
          <w:numId w:val="32"/>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Board composition</w:t>
      </w:r>
      <w:r>
        <w:rPr>
          <w:rFonts w:ascii="Arial" w:cs="Arial" w:eastAsia="Arial" w:hAnsi="Arial"/>
          <w:sz w:val="14"/>
          <w:szCs w:val="14"/>
          <w:color w:val="auto"/>
        </w:rPr>
        <w:t>, including our thoughtful refreshment process to align</w:t>
      </w:r>
      <w:r>
        <w:rPr>
          <w:rFonts w:ascii="Arial" w:cs="Arial" w:eastAsia="Arial" w:hAnsi="Arial"/>
          <w:sz w:val="14"/>
          <w:szCs w:val="14"/>
          <w:b w:val="1"/>
          <w:bCs w:val="1"/>
          <w:color w:val="auto"/>
        </w:rPr>
        <w:t xml:space="preserve"> </w:t>
      </w:r>
      <w:r>
        <w:rPr>
          <w:rFonts w:ascii="Arial" w:cs="Arial" w:eastAsia="Arial" w:hAnsi="Arial"/>
          <w:sz w:val="14"/>
          <w:szCs w:val="14"/>
          <w:color w:val="auto"/>
        </w:rPr>
        <w:t>with the company’s strategy, board and committee leadership, director tenure, and skills assessments</w:t>
      </w:r>
    </w:p>
    <w:p>
      <w:pPr>
        <w:spacing w:after="0" w:line="79" w:lineRule="exact"/>
        <w:rPr>
          <w:rFonts w:ascii="Times New Roman" w:cs="Times New Roman" w:eastAsia="Times New Roman" w:hAnsi="Times New Roman"/>
          <w:sz w:val="14"/>
          <w:szCs w:val="14"/>
          <w:color w:val="005CB9"/>
        </w:rPr>
      </w:pPr>
    </w:p>
    <w:p>
      <w:pPr>
        <w:jc w:val="both"/>
        <w:ind w:left="620" w:hanging="239"/>
        <w:spacing w:after="0" w:line="259" w:lineRule="auto"/>
        <w:tabs>
          <w:tab w:leader="none" w:pos="620" w:val="left"/>
        </w:tabs>
        <w:numPr>
          <w:ilvl w:val="0"/>
          <w:numId w:val="32"/>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Board oversight of risk management</w:t>
      </w:r>
      <w:r>
        <w:rPr>
          <w:rFonts w:ascii="Arial" w:cs="Arial" w:eastAsia="Arial" w:hAnsi="Arial"/>
          <w:sz w:val="14"/>
          <w:szCs w:val="14"/>
          <w:color w:val="auto"/>
        </w:rPr>
        <w:t>, including timing and processes for</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reporting to the board and board committees on risk areas of focus</w:t>
      </w:r>
    </w:p>
    <w:p>
      <w:pPr>
        <w:spacing w:after="0" w:line="79" w:lineRule="exact"/>
        <w:rPr>
          <w:rFonts w:ascii="Times New Roman" w:cs="Times New Roman" w:eastAsia="Times New Roman" w:hAnsi="Times New Roman"/>
          <w:sz w:val="14"/>
          <w:szCs w:val="14"/>
          <w:color w:val="005CB9"/>
        </w:rPr>
      </w:pPr>
    </w:p>
    <w:p>
      <w:pPr>
        <w:ind w:left="620" w:hanging="239"/>
        <w:spacing w:after="0" w:line="259" w:lineRule="auto"/>
        <w:tabs>
          <w:tab w:leader="none" w:pos="620" w:val="left"/>
        </w:tabs>
        <w:numPr>
          <w:ilvl w:val="0"/>
          <w:numId w:val="32"/>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Executive compensation</w:t>
      </w:r>
      <w:r>
        <w:rPr>
          <w:rFonts w:ascii="Arial" w:cs="Arial" w:eastAsia="Arial" w:hAnsi="Arial"/>
          <w:sz w:val="14"/>
          <w:szCs w:val="14"/>
          <w:color w:val="auto"/>
        </w:rPr>
        <w:t>, including the elements and structure of our</w:t>
      </w:r>
      <w:r>
        <w:rPr>
          <w:rFonts w:ascii="Arial" w:cs="Arial" w:eastAsia="Arial" w:hAnsi="Arial"/>
          <w:sz w:val="14"/>
          <w:szCs w:val="14"/>
          <w:b w:val="1"/>
          <w:bCs w:val="1"/>
          <w:color w:val="auto"/>
        </w:rPr>
        <w:t xml:space="preserve"> </w:t>
      </w:r>
      <w:r>
        <w:rPr>
          <w:rFonts w:ascii="Arial" w:cs="Arial" w:eastAsia="Arial" w:hAnsi="Arial"/>
          <w:sz w:val="14"/>
          <w:szCs w:val="14"/>
          <w:color w:val="auto"/>
        </w:rPr>
        <w:t>program, performance metrics and targets, and alignment with shareholder interests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33" w:right="280" w:hanging="233"/>
        <w:spacing w:after="0" w:line="280" w:lineRule="auto"/>
        <w:tabs>
          <w:tab w:leader="none" w:pos="233" w:val="left"/>
        </w:tabs>
        <w:numPr>
          <w:ilvl w:val="0"/>
          <w:numId w:val="33"/>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Corporate governance</w:t>
      </w:r>
      <w:r>
        <w:rPr>
          <w:rFonts w:ascii="Arial" w:cs="Arial" w:eastAsia="Arial" w:hAnsi="Arial"/>
          <w:sz w:val="14"/>
          <w:szCs w:val="14"/>
          <w:color w:val="auto"/>
        </w:rPr>
        <w:t>, including board interaction with management on</w:t>
      </w:r>
      <w:r>
        <w:rPr>
          <w:rFonts w:ascii="Arial" w:cs="Arial" w:eastAsia="Arial" w:hAnsi="Arial"/>
          <w:sz w:val="14"/>
          <w:szCs w:val="14"/>
          <w:b w:val="1"/>
          <w:bCs w:val="1"/>
          <w:color w:val="auto"/>
        </w:rPr>
        <w:t xml:space="preserve"> </w:t>
      </w:r>
      <w:r>
        <w:rPr>
          <w:rFonts w:ascii="Arial" w:cs="Arial" w:eastAsia="Arial" w:hAnsi="Arial"/>
          <w:sz w:val="14"/>
          <w:szCs w:val="14"/>
          <w:color w:val="auto"/>
        </w:rPr>
        <w:t>key matters such as strategy, human capital management and safety</w:t>
      </w:r>
    </w:p>
    <w:p>
      <w:pPr>
        <w:spacing w:after="0" w:line="64" w:lineRule="exact"/>
        <w:rPr>
          <w:rFonts w:ascii="Times New Roman" w:cs="Times New Roman" w:eastAsia="Times New Roman" w:hAnsi="Times New Roman"/>
          <w:sz w:val="14"/>
          <w:szCs w:val="14"/>
          <w:color w:val="005CB9"/>
        </w:rPr>
      </w:pPr>
    </w:p>
    <w:p>
      <w:pPr>
        <w:ind w:left="233" w:right="100" w:hanging="233"/>
        <w:spacing w:after="0" w:line="280" w:lineRule="auto"/>
        <w:tabs>
          <w:tab w:leader="none" w:pos="233" w:val="left"/>
        </w:tabs>
        <w:numPr>
          <w:ilvl w:val="0"/>
          <w:numId w:val="33"/>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Talent development</w:t>
      </w:r>
      <w:r>
        <w:rPr>
          <w:rFonts w:ascii="Arial" w:cs="Arial" w:eastAsia="Arial" w:hAnsi="Arial"/>
          <w:sz w:val="14"/>
          <w:szCs w:val="14"/>
          <w:color w:val="auto"/>
        </w:rPr>
        <w:t>, including board oversight of succession planning and</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strategies to enhance workforce capabilities and promote retention</w:t>
      </w:r>
    </w:p>
    <w:p>
      <w:pPr>
        <w:spacing w:after="0" w:line="64" w:lineRule="exact"/>
        <w:rPr>
          <w:rFonts w:ascii="Times New Roman" w:cs="Times New Roman" w:eastAsia="Times New Roman" w:hAnsi="Times New Roman"/>
          <w:sz w:val="14"/>
          <w:szCs w:val="14"/>
          <w:color w:val="005CB9"/>
        </w:rPr>
      </w:pPr>
    </w:p>
    <w:p>
      <w:pPr>
        <w:ind w:left="233" w:right="60" w:hanging="233"/>
        <w:spacing w:after="0" w:line="280" w:lineRule="auto"/>
        <w:tabs>
          <w:tab w:leader="none" w:pos="233" w:val="left"/>
        </w:tabs>
        <w:numPr>
          <w:ilvl w:val="0"/>
          <w:numId w:val="33"/>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Business strategy</w:t>
      </w:r>
      <w:r>
        <w:rPr>
          <w:rFonts w:ascii="Arial" w:cs="Arial" w:eastAsia="Arial" w:hAnsi="Arial"/>
          <w:sz w:val="14"/>
          <w:szCs w:val="14"/>
          <w:color w:val="auto"/>
        </w:rPr>
        <w:t>, including the company’s areas of strategic focus, growth</w:t>
      </w:r>
      <w:r>
        <w:rPr>
          <w:rFonts w:ascii="Arial" w:cs="Arial" w:eastAsia="Arial" w:hAnsi="Arial"/>
          <w:sz w:val="14"/>
          <w:szCs w:val="14"/>
          <w:b w:val="1"/>
          <w:bCs w:val="1"/>
          <w:color w:val="auto"/>
        </w:rPr>
        <w:t xml:space="preserve"> </w:t>
      </w:r>
      <w:r>
        <w:rPr>
          <w:rFonts w:ascii="Arial" w:cs="Arial" w:eastAsia="Arial" w:hAnsi="Arial"/>
          <w:sz w:val="14"/>
          <w:szCs w:val="14"/>
          <w:color w:val="auto"/>
        </w:rPr>
        <w:t>and performance</w:t>
      </w:r>
    </w:p>
    <w:p>
      <w:pPr>
        <w:spacing w:after="0" w:line="64" w:lineRule="exact"/>
        <w:rPr>
          <w:rFonts w:ascii="Times New Roman" w:cs="Times New Roman" w:eastAsia="Times New Roman" w:hAnsi="Times New Roman"/>
          <w:sz w:val="14"/>
          <w:szCs w:val="14"/>
          <w:color w:val="005CB9"/>
        </w:rPr>
      </w:pPr>
    </w:p>
    <w:p>
      <w:pPr>
        <w:ind w:left="233" w:right="160" w:hanging="233"/>
        <w:spacing w:after="0" w:line="280" w:lineRule="auto"/>
        <w:tabs>
          <w:tab w:leader="none" w:pos="233" w:val="left"/>
        </w:tabs>
        <w:numPr>
          <w:ilvl w:val="0"/>
          <w:numId w:val="33"/>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Sustainability</w:t>
      </w:r>
      <w:r>
        <w:rPr>
          <w:rFonts w:ascii="Arial" w:cs="Arial" w:eastAsia="Arial" w:hAnsi="Arial"/>
          <w:sz w:val="14"/>
          <w:szCs w:val="14"/>
          <w:color w:val="auto"/>
        </w:rPr>
        <w:t>, including the energy transition and regulatory requirements,</w:t>
      </w:r>
      <w:r>
        <w:rPr>
          <w:rFonts w:ascii="Arial" w:cs="Arial" w:eastAsia="Arial" w:hAnsi="Arial"/>
          <w:sz w:val="14"/>
          <w:szCs w:val="14"/>
          <w:b w:val="1"/>
          <w:bCs w:val="1"/>
          <w:color w:val="auto"/>
        </w:rPr>
        <w:t xml:space="preserve"> </w:t>
      </w:r>
      <w:r>
        <w:rPr>
          <w:rFonts w:ascii="Arial" w:cs="Arial" w:eastAsia="Arial" w:hAnsi="Arial"/>
          <w:sz w:val="14"/>
          <w:szCs w:val="14"/>
          <w:color w:val="auto"/>
        </w:rPr>
        <w:t>policies and trends with respect to sustainability disclosures</w:t>
      </w:r>
    </w:p>
    <w:p>
      <w:pPr>
        <w:spacing w:after="0" w:line="225" w:lineRule="exact"/>
        <w:rPr>
          <w:sz w:val="20"/>
          <w:szCs w:val="20"/>
          <w:color w:val="auto"/>
        </w:rPr>
      </w:pPr>
    </w:p>
    <w:p>
      <w:pPr>
        <w:sectPr>
          <w:pgSz w:w="11900" w:h="16838" w:orient="portrait"/>
          <w:cols w:equalWidth="0" w:num="2">
            <w:col w:w="5340" w:space="607"/>
            <w:col w:w="5153"/>
          </w:cols>
          <w:pgMar w:left="320" w:top="478" w:right="479" w:bottom="1440" w:gutter="0" w:footer="0" w:header="0"/>
          <w:type w:val="continuous"/>
        </w:sectPr>
      </w:pPr>
    </w:p>
    <w:p>
      <w:pPr>
        <w:spacing w:after="0" w:line="14" w:lineRule="exact"/>
        <w:rPr>
          <w:sz w:val="20"/>
          <w:szCs w:val="20"/>
          <w:color w:val="auto"/>
        </w:rPr>
      </w:pPr>
    </w:p>
    <w:p>
      <w:pPr>
        <w:ind w:left="160" w:right="20"/>
        <w:spacing w:after="0" w:line="281" w:lineRule="auto"/>
        <w:rPr>
          <w:sz w:val="20"/>
          <w:szCs w:val="20"/>
          <w:color w:val="auto"/>
        </w:rPr>
      </w:pPr>
      <w:r>
        <w:rPr>
          <w:rFonts w:ascii="Arial" w:cs="Arial" w:eastAsia="Arial" w:hAnsi="Arial"/>
          <w:sz w:val="14"/>
          <w:szCs w:val="14"/>
          <w:color w:val="auto"/>
        </w:rPr>
        <w:t xml:space="preserve">For more information about our shareholder engagement related to our executive compensation program, see “Compensation Discussion and Analysis—Executive Summary —Shareholder Engagement” on page </w:t>
      </w:r>
      <w:r>
        <w:rPr>
          <w:rFonts w:ascii="Arial" w:cs="Arial" w:eastAsia="Arial" w:hAnsi="Arial"/>
          <w:sz w:val="14"/>
          <w:szCs w:val="14"/>
          <w:u w:val="single" w:color="auto"/>
          <w:color w:val="0000EE"/>
        </w:rPr>
        <w:t>44</w:t>
      </w:r>
      <w:r>
        <w:rPr>
          <w:rFonts w:ascii="Arial" w:cs="Arial" w:eastAsia="Arial" w:hAnsi="Arial"/>
          <w:sz w:val="14"/>
          <w:szCs w:val="14"/>
          <w:color w:val="auto"/>
        </w:rPr>
        <w:t>.</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Other Stakeholders</w:t>
      </w:r>
    </w:p>
    <w:p>
      <w:pPr>
        <w:spacing w:after="0" w:line="125" w:lineRule="exact"/>
        <w:rPr>
          <w:sz w:val="20"/>
          <w:szCs w:val="20"/>
          <w:color w:val="auto"/>
        </w:rPr>
      </w:pPr>
    </w:p>
    <w:p>
      <w:pPr>
        <w:ind w:left="160" w:right="440"/>
        <w:spacing w:after="0" w:line="281" w:lineRule="auto"/>
        <w:rPr>
          <w:sz w:val="20"/>
          <w:szCs w:val="20"/>
          <w:color w:val="auto"/>
        </w:rPr>
      </w:pPr>
      <w:r>
        <w:rPr>
          <w:rFonts w:ascii="Arial" w:cs="Arial" w:eastAsia="Arial" w:hAnsi="Arial"/>
          <w:sz w:val="14"/>
          <w:szCs w:val="14"/>
          <w:color w:val="auto"/>
        </w:rPr>
        <w:t>In addition to shareholders, we engage with proxy advisory firms, sustainability organizations, trade associations and other stakeholders who express an interest in our company and its operations. This further informs our practices and disclosures across corporate governance and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80645</wp:posOffset>
            </wp:positionV>
            <wp:extent cx="69297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199390</wp:posOffset>
            </wp:positionV>
            <wp:extent cx="739140" cy="153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17"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      2026 Proxy Statement            15</w:t>
      </w:r>
    </w:p>
    <w:p>
      <w:pPr>
        <w:sectPr>
          <w:pgSz w:w="11900" w:h="16838" w:orient="portrait"/>
          <w:cols w:equalWidth="0" w:num="1">
            <w:col w:w="11100"/>
          </w:cols>
          <w:pgMar w:left="320" w:top="478" w:right="4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Corporate Governance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Insider Trading Policies and Procedures</w:t>
      </w:r>
    </w:p>
    <w:p>
      <w:pPr>
        <w:spacing w:after="0" w:line="129" w:lineRule="exact"/>
        <w:rPr>
          <w:sz w:val="20"/>
          <w:szCs w:val="20"/>
          <w:color w:val="auto"/>
        </w:rPr>
      </w:pPr>
    </w:p>
    <w:p>
      <w:pPr>
        <w:ind w:left="160" w:right="160"/>
        <w:spacing w:after="0" w:line="249" w:lineRule="auto"/>
        <w:rPr>
          <w:sz w:val="20"/>
          <w:szCs w:val="20"/>
          <w:color w:val="auto"/>
        </w:rPr>
      </w:pPr>
      <w:r>
        <w:rPr>
          <w:rFonts w:ascii="Arial" w:cs="Arial" w:eastAsia="Arial" w:hAnsi="Arial"/>
          <w:sz w:val="14"/>
          <w:szCs w:val="14"/>
          <w:color w:val="auto"/>
        </w:rPr>
        <w:t>The company has adopted its Insider Trading and Information Confidentiality Policy, which governs, among other things, the purchase, sale and/or other disposition of its securities by its directors, officers and employees and by employees of subsidiaries as to which Sempra has majority ownership and control. We believe this policy is reasonably designed to promote compliance with insider trading laws, rules and regulations and NYSE listing standards, as applicable. This policy has been filed or incorporated by reference as Exhibit 19.1 to the company’s Annual Report on Form 10-K for the year ended December 31, 2025 (2025 Form 10-K). Although the company has not adopted a specific policy governing its own transactions in its securities, the company is committed to complying with applicable laws related to such transactions.</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Succession Planning and Management Development</w:t>
      </w:r>
    </w:p>
    <w:p>
      <w:pPr>
        <w:spacing w:after="0" w:line="129" w:lineRule="exact"/>
        <w:rPr>
          <w:sz w:val="20"/>
          <w:szCs w:val="20"/>
          <w:color w:val="auto"/>
        </w:rPr>
      </w:pPr>
    </w:p>
    <w:p>
      <w:pPr>
        <w:ind w:left="160" w:right="40"/>
        <w:spacing w:after="0" w:line="260" w:lineRule="auto"/>
        <w:rPr>
          <w:sz w:val="20"/>
          <w:szCs w:val="20"/>
          <w:color w:val="auto"/>
        </w:rPr>
      </w:pPr>
      <w:r>
        <w:rPr>
          <w:rFonts w:ascii="Arial" w:cs="Arial" w:eastAsia="Arial" w:hAnsi="Arial"/>
          <w:sz w:val="14"/>
          <w:szCs w:val="14"/>
          <w:color w:val="auto"/>
        </w:rPr>
        <w:t>Our Compensation and Talent Development Committee oversees and regularly evaluates leadership succession planning practices and results. The committee reports at least annually to the Board of Directors on succession planning, including on principles for executive officer selection. Under company policy, executive officers are generally expected to retire at age 65, subject to the discretion of the committee to grant extensions, such as the extension from age 65 to 67 granted to Mr. Martin in February 2025.</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Review of Related Person Transactions</w:t>
      </w:r>
    </w:p>
    <w:p>
      <w:pPr>
        <w:spacing w:after="0" w:line="129" w:lineRule="exact"/>
        <w:rPr>
          <w:sz w:val="20"/>
          <w:szCs w:val="20"/>
          <w:color w:val="auto"/>
        </w:rPr>
      </w:pPr>
    </w:p>
    <w:p>
      <w:pPr>
        <w:ind w:left="160" w:right="60"/>
        <w:spacing w:after="0" w:line="247" w:lineRule="auto"/>
        <w:rPr>
          <w:sz w:val="20"/>
          <w:szCs w:val="20"/>
          <w:color w:val="auto"/>
        </w:rPr>
      </w:pPr>
      <w:r>
        <w:rPr>
          <w:rFonts w:ascii="Arial" w:cs="Arial" w:eastAsia="Arial" w:hAnsi="Arial"/>
          <w:sz w:val="14"/>
          <w:szCs w:val="14"/>
          <w:color w:val="auto"/>
        </w:rPr>
        <w:t>SEC rules require us to describe any transaction since the beginning of 2025 or any currently proposed transaction, in each case involving more than $120,000, in which we were or will be a participant and any of our directors, director nominees, executive officers, persons or entities known by us to be a beneficial owner of more than 5% of our common stock, or any member of their respective immediate families, had or will have a direct or indirect material interest. The charter of our Corporate Governance Committee requires the committee to review and approve any such “related person transaction” that is required to be disclosed. When evaluating any such transaction, the Corporate Governance Committee focuses on a variety of factors on a case-by-case basis, which may include, among other things, the identity of the related person, the nature and terms of the transaction, the interest of the related person in the transaction and the dollar amount involved.</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There have been no transactions requiring such review since the beginning of 2025.</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Director Orientation and Education Programs</w:t>
      </w:r>
    </w:p>
    <w:p>
      <w:pPr>
        <w:spacing w:after="0" w:line="129" w:lineRule="exact"/>
        <w:rPr>
          <w:sz w:val="20"/>
          <w:szCs w:val="20"/>
          <w:color w:val="auto"/>
        </w:rPr>
      </w:pPr>
    </w:p>
    <w:p>
      <w:pPr>
        <w:ind w:left="160"/>
        <w:spacing w:after="0" w:line="246" w:lineRule="auto"/>
        <w:rPr>
          <w:sz w:val="20"/>
          <w:szCs w:val="20"/>
          <w:color w:val="auto"/>
        </w:rPr>
      </w:pPr>
      <w:r>
        <w:rPr>
          <w:rFonts w:ascii="Arial" w:cs="Arial" w:eastAsia="Arial" w:hAnsi="Arial"/>
          <w:sz w:val="14"/>
          <w:szCs w:val="14"/>
          <w:color w:val="auto"/>
        </w:rPr>
        <w:t>We place a high value on director orientation and ongoing education. Every new director participates in an orientation program and receives materials and briefings to acquaint him or her with our businesses, industry, management and corporate governance policies and practices. In addition to this immersive orientation, each new director is paired with a more seasoned director mentor to give the new director opportunities to ask questions, understand materials and discuss board protocol outside the boardroom setting. Continuing education is provided for all directors through board materials and presentations, discussions with management, visits to corporate facilities and other sources. Several directors, at the company’s expense, also participate in continuing education and certification programs offered by third parties, including the National Association of Corporate Directors (NACD). NACD, of which the company is a member, is a recognized organization that provides resources on board practices and leadership, including seminars, webinars and other educational opportunities.</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Director Access to Senior Management, Independent Accountant and Counsel</w:t>
      </w:r>
    </w:p>
    <w:p>
      <w:pPr>
        <w:spacing w:after="0" w:line="129" w:lineRule="exact"/>
        <w:rPr>
          <w:sz w:val="20"/>
          <w:szCs w:val="20"/>
          <w:color w:val="auto"/>
        </w:rPr>
      </w:pPr>
    </w:p>
    <w:p>
      <w:pPr>
        <w:ind w:left="160" w:right="360"/>
        <w:spacing w:after="0" w:line="260" w:lineRule="auto"/>
        <w:rPr>
          <w:sz w:val="20"/>
          <w:szCs w:val="20"/>
          <w:color w:val="auto"/>
        </w:rPr>
      </w:pPr>
      <w:r>
        <w:rPr>
          <w:rFonts w:ascii="Arial" w:cs="Arial" w:eastAsia="Arial" w:hAnsi="Arial"/>
          <w:sz w:val="14"/>
          <w:szCs w:val="14"/>
          <w:color w:val="auto"/>
        </w:rPr>
        <w:t>Directors have complete access to our senior management and other employees and to our independent registered public accounting firm, as well as to any company information they may request. Directors also have complete access to counsel, advisors and experts of their choice to assist the board and its committees as needed in discharging their duties.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Retirement Policy</w:t>
      </w:r>
    </w:p>
    <w:p>
      <w:pPr>
        <w:spacing w:after="0" w:line="129" w:lineRule="exact"/>
        <w:rPr>
          <w:sz w:val="20"/>
          <w:szCs w:val="20"/>
          <w:color w:val="auto"/>
        </w:rPr>
      </w:pPr>
    </w:p>
    <w:p>
      <w:pPr>
        <w:jc w:val="both"/>
        <w:ind w:left="160"/>
        <w:spacing w:after="0" w:line="260" w:lineRule="auto"/>
        <w:rPr>
          <w:sz w:val="20"/>
          <w:szCs w:val="20"/>
          <w:color w:val="auto"/>
        </w:rPr>
      </w:pPr>
      <w:r>
        <w:rPr>
          <w:rFonts w:ascii="Arial" w:cs="Arial" w:eastAsia="Arial" w:hAnsi="Arial"/>
          <w:sz w:val="14"/>
          <w:szCs w:val="14"/>
          <w:color w:val="auto"/>
        </w:rPr>
        <w:t>To further support our commitment to regular board refreshment, in 2025 our board revised our retirement policy for directors to include a tenure-based component as well as an age-based component. This revised retirement policy, which is codified in our Corporate Governance Guidelines, provides that directors should not be nominated to stand for election after the earlier of attaining age 75 or completing 15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692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16               </w:t>
      </w:r>
      <w:r>
        <w:rPr>
          <w:sz w:val="1"/>
          <w:szCs w:val="1"/>
          <w:color w:val="auto"/>
        </w:rPr>
        <w:drawing>
          <wp:inline distT="0" distB="0" distL="0" distR="0">
            <wp:extent cx="739140" cy="14414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60"/>
          </w:cols>
          <w:pgMar w:left="320" w:top="478" w:right="519" w:bottom="1440"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Corporate Governance</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Board Committees</w:t>
      </w:r>
    </w:p>
    <w:p>
      <w:pPr>
        <w:spacing w:after="0" w:line="132" w:lineRule="exact"/>
        <w:rPr>
          <w:sz w:val="20"/>
          <w:szCs w:val="20"/>
          <w:color w:val="auto"/>
        </w:rPr>
      </w:pPr>
    </w:p>
    <w:p>
      <w:pPr>
        <w:ind w:left="160"/>
        <w:spacing w:after="0" w:line="260" w:lineRule="auto"/>
        <w:rPr>
          <w:sz w:val="20"/>
          <w:szCs w:val="20"/>
          <w:color w:val="auto"/>
        </w:rPr>
      </w:pPr>
      <w:r>
        <w:rPr>
          <w:rFonts w:ascii="Arial" w:cs="Arial" w:eastAsia="Arial" w:hAnsi="Arial"/>
          <w:sz w:val="14"/>
          <w:szCs w:val="14"/>
          <w:color w:val="auto"/>
        </w:rPr>
        <w:t>Our standing board committees consist of the Audit Committee; Compensation and Talent Development Committee; Corporate Governance Committee; Safety, Sustainability and Technology Committee; and Executive Committee. In addition to these standing board committees, the board may, from time to time, establish ad hoc committees to address particular matters, transactions and projects.</w:t>
      </w:r>
    </w:p>
    <w:p>
      <w:pPr>
        <w:spacing w:after="0" w:line="65" w:lineRule="exact"/>
        <w:rPr>
          <w:sz w:val="20"/>
          <w:szCs w:val="20"/>
          <w:color w:val="auto"/>
        </w:rPr>
      </w:pPr>
    </w:p>
    <w:p>
      <w:pPr>
        <w:ind w:left="160" w:right="100"/>
        <w:spacing w:after="0" w:line="281" w:lineRule="auto"/>
        <w:rPr>
          <w:sz w:val="20"/>
          <w:szCs w:val="20"/>
          <w:color w:val="auto"/>
        </w:rPr>
      </w:pPr>
      <w:r>
        <w:rPr>
          <w:rFonts w:ascii="Arial" w:cs="Arial" w:eastAsia="Arial" w:hAnsi="Arial"/>
          <w:sz w:val="14"/>
          <w:szCs w:val="14"/>
          <w:color w:val="auto"/>
        </w:rPr>
        <w:t>All members of our NYSE-required board committees are independent directors. The following table sets forth our standing board committees, 2025 meeting information for each committee and membership on each committee as of the mailing date of this proxy statement:</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260" w:type="dxa"/>
            <w:vAlign w:val="bottom"/>
            <w:tcBorders>
              <w:right w:val="single" w:sz="8" w:color="005CB9"/>
            </w:tcBorders>
            <w:shd w:val="clear" w:color="auto" w:fill="005CB9"/>
          </w:tcPr>
          <w:p>
            <w:pPr>
              <w:spacing w:after="0"/>
              <w:rPr>
                <w:sz w:val="18"/>
                <w:szCs w:val="18"/>
                <w:color w:val="auto"/>
              </w:rPr>
            </w:pPr>
          </w:p>
        </w:tc>
        <w:tc>
          <w:tcPr>
            <w:tcW w:w="980" w:type="dxa"/>
            <w:vAlign w:val="bottom"/>
            <w:shd w:val="clear" w:color="auto" w:fill="005CB9"/>
          </w:tcPr>
          <w:p>
            <w:pPr>
              <w:spacing w:after="0"/>
              <w:rPr>
                <w:sz w:val="18"/>
                <w:szCs w:val="18"/>
                <w:color w:val="auto"/>
              </w:rPr>
            </w:pPr>
          </w:p>
        </w:tc>
        <w:tc>
          <w:tcPr>
            <w:tcW w:w="1080" w:type="dxa"/>
            <w:vAlign w:val="bottom"/>
            <w:tcBorders>
              <w:right w:val="single" w:sz="8" w:color="005CB9"/>
            </w:tcBorders>
            <w:shd w:val="clear" w:color="auto" w:fill="005CB9"/>
          </w:tcPr>
          <w:p>
            <w:pPr>
              <w:spacing w:after="0"/>
              <w:rPr>
                <w:sz w:val="18"/>
                <w:szCs w:val="18"/>
                <w:color w:val="auto"/>
              </w:rPr>
            </w:pPr>
          </w:p>
        </w:tc>
        <w:tc>
          <w:tcPr>
            <w:tcW w:w="1920" w:type="dxa"/>
            <w:vAlign w:val="bottom"/>
            <w:gridSpan w:val="2"/>
            <w:shd w:val="clear" w:color="auto" w:fill="005CB9"/>
          </w:tcPr>
          <w:p>
            <w:pPr>
              <w:jc w:val="center"/>
              <w:ind w:right="180"/>
              <w:spacing w:after="0"/>
              <w:rPr>
                <w:sz w:val="20"/>
                <w:szCs w:val="20"/>
                <w:color w:val="auto"/>
              </w:rPr>
            </w:pPr>
            <w:r>
              <w:rPr>
                <w:rFonts w:ascii="Arial" w:cs="Arial" w:eastAsia="Arial" w:hAnsi="Arial"/>
                <w:sz w:val="14"/>
                <w:szCs w:val="14"/>
                <w:b w:val="1"/>
                <w:bCs w:val="1"/>
                <w:color w:val="FFFFFF"/>
              </w:rPr>
              <w:t> Compensation</w:t>
            </w:r>
          </w:p>
        </w:tc>
        <w:tc>
          <w:tcPr>
            <w:tcW w:w="1400" w:type="dxa"/>
            <w:vAlign w:val="bottom"/>
            <w:tcBorders>
              <w:right w:val="single" w:sz="8" w:color="005CB9"/>
            </w:tcBorders>
            <w:shd w:val="clear" w:color="auto" w:fill="005CB9"/>
          </w:tcPr>
          <w:p>
            <w:pPr>
              <w:spacing w:after="0"/>
              <w:rPr>
                <w:sz w:val="18"/>
                <w:szCs w:val="18"/>
                <w:color w:val="auto"/>
              </w:rPr>
            </w:pPr>
          </w:p>
        </w:tc>
        <w:tc>
          <w:tcPr>
            <w:tcW w:w="1620" w:type="dxa"/>
            <w:vAlign w:val="bottom"/>
            <w:tcBorders>
              <w:right w:val="single" w:sz="8" w:color="005CB9"/>
            </w:tcBorders>
            <w:shd w:val="clear" w:color="auto" w:fill="005CB9"/>
          </w:tcPr>
          <w:p>
            <w:pPr>
              <w:jc w:val="center"/>
              <w:ind w:left="29"/>
              <w:spacing w:after="0"/>
              <w:rPr>
                <w:sz w:val="20"/>
                <w:szCs w:val="20"/>
                <w:color w:val="auto"/>
              </w:rPr>
            </w:pPr>
            <w:r>
              <w:rPr>
                <w:rFonts w:ascii="Arial" w:cs="Arial" w:eastAsia="Arial" w:hAnsi="Arial"/>
                <w:sz w:val="14"/>
                <w:szCs w:val="14"/>
                <w:b w:val="1"/>
                <w:bCs w:val="1"/>
                <w:color w:val="FFFFFF"/>
                <w:w w:val="95"/>
              </w:rPr>
              <w:t>Safety,</w:t>
            </w:r>
          </w:p>
        </w:tc>
        <w:tc>
          <w:tcPr>
            <w:tcW w:w="1660" w:type="dxa"/>
            <w:vAlign w:val="bottom"/>
            <w:shd w:val="clear" w:color="auto" w:fill="005CB9"/>
          </w:tcPr>
          <w:p>
            <w:pPr>
              <w:spacing w:after="0"/>
              <w:rPr>
                <w:sz w:val="18"/>
                <w:szCs w:val="18"/>
                <w:color w:val="auto"/>
              </w:rPr>
            </w:pPr>
          </w:p>
        </w:tc>
      </w:tr>
      <w:tr>
        <w:trPr>
          <w:trHeight w:val="160"/>
        </w:trPr>
        <w:tc>
          <w:tcPr>
            <w:tcW w:w="2260" w:type="dxa"/>
            <w:vAlign w:val="bottom"/>
            <w:tcBorders>
              <w:right w:val="single" w:sz="8" w:color="005CB9"/>
            </w:tcBorders>
            <w:shd w:val="clear" w:color="auto" w:fill="005CB9"/>
          </w:tcPr>
          <w:p>
            <w:pPr>
              <w:spacing w:after="0"/>
              <w:rPr>
                <w:sz w:val="13"/>
                <w:szCs w:val="13"/>
                <w:color w:val="auto"/>
              </w:rPr>
            </w:pPr>
          </w:p>
        </w:tc>
        <w:tc>
          <w:tcPr>
            <w:tcW w:w="980" w:type="dxa"/>
            <w:vAlign w:val="bottom"/>
            <w:shd w:val="clear" w:color="auto" w:fill="005CB9"/>
          </w:tcPr>
          <w:p>
            <w:pPr>
              <w:spacing w:after="0"/>
              <w:rPr>
                <w:sz w:val="13"/>
                <w:szCs w:val="13"/>
                <w:color w:val="auto"/>
              </w:rPr>
            </w:pPr>
          </w:p>
        </w:tc>
        <w:tc>
          <w:tcPr>
            <w:tcW w:w="1080" w:type="dxa"/>
            <w:vAlign w:val="bottom"/>
            <w:tcBorders>
              <w:right w:val="single" w:sz="8" w:color="005CB9"/>
            </w:tcBorders>
            <w:shd w:val="clear" w:color="auto" w:fill="005CB9"/>
          </w:tcPr>
          <w:p>
            <w:pPr>
              <w:spacing w:after="0"/>
              <w:rPr>
                <w:sz w:val="13"/>
                <w:szCs w:val="13"/>
                <w:color w:val="auto"/>
              </w:rPr>
            </w:pPr>
          </w:p>
        </w:tc>
        <w:tc>
          <w:tcPr>
            <w:tcW w:w="1920" w:type="dxa"/>
            <w:vAlign w:val="bottom"/>
            <w:gridSpan w:val="2"/>
            <w:shd w:val="clear" w:color="auto" w:fill="005CB9"/>
          </w:tcPr>
          <w:p>
            <w:pPr>
              <w:jc w:val="center"/>
              <w:ind w:right="180"/>
              <w:spacing w:after="0"/>
              <w:rPr>
                <w:sz w:val="20"/>
                <w:szCs w:val="20"/>
                <w:color w:val="auto"/>
              </w:rPr>
            </w:pPr>
            <w:r>
              <w:rPr>
                <w:rFonts w:ascii="Arial" w:cs="Arial" w:eastAsia="Arial" w:hAnsi="Arial"/>
                <w:sz w:val="14"/>
                <w:szCs w:val="14"/>
                <w:b w:val="1"/>
                <w:bCs w:val="1"/>
                <w:color w:val="FFFFFF"/>
                <w:w w:val="99"/>
              </w:rPr>
              <w:t>and Talent</w:t>
            </w:r>
          </w:p>
        </w:tc>
        <w:tc>
          <w:tcPr>
            <w:tcW w:w="1400" w:type="dxa"/>
            <w:vAlign w:val="bottom"/>
            <w:tcBorders>
              <w:right w:val="single" w:sz="8" w:color="005CB9"/>
            </w:tcBorders>
            <w:shd w:val="clear" w:color="auto" w:fill="005CB9"/>
          </w:tcPr>
          <w:p>
            <w:pPr>
              <w:jc w:val="center"/>
              <w:ind w:right="89"/>
              <w:spacing w:after="0"/>
              <w:rPr>
                <w:sz w:val="20"/>
                <w:szCs w:val="20"/>
                <w:color w:val="auto"/>
              </w:rPr>
            </w:pPr>
            <w:r>
              <w:rPr>
                <w:rFonts w:ascii="Arial" w:cs="Arial" w:eastAsia="Arial" w:hAnsi="Arial"/>
                <w:sz w:val="14"/>
                <w:szCs w:val="14"/>
                <w:b w:val="1"/>
                <w:bCs w:val="1"/>
                <w:color w:val="FFFFFF"/>
              </w:rPr>
              <w:t>Corporate</w:t>
            </w:r>
          </w:p>
        </w:tc>
        <w:tc>
          <w:tcPr>
            <w:tcW w:w="1620" w:type="dxa"/>
            <w:vAlign w:val="bottom"/>
            <w:tcBorders>
              <w:right w:val="single" w:sz="8" w:color="005CB9"/>
            </w:tcBorders>
            <w:shd w:val="clear" w:color="auto" w:fill="005CB9"/>
          </w:tcPr>
          <w:p>
            <w:pPr>
              <w:jc w:val="center"/>
              <w:ind w:left="29"/>
              <w:spacing w:after="0"/>
              <w:rPr>
                <w:sz w:val="20"/>
                <w:szCs w:val="20"/>
                <w:color w:val="auto"/>
              </w:rPr>
            </w:pPr>
            <w:r>
              <w:rPr>
                <w:rFonts w:ascii="Arial" w:cs="Arial" w:eastAsia="Arial" w:hAnsi="Arial"/>
                <w:sz w:val="14"/>
                <w:szCs w:val="14"/>
                <w:b w:val="1"/>
                <w:bCs w:val="1"/>
                <w:color w:val="FFFFFF"/>
              </w:rPr>
              <w:t>Sustainability</w:t>
            </w:r>
          </w:p>
        </w:tc>
        <w:tc>
          <w:tcPr>
            <w:tcW w:w="1660" w:type="dxa"/>
            <w:vAlign w:val="bottom"/>
            <w:shd w:val="clear" w:color="auto" w:fill="005CB9"/>
          </w:tcPr>
          <w:p>
            <w:pPr>
              <w:spacing w:after="0"/>
              <w:rPr>
                <w:sz w:val="13"/>
                <w:szCs w:val="13"/>
                <w:color w:val="auto"/>
              </w:rPr>
            </w:pPr>
          </w:p>
        </w:tc>
      </w:tr>
      <w:tr>
        <w:trPr>
          <w:trHeight w:val="230"/>
        </w:trPr>
        <w:tc>
          <w:tcPr>
            <w:tcW w:w="2260" w:type="dxa"/>
            <w:vAlign w:val="bottom"/>
            <w:tcBorders>
              <w:bottom w:val="single" w:sz="8" w:color="005CB9"/>
              <w:right w:val="single" w:sz="8" w:color="005CB9"/>
            </w:tcBorders>
            <w:shd w:val="clear" w:color="auto" w:fill="005CB9"/>
          </w:tcPr>
          <w:p>
            <w:pPr>
              <w:spacing w:after="0"/>
              <w:rPr>
                <w:sz w:val="20"/>
                <w:szCs w:val="20"/>
                <w:color w:val="auto"/>
              </w:rPr>
            </w:pPr>
          </w:p>
        </w:tc>
        <w:tc>
          <w:tcPr>
            <w:tcW w:w="2060" w:type="dxa"/>
            <w:vAlign w:val="bottom"/>
            <w:tcBorders>
              <w:bottom w:val="single" w:sz="8" w:color="005CB9"/>
              <w:right w:val="single" w:sz="8" w:color="005CB9"/>
            </w:tcBorders>
            <w:gridSpan w:val="2"/>
            <w:shd w:val="clear" w:color="auto" w:fill="005CB9"/>
          </w:tcPr>
          <w:p>
            <w:pPr>
              <w:jc w:val="center"/>
              <w:ind w:left="29"/>
              <w:spacing w:after="0"/>
              <w:rPr>
                <w:sz w:val="20"/>
                <w:szCs w:val="20"/>
                <w:color w:val="auto"/>
              </w:rPr>
            </w:pPr>
            <w:r>
              <w:rPr>
                <w:rFonts w:ascii="Arial" w:cs="Arial" w:eastAsia="Arial" w:hAnsi="Arial"/>
                <w:sz w:val="14"/>
                <w:szCs w:val="14"/>
                <w:b w:val="1"/>
                <w:bCs w:val="1"/>
                <w:color w:val="FFFFFF"/>
              </w:rPr>
              <w:t> Audit </w:t>
            </w:r>
          </w:p>
        </w:tc>
        <w:tc>
          <w:tcPr>
            <w:tcW w:w="1920" w:type="dxa"/>
            <w:vAlign w:val="bottom"/>
            <w:tcBorders>
              <w:bottom w:val="single" w:sz="8" w:color="005CB9"/>
            </w:tcBorders>
            <w:gridSpan w:val="2"/>
            <w:shd w:val="clear" w:color="auto" w:fill="005CB9"/>
          </w:tcPr>
          <w:p>
            <w:pPr>
              <w:jc w:val="center"/>
              <w:ind w:right="180"/>
              <w:spacing w:after="0"/>
              <w:rPr>
                <w:sz w:val="20"/>
                <w:szCs w:val="20"/>
                <w:color w:val="auto"/>
              </w:rPr>
            </w:pPr>
            <w:r>
              <w:rPr>
                <w:rFonts w:ascii="Arial" w:cs="Arial" w:eastAsia="Arial" w:hAnsi="Arial"/>
                <w:sz w:val="14"/>
                <w:szCs w:val="14"/>
                <w:b w:val="1"/>
                <w:bCs w:val="1"/>
                <w:color w:val="FFFFFF"/>
              </w:rPr>
              <w:t>Development</w:t>
            </w:r>
          </w:p>
        </w:tc>
        <w:tc>
          <w:tcPr>
            <w:tcW w:w="1400" w:type="dxa"/>
            <w:vAlign w:val="bottom"/>
            <w:tcBorders>
              <w:bottom w:val="single" w:sz="8" w:color="005CB9"/>
              <w:right w:val="single" w:sz="8" w:color="005CB9"/>
            </w:tcBorders>
            <w:shd w:val="clear" w:color="auto" w:fill="005CB9"/>
          </w:tcPr>
          <w:p>
            <w:pPr>
              <w:jc w:val="center"/>
              <w:ind w:right="89"/>
              <w:spacing w:after="0"/>
              <w:rPr>
                <w:sz w:val="20"/>
                <w:szCs w:val="20"/>
                <w:color w:val="auto"/>
              </w:rPr>
            </w:pPr>
            <w:r>
              <w:rPr>
                <w:rFonts w:ascii="Arial" w:cs="Arial" w:eastAsia="Arial" w:hAnsi="Arial"/>
                <w:sz w:val="14"/>
                <w:szCs w:val="14"/>
                <w:b w:val="1"/>
                <w:bCs w:val="1"/>
                <w:color w:val="FFFFFF"/>
              </w:rPr>
              <w:t xml:space="preserve"> Governance </w:t>
            </w:r>
          </w:p>
        </w:tc>
        <w:tc>
          <w:tcPr>
            <w:tcW w:w="1620" w:type="dxa"/>
            <w:vAlign w:val="bottom"/>
            <w:tcBorders>
              <w:bottom w:val="single" w:sz="8" w:color="005CB9"/>
              <w:right w:val="single" w:sz="8" w:color="005CB9"/>
            </w:tcBorders>
            <w:shd w:val="clear" w:color="auto" w:fill="005CB9"/>
          </w:tcPr>
          <w:p>
            <w:pPr>
              <w:jc w:val="center"/>
              <w:ind w:left="49"/>
              <w:spacing w:after="0"/>
              <w:rPr>
                <w:sz w:val="20"/>
                <w:szCs w:val="20"/>
                <w:color w:val="auto"/>
              </w:rPr>
            </w:pPr>
            <w:r>
              <w:rPr>
                <w:rFonts w:ascii="Arial" w:cs="Arial" w:eastAsia="Arial" w:hAnsi="Arial"/>
                <w:sz w:val="14"/>
                <w:szCs w:val="14"/>
                <w:b w:val="1"/>
                <w:bCs w:val="1"/>
                <w:color w:val="FFFFFF"/>
              </w:rPr>
              <w:t xml:space="preserve"> and Technology </w:t>
            </w:r>
          </w:p>
        </w:tc>
        <w:tc>
          <w:tcPr>
            <w:tcW w:w="1660" w:type="dxa"/>
            <w:vAlign w:val="bottom"/>
            <w:tcBorders>
              <w:bottom w:val="single" w:sz="8" w:color="005CB9"/>
            </w:tcBorders>
            <w:shd w:val="clear" w:color="auto" w:fill="005CB9"/>
          </w:tcPr>
          <w:p>
            <w:pPr>
              <w:jc w:val="right"/>
              <w:ind w:right="349"/>
              <w:spacing w:after="0"/>
              <w:rPr>
                <w:sz w:val="20"/>
                <w:szCs w:val="20"/>
                <w:color w:val="auto"/>
              </w:rPr>
            </w:pPr>
            <w:r>
              <w:rPr>
                <w:rFonts w:ascii="Arial" w:cs="Arial" w:eastAsia="Arial" w:hAnsi="Arial"/>
                <w:sz w:val="14"/>
                <w:szCs w:val="14"/>
                <w:b w:val="1"/>
                <w:bCs w:val="1"/>
                <w:color w:val="FFFFFF"/>
              </w:rPr>
              <w:t> Executive</w:t>
            </w:r>
          </w:p>
        </w:tc>
      </w:tr>
      <w:tr>
        <w:trPr>
          <w:trHeight w:val="247"/>
        </w:trPr>
        <w:tc>
          <w:tcPr>
            <w:tcW w:w="2260" w:type="dxa"/>
            <w:vAlign w:val="bottom"/>
            <w:tcBorders>
              <w:right w:val="single" w:sz="8" w:color="7F7F7F"/>
            </w:tcBorders>
          </w:tcPr>
          <w:p>
            <w:pPr>
              <w:ind w:left="80"/>
              <w:spacing w:after="0"/>
              <w:rPr>
                <w:sz w:val="20"/>
                <w:szCs w:val="20"/>
                <w:color w:val="auto"/>
              </w:rPr>
            </w:pPr>
            <w:r>
              <w:rPr>
                <w:rFonts w:ascii="Arial" w:cs="Arial" w:eastAsia="Arial" w:hAnsi="Arial"/>
                <w:sz w:val="14"/>
                <w:szCs w:val="14"/>
                <w:color w:val="auto"/>
              </w:rPr>
              <w:t>Andrés Conesa</w:t>
            </w:r>
          </w:p>
        </w:tc>
        <w:tc>
          <w:tcPr>
            <w:tcW w:w="980" w:type="dxa"/>
            <w:vAlign w:val="bottom"/>
          </w:tcPr>
          <w:p>
            <w:pPr>
              <w:spacing w:after="0"/>
              <w:rPr>
                <w:sz w:val="21"/>
                <w:szCs w:val="21"/>
                <w:color w:val="auto"/>
              </w:rPr>
            </w:pPr>
          </w:p>
        </w:tc>
        <w:tc>
          <w:tcPr>
            <w:tcW w:w="1080" w:type="dxa"/>
            <w:vAlign w:val="bottom"/>
            <w:tcBorders>
              <w:right w:val="single" w:sz="8" w:color="7F7F7F"/>
            </w:tcBorders>
          </w:tcPr>
          <w:p>
            <w:pPr>
              <w:spacing w:after="0"/>
              <w:rPr>
                <w:sz w:val="21"/>
                <w:szCs w:val="21"/>
                <w:color w:val="auto"/>
              </w:rPr>
            </w:pPr>
          </w:p>
        </w:tc>
        <w:tc>
          <w:tcPr>
            <w:tcW w:w="1660" w:type="dxa"/>
            <w:vAlign w:val="bottom"/>
            <w:tcBorders>
              <w:right w:val="single" w:sz="8" w:color="7F7F7F"/>
            </w:tcBorders>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Borders>
              <w:right w:val="single" w:sz="8" w:color="7F7F7F"/>
            </w:tcBorders>
          </w:tcPr>
          <w:p>
            <w:pPr>
              <w:spacing w:after="0"/>
              <w:rPr>
                <w:sz w:val="21"/>
                <w:szCs w:val="21"/>
                <w:color w:val="auto"/>
              </w:rPr>
            </w:pPr>
          </w:p>
        </w:tc>
        <w:tc>
          <w:tcPr>
            <w:tcW w:w="1620" w:type="dxa"/>
            <w:vAlign w:val="bottom"/>
            <w:tcBorders>
              <w:right w:val="single" w:sz="8" w:color="7F7F7F"/>
            </w:tcBorders>
          </w:tcPr>
          <w:p>
            <w:pPr>
              <w:spacing w:after="0"/>
              <w:rPr>
                <w:sz w:val="21"/>
                <w:szCs w:val="21"/>
                <w:color w:val="auto"/>
              </w:rPr>
            </w:pPr>
          </w:p>
        </w:tc>
        <w:tc>
          <w:tcPr>
            <w:tcW w:w="1660" w:type="dxa"/>
            <w:vAlign w:val="bottom"/>
          </w:tcPr>
          <w:p>
            <w:pPr>
              <w:spacing w:after="0"/>
              <w:rPr>
                <w:sz w:val="21"/>
                <w:szCs w:val="21"/>
                <w:color w:val="auto"/>
              </w:rPr>
            </w:pPr>
          </w:p>
        </w:tc>
      </w:tr>
      <w:tr>
        <w:trPr>
          <w:trHeight w:val="48"/>
        </w:trPr>
        <w:tc>
          <w:tcPr>
            <w:tcW w:w="22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08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right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1400" w:type="dxa"/>
            <w:vAlign w:val="bottom"/>
            <w:tcBorders>
              <w:bottom w:val="single" w:sz="8" w:color="7F7F7F"/>
              <w:right w:val="single" w:sz="8" w:color="7F7F7F"/>
            </w:tcBorders>
          </w:tcPr>
          <w:p>
            <w:pPr>
              <w:spacing w:after="0"/>
              <w:rPr>
                <w:sz w:val="4"/>
                <w:szCs w:val="4"/>
                <w:color w:val="auto"/>
              </w:rPr>
            </w:pPr>
          </w:p>
        </w:tc>
        <w:tc>
          <w:tcPr>
            <w:tcW w:w="162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r>
      <w:tr>
        <w:trPr>
          <w:trHeight w:val="279"/>
        </w:trPr>
        <w:tc>
          <w:tcPr>
            <w:tcW w:w="226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Pablo A. Ferrero</w:t>
            </w:r>
          </w:p>
        </w:tc>
        <w:tc>
          <w:tcPr>
            <w:tcW w:w="980" w:type="dxa"/>
            <w:vAlign w:val="bottom"/>
            <w:tcBorders>
              <w:bottom w:val="single" w:sz="8" w:color="F2F2F2"/>
            </w:tcBorders>
            <w:shd w:val="clear" w:color="auto" w:fill="F2F2F2"/>
          </w:tcPr>
          <w:p>
            <w:pPr>
              <w:spacing w:after="0"/>
              <w:rPr>
                <w:sz w:val="23"/>
                <w:szCs w:val="23"/>
                <w:color w:val="auto"/>
              </w:rPr>
            </w:pPr>
          </w:p>
        </w:tc>
        <w:tc>
          <w:tcPr>
            <w:tcW w:w="1080" w:type="dxa"/>
            <w:vAlign w:val="bottom"/>
            <w:tcBorders>
              <w:bottom w:val="single" w:sz="8" w:color="F2F2F2"/>
              <w:right w:val="single" w:sz="8" w:color="7F7F7F"/>
            </w:tcBorders>
            <w:shd w:val="clear" w:color="auto" w:fill="F2F2F2"/>
          </w:tcPr>
          <w:p>
            <w:pPr>
              <w:spacing w:after="0"/>
              <w:rPr>
                <w:sz w:val="23"/>
                <w:szCs w:val="23"/>
                <w:color w:val="auto"/>
              </w:rPr>
            </w:pPr>
          </w:p>
        </w:tc>
        <w:tc>
          <w:tcPr>
            <w:tcW w:w="1660" w:type="dxa"/>
            <w:vAlign w:val="bottom"/>
            <w:tcBorders>
              <w:bottom w:val="single" w:sz="8" w:color="F2F2F2"/>
              <w:right w:val="single" w:sz="8" w:color="7F7F7F"/>
            </w:tcBorders>
            <w:shd w:val="clear" w:color="auto" w:fill="F2F2F2"/>
          </w:tcPr>
          <w:p>
            <w:pPr>
              <w:spacing w:after="0"/>
              <w:rPr>
                <w:sz w:val="23"/>
                <w:szCs w:val="23"/>
                <w:color w:val="auto"/>
              </w:rPr>
            </w:pPr>
          </w:p>
        </w:tc>
        <w:tc>
          <w:tcPr>
            <w:tcW w:w="260" w:type="dxa"/>
            <w:vAlign w:val="bottom"/>
            <w:tcBorders>
              <w:bottom w:val="single" w:sz="8" w:color="F2F2F2"/>
            </w:tcBorders>
            <w:shd w:val="clear" w:color="auto" w:fill="F2F2F2"/>
          </w:tcPr>
          <w:p>
            <w:pPr>
              <w:spacing w:after="0"/>
              <w:rPr>
                <w:sz w:val="23"/>
                <w:szCs w:val="23"/>
                <w:color w:val="auto"/>
              </w:rPr>
            </w:pPr>
          </w:p>
        </w:tc>
        <w:tc>
          <w:tcPr>
            <w:tcW w:w="1400" w:type="dxa"/>
            <w:vAlign w:val="bottom"/>
            <w:tcBorders>
              <w:bottom w:val="single" w:sz="8" w:color="F2F2F2"/>
              <w:right w:val="single" w:sz="8" w:color="7F7F7F"/>
            </w:tcBorders>
            <w:shd w:val="clear" w:color="auto" w:fill="F2F2F2"/>
          </w:tcPr>
          <w:p>
            <w:pPr>
              <w:spacing w:after="0"/>
              <w:rPr>
                <w:sz w:val="23"/>
                <w:szCs w:val="23"/>
                <w:color w:val="auto"/>
              </w:rPr>
            </w:pPr>
          </w:p>
        </w:tc>
        <w:tc>
          <w:tcPr>
            <w:tcW w:w="1620" w:type="dxa"/>
            <w:vAlign w:val="bottom"/>
            <w:tcBorders>
              <w:bottom w:val="single" w:sz="8" w:color="F2F2F2"/>
              <w:right w:val="single" w:sz="8" w:color="7F7F7F"/>
            </w:tcBorders>
            <w:shd w:val="clear" w:color="auto" w:fill="F2F2F2"/>
          </w:tcPr>
          <w:p>
            <w:pPr>
              <w:spacing w:after="0"/>
              <w:rPr>
                <w:sz w:val="23"/>
                <w:szCs w:val="23"/>
                <w:color w:val="auto"/>
              </w:rPr>
            </w:pPr>
          </w:p>
        </w:tc>
        <w:tc>
          <w:tcPr>
            <w:tcW w:w="1660" w:type="dxa"/>
            <w:vAlign w:val="bottom"/>
            <w:tcBorders>
              <w:bottom w:val="single" w:sz="8" w:color="F2F2F2"/>
            </w:tcBorders>
            <w:shd w:val="clear" w:color="auto" w:fill="F2F2F2"/>
          </w:tcPr>
          <w:p>
            <w:pPr>
              <w:spacing w:after="0"/>
              <w:rPr>
                <w:sz w:val="23"/>
                <w:szCs w:val="23"/>
                <w:color w:val="auto"/>
              </w:rPr>
            </w:pPr>
          </w:p>
        </w:tc>
      </w:tr>
      <w:tr>
        <w:trPr>
          <w:trHeight w:val="227"/>
        </w:trPr>
        <w:tc>
          <w:tcPr>
            <w:tcW w:w="226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Jennifer M. Kirk</w:t>
            </w:r>
          </w:p>
        </w:tc>
        <w:tc>
          <w:tcPr>
            <w:tcW w:w="980" w:type="dxa"/>
            <w:vAlign w:val="bottom"/>
            <w:tcBorders>
              <w:top w:val="single" w:sz="8" w:color="7F7F7F"/>
            </w:tcBorders>
          </w:tcPr>
          <w:p>
            <w:pPr>
              <w:jc w:val="right"/>
              <w:ind w:right="9"/>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Borders>
              <w:top w:val="single" w:sz="8" w:color="7F7F7F"/>
              <w:right w:val="single" w:sz="8" w:color="7F7F7F"/>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   </w:t>
            </w:r>
          </w:p>
        </w:tc>
        <w:tc>
          <w:tcPr>
            <w:tcW w:w="1660" w:type="dxa"/>
            <w:vAlign w:val="bottom"/>
            <w:tcBorders>
              <w:top w:val="single" w:sz="8" w:color="7F7F7F"/>
              <w:right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1400" w:type="dxa"/>
            <w:vAlign w:val="bottom"/>
            <w:tcBorders>
              <w:top w:val="single" w:sz="8" w:color="7F7F7F"/>
              <w:right w:val="single" w:sz="8" w:color="7F7F7F"/>
            </w:tcBorders>
          </w:tcPr>
          <w:p>
            <w:pPr>
              <w:spacing w:after="0"/>
              <w:rPr>
                <w:sz w:val="19"/>
                <w:szCs w:val="19"/>
                <w:color w:val="auto"/>
              </w:rPr>
            </w:pPr>
          </w:p>
        </w:tc>
        <w:tc>
          <w:tcPr>
            <w:tcW w:w="1620" w:type="dxa"/>
            <w:vAlign w:val="bottom"/>
            <w:tcBorders>
              <w:top w:val="single" w:sz="8" w:color="7F7F7F"/>
              <w:right w:val="single" w:sz="8" w:color="7F7F7F"/>
            </w:tcBorders>
          </w:tcPr>
          <w:p>
            <w:pPr>
              <w:spacing w:after="0"/>
              <w:rPr>
                <w:sz w:val="19"/>
                <w:szCs w:val="19"/>
                <w:color w:val="auto"/>
              </w:rPr>
            </w:pPr>
          </w:p>
        </w:tc>
        <w:tc>
          <w:tcPr>
            <w:tcW w:w="1660" w:type="dxa"/>
            <w:vAlign w:val="bottom"/>
            <w:tcBorders>
              <w:top w:val="single" w:sz="8" w:color="7F7F7F"/>
            </w:tcBorders>
          </w:tcPr>
          <w:p>
            <w:pPr>
              <w:spacing w:after="0"/>
              <w:rPr>
                <w:sz w:val="19"/>
                <w:szCs w:val="19"/>
                <w:color w:val="auto"/>
              </w:rPr>
            </w:pPr>
          </w:p>
        </w:tc>
      </w:tr>
      <w:tr>
        <w:trPr>
          <w:trHeight w:val="48"/>
        </w:trPr>
        <w:tc>
          <w:tcPr>
            <w:tcW w:w="22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08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right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1400" w:type="dxa"/>
            <w:vAlign w:val="bottom"/>
            <w:tcBorders>
              <w:bottom w:val="single" w:sz="8" w:color="7F7F7F"/>
              <w:right w:val="single" w:sz="8" w:color="7F7F7F"/>
            </w:tcBorders>
          </w:tcPr>
          <w:p>
            <w:pPr>
              <w:spacing w:after="0"/>
              <w:rPr>
                <w:sz w:val="4"/>
                <w:szCs w:val="4"/>
                <w:color w:val="auto"/>
              </w:rPr>
            </w:pPr>
          </w:p>
        </w:tc>
        <w:tc>
          <w:tcPr>
            <w:tcW w:w="162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r>
      <w:tr>
        <w:trPr>
          <w:trHeight w:val="279"/>
        </w:trPr>
        <w:tc>
          <w:tcPr>
            <w:tcW w:w="226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Richard J. Mark</w:t>
            </w:r>
          </w:p>
        </w:tc>
        <w:tc>
          <w:tcPr>
            <w:tcW w:w="980" w:type="dxa"/>
            <w:vAlign w:val="bottom"/>
            <w:tcBorders>
              <w:bottom w:val="single" w:sz="8" w:color="F2F2F2"/>
            </w:tcBorders>
            <w:shd w:val="clear" w:color="auto" w:fill="F2F2F2"/>
          </w:tcPr>
          <w:p>
            <w:pPr>
              <w:spacing w:after="0"/>
              <w:rPr>
                <w:sz w:val="23"/>
                <w:szCs w:val="23"/>
                <w:color w:val="auto"/>
              </w:rPr>
            </w:pPr>
          </w:p>
        </w:tc>
        <w:tc>
          <w:tcPr>
            <w:tcW w:w="1080" w:type="dxa"/>
            <w:vAlign w:val="bottom"/>
            <w:tcBorders>
              <w:bottom w:val="single" w:sz="8" w:color="F2F2F2"/>
              <w:right w:val="single" w:sz="8" w:color="7F7F7F"/>
            </w:tcBorders>
            <w:shd w:val="clear" w:color="auto" w:fill="F2F2F2"/>
          </w:tcPr>
          <w:p>
            <w:pPr>
              <w:spacing w:after="0"/>
              <w:rPr>
                <w:sz w:val="23"/>
                <w:szCs w:val="23"/>
                <w:color w:val="auto"/>
              </w:rPr>
            </w:pPr>
          </w:p>
        </w:tc>
        <w:tc>
          <w:tcPr>
            <w:tcW w:w="1660" w:type="dxa"/>
            <w:vAlign w:val="bottom"/>
            <w:tcBorders>
              <w:bottom w:val="single" w:sz="8" w:color="F2F2F2"/>
              <w:right w:val="single" w:sz="8" w:color="7F7F7F"/>
            </w:tcBorders>
            <w:shd w:val="clear" w:color="auto" w:fill="F2F2F2"/>
          </w:tcPr>
          <w:p>
            <w:pPr>
              <w:spacing w:after="0"/>
              <w:rPr>
                <w:sz w:val="23"/>
                <w:szCs w:val="23"/>
                <w:color w:val="auto"/>
              </w:rPr>
            </w:pPr>
          </w:p>
        </w:tc>
        <w:tc>
          <w:tcPr>
            <w:tcW w:w="260" w:type="dxa"/>
            <w:vAlign w:val="bottom"/>
            <w:tcBorders>
              <w:bottom w:val="single" w:sz="8" w:color="F2F2F2"/>
            </w:tcBorders>
            <w:shd w:val="clear" w:color="auto" w:fill="F2F2F2"/>
          </w:tcPr>
          <w:p>
            <w:pPr>
              <w:spacing w:after="0"/>
              <w:rPr>
                <w:sz w:val="23"/>
                <w:szCs w:val="23"/>
                <w:color w:val="auto"/>
              </w:rPr>
            </w:pPr>
          </w:p>
        </w:tc>
        <w:tc>
          <w:tcPr>
            <w:tcW w:w="1400" w:type="dxa"/>
            <w:vAlign w:val="bottom"/>
            <w:tcBorders>
              <w:bottom w:val="single" w:sz="8" w:color="F2F2F2"/>
              <w:right w:val="single" w:sz="8" w:color="7F7F7F"/>
            </w:tcBorders>
            <w:shd w:val="clear" w:color="auto" w:fill="F2F2F2"/>
          </w:tcPr>
          <w:p>
            <w:pPr>
              <w:spacing w:after="0"/>
              <w:rPr>
                <w:sz w:val="23"/>
                <w:szCs w:val="23"/>
                <w:color w:val="auto"/>
              </w:rPr>
            </w:pPr>
          </w:p>
        </w:tc>
        <w:tc>
          <w:tcPr>
            <w:tcW w:w="1620" w:type="dxa"/>
            <w:vAlign w:val="bottom"/>
            <w:tcBorders>
              <w:bottom w:val="single" w:sz="8" w:color="F2F2F2"/>
              <w:right w:val="single" w:sz="8" w:color="7F7F7F"/>
            </w:tcBorders>
            <w:shd w:val="clear" w:color="auto" w:fill="F2F2F2"/>
          </w:tcPr>
          <w:p>
            <w:pPr>
              <w:spacing w:after="0"/>
              <w:rPr>
                <w:sz w:val="23"/>
                <w:szCs w:val="23"/>
                <w:color w:val="auto"/>
              </w:rPr>
            </w:pPr>
          </w:p>
        </w:tc>
        <w:tc>
          <w:tcPr>
            <w:tcW w:w="1660" w:type="dxa"/>
            <w:vAlign w:val="bottom"/>
            <w:tcBorders>
              <w:bottom w:val="single" w:sz="8" w:color="F2F2F2"/>
            </w:tcBorders>
            <w:shd w:val="clear" w:color="auto" w:fill="F2F2F2"/>
          </w:tcPr>
          <w:p>
            <w:pPr>
              <w:spacing w:after="0"/>
              <w:rPr>
                <w:sz w:val="23"/>
                <w:szCs w:val="23"/>
                <w:color w:val="auto"/>
              </w:rPr>
            </w:pPr>
          </w:p>
        </w:tc>
      </w:tr>
      <w:tr>
        <w:trPr>
          <w:trHeight w:val="227"/>
        </w:trPr>
        <w:tc>
          <w:tcPr>
            <w:tcW w:w="226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Jeffrey W. Martin</w:t>
            </w:r>
          </w:p>
        </w:tc>
        <w:tc>
          <w:tcPr>
            <w:tcW w:w="980" w:type="dxa"/>
            <w:vAlign w:val="bottom"/>
            <w:tcBorders>
              <w:top w:val="single" w:sz="8" w:color="7F7F7F"/>
            </w:tcBorders>
          </w:tcPr>
          <w:p>
            <w:pPr>
              <w:spacing w:after="0"/>
              <w:rPr>
                <w:sz w:val="19"/>
                <w:szCs w:val="19"/>
                <w:color w:val="auto"/>
              </w:rPr>
            </w:pPr>
          </w:p>
        </w:tc>
        <w:tc>
          <w:tcPr>
            <w:tcW w:w="1080" w:type="dxa"/>
            <w:vAlign w:val="bottom"/>
            <w:tcBorders>
              <w:top w:val="single" w:sz="8" w:color="7F7F7F"/>
              <w:right w:val="single" w:sz="8" w:color="7F7F7F"/>
            </w:tcBorders>
          </w:tcPr>
          <w:p>
            <w:pPr>
              <w:spacing w:after="0"/>
              <w:rPr>
                <w:sz w:val="19"/>
                <w:szCs w:val="19"/>
                <w:color w:val="auto"/>
              </w:rPr>
            </w:pPr>
          </w:p>
        </w:tc>
        <w:tc>
          <w:tcPr>
            <w:tcW w:w="1660" w:type="dxa"/>
            <w:vAlign w:val="bottom"/>
            <w:tcBorders>
              <w:top w:val="single" w:sz="8" w:color="7F7F7F"/>
              <w:right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1400" w:type="dxa"/>
            <w:vAlign w:val="bottom"/>
            <w:tcBorders>
              <w:top w:val="single" w:sz="8" w:color="7F7F7F"/>
              <w:right w:val="single" w:sz="8" w:color="7F7F7F"/>
            </w:tcBorders>
          </w:tcPr>
          <w:p>
            <w:pPr>
              <w:spacing w:after="0"/>
              <w:rPr>
                <w:sz w:val="19"/>
                <w:szCs w:val="19"/>
                <w:color w:val="auto"/>
              </w:rPr>
            </w:pPr>
          </w:p>
        </w:tc>
        <w:tc>
          <w:tcPr>
            <w:tcW w:w="1620" w:type="dxa"/>
            <w:vAlign w:val="bottom"/>
            <w:tcBorders>
              <w:top w:val="single" w:sz="8" w:color="7F7F7F"/>
              <w:right w:val="single" w:sz="8" w:color="7F7F7F"/>
            </w:tcBorders>
          </w:tcPr>
          <w:p>
            <w:pPr>
              <w:spacing w:after="0"/>
              <w:rPr>
                <w:sz w:val="19"/>
                <w:szCs w:val="19"/>
                <w:color w:val="auto"/>
              </w:rPr>
            </w:pPr>
          </w:p>
        </w:tc>
        <w:tc>
          <w:tcPr>
            <w:tcW w:w="1660" w:type="dxa"/>
            <w:vAlign w:val="bottom"/>
            <w:tcBorders>
              <w:top w:val="single" w:sz="8" w:color="7F7F7F"/>
            </w:tcBorders>
          </w:tcPr>
          <w:p>
            <w:pPr>
              <w:spacing w:after="0"/>
              <w:rPr>
                <w:sz w:val="19"/>
                <w:szCs w:val="19"/>
                <w:color w:val="auto"/>
              </w:rPr>
            </w:pPr>
          </w:p>
        </w:tc>
      </w:tr>
      <w:tr>
        <w:trPr>
          <w:trHeight w:val="48"/>
        </w:trPr>
        <w:tc>
          <w:tcPr>
            <w:tcW w:w="22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08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right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1400" w:type="dxa"/>
            <w:vAlign w:val="bottom"/>
            <w:tcBorders>
              <w:bottom w:val="single" w:sz="8" w:color="7F7F7F"/>
              <w:right w:val="single" w:sz="8" w:color="7F7F7F"/>
            </w:tcBorders>
          </w:tcPr>
          <w:p>
            <w:pPr>
              <w:spacing w:after="0"/>
              <w:rPr>
                <w:sz w:val="4"/>
                <w:szCs w:val="4"/>
                <w:color w:val="auto"/>
              </w:rPr>
            </w:pPr>
          </w:p>
        </w:tc>
        <w:tc>
          <w:tcPr>
            <w:tcW w:w="162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r>
      <w:tr>
        <w:trPr>
          <w:trHeight w:val="279"/>
        </w:trPr>
        <w:tc>
          <w:tcPr>
            <w:tcW w:w="226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Michael N. Mears</w:t>
            </w:r>
          </w:p>
        </w:tc>
        <w:tc>
          <w:tcPr>
            <w:tcW w:w="980" w:type="dxa"/>
            <w:vAlign w:val="bottom"/>
            <w:tcBorders>
              <w:bottom w:val="single" w:sz="8" w:color="F2F2F2"/>
            </w:tcBorders>
            <w:shd w:val="clear" w:color="auto" w:fill="F2F2F2"/>
          </w:tcPr>
          <w:p>
            <w:pPr>
              <w:spacing w:after="0"/>
              <w:rPr>
                <w:sz w:val="23"/>
                <w:szCs w:val="23"/>
                <w:color w:val="auto"/>
              </w:rPr>
            </w:pPr>
          </w:p>
        </w:tc>
        <w:tc>
          <w:tcPr>
            <w:tcW w:w="1080" w:type="dxa"/>
            <w:vAlign w:val="bottom"/>
            <w:tcBorders>
              <w:bottom w:val="single" w:sz="8" w:color="F2F2F2"/>
              <w:right w:val="single" w:sz="8" w:color="7F7F7F"/>
            </w:tcBorders>
            <w:shd w:val="clear" w:color="auto" w:fill="F2F2F2"/>
          </w:tcPr>
          <w:p>
            <w:pPr>
              <w:spacing w:after="0"/>
              <w:rPr>
                <w:sz w:val="23"/>
                <w:szCs w:val="23"/>
                <w:color w:val="auto"/>
              </w:rPr>
            </w:pPr>
          </w:p>
        </w:tc>
        <w:tc>
          <w:tcPr>
            <w:tcW w:w="1660" w:type="dxa"/>
            <w:vAlign w:val="bottom"/>
            <w:tcBorders>
              <w:bottom w:val="single" w:sz="8" w:color="F2F2F2"/>
              <w:right w:val="single" w:sz="8" w:color="7F7F7F"/>
            </w:tcBorders>
            <w:shd w:val="clear" w:color="auto" w:fill="F2F2F2"/>
          </w:tcPr>
          <w:p>
            <w:pPr>
              <w:spacing w:after="0"/>
              <w:rPr>
                <w:sz w:val="23"/>
                <w:szCs w:val="23"/>
                <w:color w:val="auto"/>
              </w:rPr>
            </w:pPr>
          </w:p>
        </w:tc>
        <w:tc>
          <w:tcPr>
            <w:tcW w:w="260" w:type="dxa"/>
            <w:vAlign w:val="bottom"/>
            <w:tcBorders>
              <w:bottom w:val="single" w:sz="8" w:color="F2F2F2"/>
            </w:tcBorders>
            <w:shd w:val="clear" w:color="auto" w:fill="F2F2F2"/>
          </w:tcPr>
          <w:p>
            <w:pPr>
              <w:spacing w:after="0"/>
              <w:rPr>
                <w:sz w:val="23"/>
                <w:szCs w:val="23"/>
                <w:color w:val="auto"/>
              </w:rPr>
            </w:pPr>
          </w:p>
        </w:tc>
        <w:tc>
          <w:tcPr>
            <w:tcW w:w="1400" w:type="dxa"/>
            <w:vAlign w:val="bottom"/>
            <w:tcBorders>
              <w:bottom w:val="single" w:sz="8" w:color="F2F2F2"/>
              <w:right w:val="single" w:sz="8" w:color="7F7F7F"/>
            </w:tcBorders>
            <w:shd w:val="clear" w:color="auto" w:fill="F2F2F2"/>
          </w:tcPr>
          <w:p>
            <w:pPr>
              <w:spacing w:after="0"/>
              <w:rPr>
                <w:sz w:val="23"/>
                <w:szCs w:val="23"/>
                <w:color w:val="auto"/>
              </w:rPr>
            </w:pPr>
          </w:p>
        </w:tc>
        <w:tc>
          <w:tcPr>
            <w:tcW w:w="1620" w:type="dxa"/>
            <w:vAlign w:val="bottom"/>
            <w:tcBorders>
              <w:bottom w:val="single" w:sz="8" w:color="F2F2F2"/>
              <w:right w:val="single" w:sz="8" w:color="7F7F7F"/>
            </w:tcBorders>
            <w:shd w:val="clear" w:color="auto" w:fill="F2F2F2"/>
          </w:tcPr>
          <w:p>
            <w:pPr>
              <w:spacing w:after="0"/>
              <w:rPr>
                <w:sz w:val="23"/>
                <w:szCs w:val="23"/>
                <w:color w:val="auto"/>
              </w:rPr>
            </w:pPr>
          </w:p>
        </w:tc>
        <w:tc>
          <w:tcPr>
            <w:tcW w:w="1660" w:type="dxa"/>
            <w:vAlign w:val="bottom"/>
            <w:tcBorders>
              <w:bottom w:val="single" w:sz="8" w:color="F2F2F2"/>
            </w:tcBorders>
            <w:shd w:val="clear" w:color="auto" w:fill="F2F2F2"/>
          </w:tcPr>
          <w:p>
            <w:pPr>
              <w:spacing w:after="0"/>
              <w:rPr>
                <w:sz w:val="23"/>
                <w:szCs w:val="23"/>
                <w:color w:val="auto"/>
              </w:rPr>
            </w:pPr>
          </w:p>
        </w:tc>
      </w:tr>
      <w:tr>
        <w:trPr>
          <w:trHeight w:val="227"/>
        </w:trPr>
        <w:tc>
          <w:tcPr>
            <w:tcW w:w="226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Kevin C. Sagara</w:t>
            </w:r>
          </w:p>
        </w:tc>
        <w:tc>
          <w:tcPr>
            <w:tcW w:w="980" w:type="dxa"/>
            <w:vAlign w:val="bottom"/>
            <w:tcBorders>
              <w:top w:val="single" w:sz="8" w:color="7F7F7F"/>
            </w:tcBorders>
          </w:tcPr>
          <w:p>
            <w:pPr>
              <w:spacing w:after="0"/>
              <w:rPr>
                <w:sz w:val="19"/>
                <w:szCs w:val="19"/>
                <w:color w:val="auto"/>
              </w:rPr>
            </w:pPr>
          </w:p>
        </w:tc>
        <w:tc>
          <w:tcPr>
            <w:tcW w:w="1080" w:type="dxa"/>
            <w:vAlign w:val="bottom"/>
            <w:tcBorders>
              <w:top w:val="single" w:sz="8" w:color="7F7F7F"/>
              <w:right w:val="single" w:sz="8" w:color="7F7F7F"/>
            </w:tcBorders>
          </w:tcPr>
          <w:p>
            <w:pPr>
              <w:spacing w:after="0"/>
              <w:rPr>
                <w:sz w:val="19"/>
                <w:szCs w:val="19"/>
                <w:color w:val="auto"/>
              </w:rPr>
            </w:pPr>
          </w:p>
        </w:tc>
        <w:tc>
          <w:tcPr>
            <w:tcW w:w="1660" w:type="dxa"/>
            <w:vAlign w:val="bottom"/>
            <w:tcBorders>
              <w:top w:val="single" w:sz="8" w:color="7F7F7F"/>
              <w:right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1400" w:type="dxa"/>
            <w:vAlign w:val="bottom"/>
            <w:tcBorders>
              <w:top w:val="single" w:sz="8" w:color="7F7F7F"/>
              <w:right w:val="single" w:sz="8" w:color="7F7F7F"/>
            </w:tcBorders>
          </w:tcPr>
          <w:p>
            <w:pPr>
              <w:spacing w:after="0"/>
              <w:rPr>
                <w:sz w:val="19"/>
                <w:szCs w:val="19"/>
                <w:color w:val="auto"/>
              </w:rPr>
            </w:pPr>
          </w:p>
        </w:tc>
        <w:tc>
          <w:tcPr>
            <w:tcW w:w="1620" w:type="dxa"/>
            <w:vAlign w:val="bottom"/>
            <w:tcBorders>
              <w:top w:val="single" w:sz="8" w:color="7F7F7F"/>
              <w:right w:val="single" w:sz="8" w:color="7F7F7F"/>
            </w:tcBorders>
          </w:tcPr>
          <w:p>
            <w:pPr>
              <w:spacing w:after="0"/>
              <w:rPr>
                <w:sz w:val="19"/>
                <w:szCs w:val="19"/>
                <w:color w:val="auto"/>
              </w:rPr>
            </w:pPr>
          </w:p>
        </w:tc>
        <w:tc>
          <w:tcPr>
            <w:tcW w:w="1660" w:type="dxa"/>
            <w:vAlign w:val="bottom"/>
            <w:tcBorders>
              <w:top w:val="single" w:sz="8" w:color="7F7F7F"/>
            </w:tcBorders>
          </w:tcPr>
          <w:p>
            <w:pPr>
              <w:spacing w:after="0"/>
              <w:rPr>
                <w:sz w:val="19"/>
                <w:szCs w:val="19"/>
                <w:color w:val="auto"/>
              </w:rPr>
            </w:pPr>
          </w:p>
        </w:tc>
      </w:tr>
      <w:tr>
        <w:trPr>
          <w:trHeight w:val="48"/>
        </w:trPr>
        <w:tc>
          <w:tcPr>
            <w:tcW w:w="22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08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right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1400" w:type="dxa"/>
            <w:vAlign w:val="bottom"/>
            <w:tcBorders>
              <w:bottom w:val="single" w:sz="8" w:color="7F7F7F"/>
              <w:right w:val="single" w:sz="8" w:color="7F7F7F"/>
            </w:tcBorders>
          </w:tcPr>
          <w:p>
            <w:pPr>
              <w:spacing w:after="0"/>
              <w:rPr>
                <w:sz w:val="4"/>
                <w:szCs w:val="4"/>
                <w:color w:val="auto"/>
              </w:rPr>
            </w:pPr>
          </w:p>
        </w:tc>
        <w:tc>
          <w:tcPr>
            <w:tcW w:w="162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r>
      <w:tr>
        <w:trPr>
          <w:trHeight w:val="279"/>
        </w:trPr>
        <w:tc>
          <w:tcPr>
            <w:tcW w:w="226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Jack T. Taylor</w:t>
            </w:r>
          </w:p>
        </w:tc>
        <w:tc>
          <w:tcPr>
            <w:tcW w:w="980" w:type="dxa"/>
            <w:vAlign w:val="bottom"/>
            <w:tcBorders>
              <w:bottom w:val="single" w:sz="8" w:color="F2F2F2"/>
            </w:tcBorders>
            <w:shd w:val="clear" w:color="auto" w:fill="F2F2F2"/>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Borders>
              <w:bottom w:val="single" w:sz="8" w:color="F2F2F2"/>
              <w:right w:val="single" w:sz="8" w:color="7F7F7F"/>
            </w:tcBorders>
            <w:shd w:val="clear" w:color="auto" w:fill="F2F2F2"/>
          </w:tcPr>
          <w:p>
            <w:pPr>
              <w:ind w:left="140"/>
              <w:spacing w:after="0"/>
              <w:rPr>
                <w:sz w:val="20"/>
                <w:szCs w:val="20"/>
                <w:color w:val="auto"/>
              </w:rPr>
            </w:pPr>
            <w:r>
              <w:rPr>
                <w:rFonts w:ascii="Times New Roman" w:cs="Times New Roman" w:eastAsia="Times New Roman" w:hAnsi="Times New Roman"/>
                <w:sz w:val="14"/>
                <w:szCs w:val="14"/>
                <w:color w:val="auto"/>
              </w:rPr>
              <w:t xml:space="preserve">   </w:t>
            </w:r>
          </w:p>
        </w:tc>
        <w:tc>
          <w:tcPr>
            <w:tcW w:w="1660" w:type="dxa"/>
            <w:vAlign w:val="bottom"/>
            <w:tcBorders>
              <w:bottom w:val="single" w:sz="8" w:color="F2F2F2"/>
              <w:right w:val="single" w:sz="8" w:color="7F7F7F"/>
            </w:tcBorders>
            <w:shd w:val="clear" w:color="auto" w:fill="F2F2F2"/>
          </w:tcPr>
          <w:p>
            <w:pPr>
              <w:spacing w:after="0"/>
              <w:rPr>
                <w:sz w:val="23"/>
                <w:szCs w:val="23"/>
                <w:color w:val="auto"/>
              </w:rPr>
            </w:pPr>
          </w:p>
        </w:tc>
        <w:tc>
          <w:tcPr>
            <w:tcW w:w="260" w:type="dxa"/>
            <w:vAlign w:val="bottom"/>
            <w:tcBorders>
              <w:bottom w:val="single" w:sz="8" w:color="F2F2F2"/>
            </w:tcBorders>
            <w:shd w:val="clear" w:color="auto" w:fill="F2F2F2"/>
          </w:tcPr>
          <w:p>
            <w:pPr>
              <w:spacing w:after="0"/>
              <w:rPr>
                <w:sz w:val="23"/>
                <w:szCs w:val="23"/>
                <w:color w:val="auto"/>
              </w:rPr>
            </w:pPr>
          </w:p>
        </w:tc>
        <w:tc>
          <w:tcPr>
            <w:tcW w:w="1400" w:type="dxa"/>
            <w:vAlign w:val="bottom"/>
            <w:tcBorders>
              <w:bottom w:val="single" w:sz="8" w:color="F2F2F2"/>
              <w:right w:val="single" w:sz="8" w:color="7F7F7F"/>
            </w:tcBorders>
            <w:shd w:val="clear" w:color="auto" w:fill="F2F2F2"/>
          </w:tcPr>
          <w:p>
            <w:pPr>
              <w:spacing w:after="0"/>
              <w:rPr>
                <w:sz w:val="23"/>
                <w:szCs w:val="23"/>
                <w:color w:val="auto"/>
              </w:rPr>
            </w:pPr>
          </w:p>
        </w:tc>
        <w:tc>
          <w:tcPr>
            <w:tcW w:w="1620" w:type="dxa"/>
            <w:vAlign w:val="bottom"/>
            <w:tcBorders>
              <w:bottom w:val="single" w:sz="8" w:color="F2F2F2"/>
              <w:right w:val="single" w:sz="8" w:color="7F7F7F"/>
            </w:tcBorders>
            <w:shd w:val="clear" w:color="auto" w:fill="F2F2F2"/>
          </w:tcPr>
          <w:p>
            <w:pPr>
              <w:spacing w:after="0"/>
              <w:rPr>
                <w:sz w:val="23"/>
                <w:szCs w:val="23"/>
                <w:color w:val="auto"/>
              </w:rPr>
            </w:pPr>
          </w:p>
        </w:tc>
        <w:tc>
          <w:tcPr>
            <w:tcW w:w="1660" w:type="dxa"/>
            <w:vAlign w:val="bottom"/>
            <w:tcBorders>
              <w:bottom w:val="single" w:sz="8" w:color="F2F2F2"/>
            </w:tcBorders>
            <w:shd w:val="clear" w:color="auto" w:fill="F2F2F2"/>
          </w:tcPr>
          <w:p>
            <w:pPr>
              <w:spacing w:after="0"/>
              <w:rPr>
                <w:sz w:val="23"/>
                <w:szCs w:val="23"/>
                <w:color w:val="auto"/>
              </w:rPr>
            </w:pPr>
          </w:p>
        </w:tc>
      </w:tr>
      <w:tr>
        <w:trPr>
          <w:trHeight w:val="227"/>
        </w:trPr>
        <w:tc>
          <w:tcPr>
            <w:tcW w:w="226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Cynthia J. Warner</w:t>
            </w:r>
          </w:p>
        </w:tc>
        <w:tc>
          <w:tcPr>
            <w:tcW w:w="980" w:type="dxa"/>
            <w:vAlign w:val="bottom"/>
            <w:tcBorders>
              <w:top w:val="single" w:sz="8" w:color="7F7F7F"/>
            </w:tcBorders>
          </w:tcPr>
          <w:p>
            <w:pPr>
              <w:spacing w:after="0"/>
              <w:rPr>
                <w:sz w:val="19"/>
                <w:szCs w:val="19"/>
                <w:color w:val="auto"/>
              </w:rPr>
            </w:pPr>
          </w:p>
        </w:tc>
        <w:tc>
          <w:tcPr>
            <w:tcW w:w="1080" w:type="dxa"/>
            <w:vAlign w:val="bottom"/>
            <w:tcBorders>
              <w:top w:val="single" w:sz="8" w:color="7F7F7F"/>
              <w:right w:val="single" w:sz="8" w:color="7F7F7F"/>
            </w:tcBorders>
          </w:tcPr>
          <w:p>
            <w:pPr>
              <w:spacing w:after="0"/>
              <w:rPr>
                <w:sz w:val="19"/>
                <w:szCs w:val="19"/>
                <w:color w:val="auto"/>
              </w:rPr>
            </w:pPr>
          </w:p>
        </w:tc>
        <w:tc>
          <w:tcPr>
            <w:tcW w:w="1660" w:type="dxa"/>
            <w:vAlign w:val="bottom"/>
            <w:tcBorders>
              <w:top w:val="single" w:sz="8" w:color="7F7F7F"/>
              <w:right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1400" w:type="dxa"/>
            <w:vAlign w:val="bottom"/>
            <w:tcBorders>
              <w:top w:val="single" w:sz="8" w:color="7F7F7F"/>
              <w:right w:val="single" w:sz="8" w:color="7F7F7F"/>
            </w:tcBorders>
          </w:tcPr>
          <w:p>
            <w:pPr>
              <w:spacing w:after="0"/>
              <w:rPr>
                <w:sz w:val="19"/>
                <w:szCs w:val="19"/>
                <w:color w:val="auto"/>
              </w:rPr>
            </w:pPr>
          </w:p>
        </w:tc>
        <w:tc>
          <w:tcPr>
            <w:tcW w:w="1620" w:type="dxa"/>
            <w:vAlign w:val="bottom"/>
            <w:tcBorders>
              <w:top w:val="single" w:sz="8" w:color="7F7F7F"/>
              <w:right w:val="single" w:sz="8" w:color="7F7F7F"/>
            </w:tcBorders>
          </w:tcPr>
          <w:p>
            <w:pPr>
              <w:spacing w:after="0"/>
              <w:rPr>
                <w:sz w:val="19"/>
                <w:szCs w:val="19"/>
                <w:color w:val="auto"/>
              </w:rPr>
            </w:pPr>
          </w:p>
        </w:tc>
        <w:tc>
          <w:tcPr>
            <w:tcW w:w="1660" w:type="dxa"/>
            <w:vAlign w:val="bottom"/>
            <w:tcBorders>
              <w:top w:val="single" w:sz="8" w:color="7F7F7F"/>
            </w:tcBorders>
          </w:tcPr>
          <w:p>
            <w:pPr>
              <w:spacing w:after="0"/>
              <w:rPr>
                <w:sz w:val="19"/>
                <w:szCs w:val="19"/>
                <w:color w:val="auto"/>
              </w:rPr>
            </w:pPr>
          </w:p>
        </w:tc>
      </w:tr>
      <w:tr>
        <w:trPr>
          <w:trHeight w:val="48"/>
        </w:trPr>
        <w:tc>
          <w:tcPr>
            <w:tcW w:w="22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08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right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1400" w:type="dxa"/>
            <w:vAlign w:val="bottom"/>
            <w:tcBorders>
              <w:bottom w:val="single" w:sz="8" w:color="7F7F7F"/>
              <w:right w:val="single" w:sz="8" w:color="7F7F7F"/>
            </w:tcBorders>
          </w:tcPr>
          <w:p>
            <w:pPr>
              <w:spacing w:after="0"/>
              <w:rPr>
                <w:sz w:val="4"/>
                <w:szCs w:val="4"/>
                <w:color w:val="auto"/>
              </w:rPr>
            </w:pPr>
          </w:p>
        </w:tc>
        <w:tc>
          <w:tcPr>
            <w:tcW w:w="162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r>
      <w:tr>
        <w:trPr>
          <w:trHeight w:val="279"/>
        </w:trPr>
        <w:tc>
          <w:tcPr>
            <w:tcW w:w="226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Anya Weaving</w:t>
            </w:r>
          </w:p>
        </w:tc>
        <w:tc>
          <w:tcPr>
            <w:tcW w:w="980" w:type="dxa"/>
            <w:vAlign w:val="bottom"/>
            <w:tcBorders>
              <w:bottom w:val="single" w:sz="8" w:color="F2F2F2"/>
            </w:tcBorders>
            <w:shd w:val="clear" w:color="auto" w:fill="F2F2F2"/>
          </w:tcPr>
          <w:p>
            <w:pPr>
              <w:jc w:val="right"/>
              <w:ind w:right="29"/>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Borders>
              <w:bottom w:val="single" w:sz="8" w:color="F2F2F2"/>
              <w:right w:val="single" w:sz="8" w:color="7F7F7F"/>
            </w:tcBorders>
            <w:shd w:val="clear" w:color="auto" w:fill="F2F2F2"/>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1660" w:type="dxa"/>
            <w:vAlign w:val="bottom"/>
            <w:tcBorders>
              <w:bottom w:val="single" w:sz="8" w:color="F2F2F2"/>
              <w:right w:val="single" w:sz="8" w:color="7F7F7F"/>
            </w:tcBorders>
            <w:shd w:val="clear" w:color="auto" w:fill="F2F2F2"/>
          </w:tcPr>
          <w:p>
            <w:pPr>
              <w:spacing w:after="0"/>
              <w:rPr>
                <w:sz w:val="23"/>
                <w:szCs w:val="23"/>
                <w:color w:val="auto"/>
              </w:rPr>
            </w:pPr>
          </w:p>
        </w:tc>
        <w:tc>
          <w:tcPr>
            <w:tcW w:w="260" w:type="dxa"/>
            <w:vAlign w:val="bottom"/>
            <w:tcBorders>
              <w:bottom w:val="single" w:sz="8" w:color="F2F2F2"/>
            </w:tcBorders>
            <w:shd w:val="clear" w:color="auto" w:fill="F2F2F2"/>
          </w:tcPr>
          <w:p>
            <w:pPr>
              <w:spacing w:after="0"/>
              <w:rPr>
                <w:sz w:val="23"/>
                <w:szCs w:val="23"/>
                <w:color w:val="auto"/>
              </w:rPr>
            </w:pPr>
          </w:p>
        </w:tc>
        <w:tc>
          <w:tcPr>
            <w:tcW w:w="1400" w:type="dxa"/>
            <w:vAlign w:val="bottom"/>
            <w:tcBorders>
              <w:bottom w:val="single" w:sz="8" w:color="F2F2F2"/>
              <w:right w:val="single" w:sz="8" w:color="7F7F7F"/>
            </w:tcBorders>
            <w:shd w:val="clear" w:color="auto" w:fill="F2F2F2"/>
          </w:tcPr>
          <w:p>
            <w:pPr>
              <w:spacing w:after="0"/>
              <w:rPr>
                <w:sz w:val="23"/>
                <w:szCs w:val="23"/>
                <w:color w:val="auto"/>
              </w:rPr>
            </w:pPr>
          </w:p>
        </w:tc>
        <w:tc>
          <w:tcPr>
            <w:tcW w:w="1620" w:type="dxa"/>
            <w:vAlign w:val="bottom"/>
            <w:tcBorders>
              <w:bottom w:val="single" w:sz="8" w:color="F2F2F2"/>
              <w:right w:val="single" w:sz="8" w:color="7F7F7F"/>
            </w:tcBorders>
            <w:shd w:val="clear" w:color="auto" w:fill="F2F2F2"/>
          </w:tcPr>
          <w:p>
            <w:pPr>
              <w:spacing w:after="0"/>
              <w:rPr>
                <w:sz w:val="23"/>
                <w:szCs w:val="23"/>
                <w:color w:val="auto"/>
              </w:rPr>
            </w:pPr>
          </w:p>
        </w:tc>
        <w:tc>
          <w:tcPr>
            <w:tcW w:w="1660" w:type="dxa"/>
            <w:vAlign w:val="bottom"/>
            <w:tcBorders>
              <w:bottom w:val="single" w:sz="8" w:color="F2F2F2"/>
            </w:tcBorders>
            <w:shd w:val="clear" w:color="auto" w:fill="F2F2F2"/>
          </w:tcPr>
          <w:p>
            <w:pPr>
              <w:spacing w:after="0"/>
              <w:rPr>
                <w:sz w:val="23"/>
                <w:szCs w:val="23"/>
                <w:color w:val="auto"/>
              </w:rPr>
            </w:pPr>
          </w:p>
        </w:tc>
      </w:tr>
      <w:tr>
        <w:trPr>
          <w:trHeight w:val="227"/>
        </w:trPr>
        <w:tc>
          <w:tcPr>
            <w:tcW w:w="226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James C. Yardley</w:t>
            </w:r>
          </w:p>
        </w:tc>
        <w:tc>
          <w:tcPr>
            <w:tcW w:w="980" w:type="dxa"/>
            <w:vAlign w:val="bottom"/>
            <w:tcBorders>
              <w:top w:val="single" w:sz="8" w:color="7F7F7F"/>
            </w:tcBorders>
          </w:tcPr>
          <w:p>
            <w:pPr>
              <w:spacing w:after="0"/>
              <w:rPr>
                <w:sz w:val="19"/>
                <w:szCs w:val="19"/>
                <w:color w:val="auto"/>
              </w:rPr>
            </w:pPr>
          </w:p>
        </w:tc>
        <w:tc>
          <w:tcPr>
            <w:tcW w:w="1080" w:type="dxa"/>
            <w:vAlign w:val="bottom"/>
            <w:tcBorders>
              <w:top w:val="single" w:sz="8" w:color="7F7F7F"/>
              <w:right w:val="single" w:sz="8" w:color="7F7F7F"/>
            </w:tcBorders>
          </w:tcPr>
          <w:p>
            <w:pPr>
              <w:spacing w:after="0"/>
              <w:rPr>
                <w:sz w:val="19"/>
                <w:szCs w:val="19"/>
                <w:color w:val="auto"/>
              </w:rPr>
            </w:pPr>
          </w:p>
        </w:tc>
        <w:tc>
          <w:tcPr>
            <w:tcW w:w="1660" w:type="dxa"/>
            <w:vAlign w:val="bottom"/>
            <w:tcBorders>
              <w:top w:val="single" w:sz="8" w:color="7F7F7F"/>
              <w:right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1400" w:type="dxa"/>
            <w:vAlign w:val="bottom"/>
            <w:tcBorders>
              <w:top w:val="single" w:sz="8" w:color="7F7F7F"/>
              <w:right w:val="single" w:sz="8" w:color="7F7F7F"/>
            </w:tcBorders>
          </w:tcPr>
          <w:p>
            <w:pPr>
              <w:spacing w:after="0"/>
              <w:rPr>
                <w:sz w:val="19"/>
                <w:szCs w:val="19"/>
                <w:color w:val="auto"/>
              </w:rPr>
            </w:pPr>
          </w:p>
        </w:tc>
        <w:tc>
          <w:tcPr>
            <w:tcW w:w="1620" w:type="dxa"/>
            <w:vAlign w:val="bottom"/>
            <w:tcBorders>
              <w:top w:val="single" w:sz="8" w:color="7F7F7F"/>
              <w:right w:val="single" w:sz="8" w:color="7F7F7F"/>
            </w:tcBorders>
          </w:tcPr>
          <w:p>
            <w:pPr>
              <w:spacing w:after="0"/>
              <w:rPr>
                <w:sz w:val="19"/>
                <w:szCs w:val="19"/>
                <w:color w:val="auto"/>
              </w:rPr>
            </w:pPr>
          </w:p>
        </w:tc>
        <w:tc>
          <w:tcPr>
            <w:tcW w:w="1660" w:type="dxa"/>
            <w:vAlign w:val="bottom"/>
            <w:tcBorders>
              <w:top w:val="single" w:sz="8" w:color="7F7F7F"/>
            </w:tcBorders>
          </w:tcPr>
          <w:p>
            <w:pPr>
              <w:spacing w:after="0"/>
              <w:rPr>
                <w:sz w:val="19"/>
                <w:szCs w:val="19"/>
                <w:color w:val="auto"/>
              </w:rPr>
            </w:pPr>
          </w:p>
        </w:tc>
      </w:tr>
      <w:tr>
        <w:trPr>
          <w:trHeight w:val="48"/>
        </w:trPr>
        <w:tc>
          <w:tcPr>
            <w:tcW w:w="2260" w:type="dxa"/>
            <w:vAlign w:val="bottom"/>
            <w:tcBorders>
              <w:bottom w:val="single" w:sz="8" w:color="7F7F7F"/>
              <w:right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108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right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1400" w:type="dxa"/>
            <w:vAlign w:val="bottom"/>
            <w:tcBorders>
              <w:bottom w:val="single" w:sz="8" w:color="7F7F7F"/>
              <w:right w:val="single" w:sz="8" w:color="7F7F7F"/>
            </w:tcBorders>
          </w:tcPr>
          <w:p>
            <w:pPr>
              <w:spacing w:after="0"/>
              <w:rPr>
                <w:sz w:val="4"/>
                <w:szCs w:val="4"/>
                <w:color w:val="auto"/>
              </w:rPr>
            </w:pPr>
          </w:p>
        </w:tc>
        <w:tc>
          <w:tcPr>
            <w:tcW w:w="1620" w:type="dxa"/>
            <w:vAlign w:val="bottom"/>
            <w:tcBorders>
              <w:bottom w:val="single" w:sz="8" w:color="7F7F7F"/>
              <w:right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r>
      <w:tr>
        <w:trPr>
          <w:trHeight w:val="279"/>
        </w:trPr>
        <w:tc>
          <w:tcPr>
            <w:tcW w:w="226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Number of meetings held in 2025</w:t>
            </w:r>
          </w:p>
        </w:tc>
        <w:tc>
          <w:tcPr>
            <w:tcW w:w="980" w:type="dxa"/>
            <w:vAlign w:val="bottom"/>
            <w:tcBorders>
              <w:bottom w:val="single" w:sz="8" w:color="F2F2F2"/>
            </w:tcBorders>
            <w:shd w:val="clear" w:color="auto" w:fill="F2F2F2"/>
          </w:tcPr>
          <w:p>
            <w:pPr>
              <w:spacing w:after="0"/>
              <w:rPr>
                <w:sz w:val="23"/>
                <w:szCs w:val="23"/>
                <w:color w:val="auto"/>
              </w:rPr>
            </w:pPr>
          </w:p>
        </w:tc>
        <w:tc>
          <w:tcPr>
            <w:tcW w:w="1080" w:type="dxa"/>
            <w:vAlign w:val="bottom"/>
            <w:tcBorders>
              <w:bottom w:val="single" w:sz="8" w:color="F2F2F2"/>
              <w:right w:val="single" w:sz="8" w:color="7F7F7F"/>
            </w:tcBorders>
            <w:shd w:val="clear" w:color="auto" w:fill="F2F2F2"/>
          </w:tcPr>
          <w:p>
            <w:pPr>
              <w:jc w:val="center"/>
              <w:ind w:right="769"/>
              <w:spacing w:after="0"/>
              <w:rPr>
                <w:sz w:val="20"/>
                <w:szCs w:val="20"/>
                <w:color w:val="auto"/>
              </w:rPr>
            </w:pPr>
            <w:r>
              <w:rPr>
                <w:rFonts w:ascii="Arial" w:cs="Arial" w:eastAsia="Arial" w:hAnsi="Arial"/>
                <w:sz w:val="14"/>
                <w:szCs w:val="14"/>
                <w:b w:val="1"/>
                <w:bCs w:val="1"/>
                <w:color w:val="001689"/>
              </w:rPr>
              <w:t>5</w:t>
            </w:r>
          </w:p>
        </w:tc>
        <w:tc>
          <w:tcPr>
            <w:tcW w:w="1660" w:type="dxa"/>
            <w:vAlign w:val="bottom"/>
            <w:tcBorders>
              <w:bottom w:val="single" w:sz="8" w:color="F2F2F2"/>
              <w:right w:val="single" w:sz="8" w:color="7F7F7F"/>
            </w:tcBorders>
            <w:shd w:val="clear" w:color="auto" w:fill="F2F2F2"/>
          </w:tcPr>
          <w:p>
            <w:pPr>
              <w:jc w:val="right"/>
              <w:ind w:right="649"/>
              <w:spacing w:after="0"/>
              <w:rPr>
                <w:sz w:val="20"/>
                <w:szCs w:val="20"/>
                <w:color w:val="auto"/>
              </w:rPr>
            </w:pPr>
            <w:r>
              <w:rPr>
                <w:rFonts w:ascii="Arial" w:cs="Arial" w:eastAsia="Arial" w:hAnsi="Arial"/>
                <w:sz w:val="14"/>
                <w:szCs w:val="14"/>
                <w:b w:val="1"/>
                <w:bCs w:val="1"/>
                <w:color w:val="001689"/>
              </w:rPr>
              <w:t>5</w:t>
            </w:r>
          </w:p>
        </w:tc>
        <w:tc>
          <w:tcPr>
            <w:tcW w:w="260" w:type="dxa"/>
            <w:vAlign w:val="bottom"/>
            <w:tcBorders>
              <w:bottom w:val="single" w:sz="8" w:color="F2F2F2"/>
            </w:tcBorders>
            <w:shd w:val="clear" w:color="auto" w:fill="F2F2F2"/>
          </w:tcPr>
          <w:p>
            <w:pPr>
              <w:spacing w:after="0"/>
              <w:rPr>
                <w:sz w:val="23"/>
                <w:szCs w:val="23"/>
                <w:color w:val="auto"/>
              </w:rPr>
            </w:pPr>
          </w:p>
        </w:tc>
        <w:tc>
          <w:tcPr>
            <w:tcW w:w="1400" w:type="dxa"/>
            <w:vAlign w:val="bottom"/>
            <w:tcBorders>
              <w:bottom w:val="single" w:sz="8" w:color="F2F2F2"/>
              <w:right w:val="single" w:sz="8" w:color="7F7F7F"/>
            </w:tcBorders>
            <w:shd w:val="clear" w:color="auto" w:fill="F2F2F2"/>
          </w:tcPr>
          <w:p>
            <w:pPr>
              <w:jc w:val="center"/>
              <w:ind w:right="49"/>
              <w:spacing w:after="0"/>
              <w:rPr>
                <w:sz w:val="20"/>
                <w:szCs w:val="20"/>
                <w:color w:val="auto"/>
              </w:rPr>
            </w:pPr>
            <w:r>
              <w:rPr>
                <w:rFonts w:ascii="Arial" w:cs="Arial" w:eastAsia="Arial" w:hAnsi="Arial"/>
                <w:sz w:val="14"/>
                <w:szCs w:val="14"/>
                <w:b w:val="1"/>
                <w:bCs w:val="1"/>
                <w:color w:val="001689"/>
              </w:rPr>
              <w:t>5</w:t>
            </w:r>
          </w:p>
        </w:tc>
        <w:tc>
          <w:tcPr>
            <w:tcW w:w="1620" w:type="dxa"/>
            <w:vAlign w:val="bottom"/>
            <w:tcBorders>
              <w:bottom w:val="single" w:sz="8" w:color="F2F2F2"/>
              <w:right w:val="single" w:sz="8" w:color="7F7F7F"/>
            </w:tcBorders>
            <w:shd w:val="clear" w:color="auto" w:fill="F2F2F2"/>
          </w:tcPr>
          <w:p>
            <w:pPr>
              <w:jc w:val="center"/>
              <w:ind w:left="69"/>
              <w:spacing w:after="0"/>
              <w:rPr>
                <w:sz w:val="20"/>
                <w:szCs w:val="20"/>
                <w:color w:val="auto"/>
              </w:rPr>
            </w:pPr>
            <w:r>
              <w:rPr>
                <w:rFonts w:ascii="Arial" w:cs="Arial" w:eastAsia="Arial" w:hAnsi="Arial"/>
                <w:sz w:val="14"/>
                <w:szCs w:val="14"/>
                <w:b w:val="1"/>
                <w:bCs w:val="1"/>
                <w:color w:val="001689"/>
              </w:rPr>
              <w:t>4</w:t>
            </w:r>
          </w:p>
        </w:tc>
        <w:tc>
          <w:tcPr>
            <w:tcW w:w="1660" w:type="dxa"/>
            <w:vAlign w:val="bottom"/>
            <w:tcBorders>
              <w:bottom w:val="single" w:sz="8" w:color="F2F2F2"/>
            </w:tcBorders>
            <w:shd w:val="clear" w:color="auto" w:fill="F2F2F2"/>
          </w:tcPr>
          <w:p>
            <w:pPr>
              <w:jc w:val="right"/>
              <w:ind w:right="629"/>
              <w:spacing w:after="0"/>
              <w:rPr>
                <w:sz w:val="20"/>
                <w:szCs w:val="20"/>
                <w:color w:val="auto"/>
              </w:rPr>
            </w:pPr>
            <w:r>
              <w:rPr>
                <w:rFonts w:ascii="Arial" w:cs="Arial" w:eastAsia="Arial" w:hAnsi="Arial"/>
                <w:sz w:val="14"/>
                <w:szCs w:val="14"/>
                <w:b w:val="1"/>
                <w:bCs w:val="1"/>
                <w:color w:val="001689"/>
              </w:rPr>
              <w:t>0</w:t>
            </w:r>
          </w:p>
        </w:tc>
      </w:tr>
      <w:tr>
        <w:trPr>
          <w:trHeight w:val="240"/>
        </w:trPr>
        <w:tc>
          <w:tcPr>
            <w:tcW w:w="2260" w:type="dxa"/>
            <w:vAlign w:val="bottom"/>
            <w:tcBorders>
              <w:top w:val="single" w:sz="8" w:color="7F7F7F"/>
            </w:tcBorders>
          </w:tcPr>
          <w:p>
            <w:pPr>
              <w:spacing w:after="0"/>
              <w:rPr>
                <w:sz w:val="20"/>
                <w:szCs w:val="20"/>
                <w:color w:val="auto"/>
              </w:rPr>
            </w:pPr>
          </w:p>
        </w:tc>
        <w:tc>
          <w:tcPr>
            <w:tcW w:w="2060" w:type="dxa"/>
            <w:vAlign w:val="bottom"/>
            <w:tcBorders>
              <w:top w:val="single" w:sz="8" w:color="7F7F7F"/>
            </w:tcBorders>
            <w:gridSpan w:val="2"/>
          </w:tcPr>
          <w:p>
            <w:pPr>
              <w:jc w:val="center"/>
              <w:ind w:left="9"/>
              <w:spacing w:after="0"/>
              <w:rPr>
                <w:sz w:val="20"/>
                <w:szCs w:val="20"/>
                <w:color w:val="auto"/>
              </w:rPr>
            </w:pPr>
            <w:r>
              <w:rPr>
                <w:rFonts w:ascii="Arial" w:cs="Arial" w:eastAsia="Arial" w:hAnsi="Arial"/>
                <w:sz w:val="14"/>
                <w:szCs w:val="14"/>
                <w:color w:val="auto"/>
              </w:rPr>
              <w:t xml:space="preserve">   Committee Member          </w:t>
            </w:r>
          </w:p>
        </w:tc>
        <w:tc>
          <w:tcPr>
            <w:tcW w:w="1920" w:type="dxa"/>
            <w:vAlign w:val="bottom"/>
            <w:tcBorders>
              <w:top w:val="single" w:sz="8" w:color="7F7F7F"/>
            </w:tcBorders>
            <w:gridSpan w:val="2"/>
          </w:tcPr>
          <w:p>
            <w:pPr>
              <w:ind w:left="140"/>
              <w:spacing w:after="0"/>
              <w:rPr>
                <w:sz w:val="20"/>
                <w:szCs w:val="20"/>
                <w:color w:val="auto"/>
              </w:rPr>
            </w:pPr>
            <w:r>
              <w:rPr>
                <w:rFonts w:ascii="Arial" w:cs="Arial" w:eastAsia="Arial" w:hAnsi="Arial"/>
                <w:sz w:val="14"/>
                <w:szCs w:val="14"/>
                <w:color w:val="auto"/>
              </w:rPr>
              <w:t xml:space="preserve">   Committee Chair          </w:t>
            </w:r>
          </w:p>
        </w:tc>
        <w:tc>
          <w:tcPr>
            <w:tcW w:w="3020" w:type="dxa"/>
            <w:vAlign w:val="bottom"/>
            <w:tcBorders>
              <w:top w:val="single" w:sz="8" w:color="7F7F7F"/>
            </w:tcBorders>
            <w:gridSpan w:val="2"/>
          </w:tcPr>
          <w:p>
            <w:pPr>
              <w:ind w:left="140"/>
              <w:spacing w:after="0"/>
              <w:rPr>
                <w:sz w:val="20"/>
                <w:szCs w:val="20"/>
                <w:color w:val="auto"/>
              </w:rPr>
            </w:pPr>
            <w:r>
              <w:rPr>
                <w:rFonts w:ascii="Arial" w:cs="Arial" w:eastAsia="Arial" w:hAnsi="Arial"/>
                <w:sz w:val="14"/>
                <w:szCs w:val="14"/>
                <w:color w:val="auto"/>
              </w:rPr>
              <w:t xml:space="preserve">   Audit Committee Financial Expert</w:t>
            </w:r>
          </w:p>
        </w:tc>
        <w:tc>
          <w:tcPr>
            <w:tcW w:w="1660" w:type="dxa"/>
            <w:vAlign w:val="bottom"/>
            <w:tcBorders>
              <w:top w:val="single" w:sz="8" w:color="7F7F7F"/>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-2313305</wp:posOffset>
            </wp:positionV>
            <wp:extent cx="4254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3384550</wp:posOffset>
            </wp:positionH>
            <wp:positionV relativeFrom="paragraph">
              <wp:posOffset>-2329815</wp:posOffset>
            </wp:positionV>
            <wp:extent cx="59690" cy="679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-2313305</wp:posOffset>
            </wp:positionV>
            <wp:extent cx="4254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-2151380</wp:posOffset>
            </wp:positionV>
            <wp:extent cx="76200" cy="679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5481955</wp:posOffset>
            </wp:positionH>
            <wp:positionV relativeFrom="paragraph">
              <wp:posOffset>-2151380</wp:posOffset>
            </wp:positionV>
            <wp:extent cx="59690" cy="679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6526530</wp:posOffset>
            </wp:positionH>
            <wp:positionV relativeFrom="paragraph">
              <wp:posOffset>-2151380</wp:posOffset>
            </wp:positionV>
            <wp:extent cx="76200" cy="67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-1956435</wp:posOffset>
            </wp:positionV>
            <wp:extent cx="50800" cy="508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-1981835</wp:posOffset>
            </wp:positionV>
            <wp:extent cx="76200" cy="762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200" cy="76200"/>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-1939290</wp:posOffset>
            </wp:positionV>
            <wp:extent cx="4254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-1778000</wp:posOffset>
            </wp:positionV>
            <wp:extent cx="76200" cy="679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-1778000</wp:posOffset>
            </wp:positionV>
            <wp:extent cx="76200" cy="679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6534785</wp:posOffset>
            </wp:positionH>
            <wp:positionV relativeFrom="paragraph">
              <wp:posOffset>-1582420</wp:posOffset>
            </wp:positionV>
            <wp:extent cx="59690" cy="679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-1404620</wp:posOffset>
            </wp:positionV>
            <wp:extent cx="76200" cy="679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-1404620</wp:posOffset>
            </wp:positionV>
            <wp:extent cx="59690" cy="679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6526530</wp:posOffset>
            </wp:positionH>
            <wp:positionV relativeFrom="paragraph">
              <wp:posOffset>-1404620</wp:posOffset>
            </wp:positionV>
            <wp:extent cx="76200" cy="679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-1191895</wp:posOffset>
            </wp:positionV>
            <wp:extent cx="4254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-1047750</wp:posOffset>
            </wp:positionV>
            <wp:extent cx="50800" cy="762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800" cy="76200"/>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-1047750</wp:posOffset>
            </wp:positionV>
            <wp:extent cx="76200" cy="762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200" cy="7620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-1030605</wp:posOffset>
            </wp:positionV>
            <wp:extent cx="76200" cy="679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6526530</wp:posOffset>
            </wp:positionH>
            <wp:positionV relativeFrom="paragraph">
              <wp:posOffset>-1030605</wp:posOffset>
            </wp:positionV>
            <wp:extent cx="76200" cy="679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-818515</wp:posOffset>
            </wp:positionV>
            <wp:extent cx="4254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-818515</wp:posOffset>
            </wp:positionV>
            <wp:extent cx="4254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6543675</wp:posOffset>
            </wp:positionH>
            <wp:positionV relativeFrom="paragraph">
              <wp:posOffset>-818515</wp:posOffset>
            </wp:positionV>
            <wp:extent cx="4254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-673735</wp:posOffset>
            </wp:positionV>
            <wp:extent cx="67945" cy="762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945" cy="76200"/>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-673735</wp:posOffset>
            </wp:positionV>
            <wp:extent cx="76200" cy="762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200" cy="7620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-657225</wp:posOffset>
            </wp:positionV>
            <wp:extent cx="76200" cy="679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200" cy="6794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-444500</wp:posOffset>
            </wp:positionV>
            <wp:extent cx="4254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5490210</wp:posOffset>
            </wp:positionH>
            <wp:positionV relativeFrom="paragraph">
              <wp:posOffset>-444500</wp:posOffset>
            </wp:positionV>
            <wp:extent cx="4254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1584325</wp:posOffset>
            </wp:positionH>
            <wp:positionV relativeFrom="paragraph">
              <wp:posOffset>-79375</wp:posOffset>
            </wp:positionV>
            <wp:extent cx="50800" cy="508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800" cy="5080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-104775</wp:posOffset>
            </wp:positionV>
            <wp:extent cx="59690" cy="762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76200"/>
                    </a:xfrm>
                    <a:prstGeom prst="rect">
                      <a:avLst/>
                    </a:prstGeom>
                    <a:noFill/>
                  </pic:spPr>
                </pic:pic>
              </a:graphicData>
            </a:graphic>
          </wp:anchor>
        </w:drawing>
        <w:drawing>
          <wp:anchor simplePos="0" relativeHeight="251657728" behindDoc="1" locked="0" layoutInCell="0" allowOverlap="1">
            <wp:simplePos x="0" y="0"/>
            <wp:positionH relativeFrom="column">
              <wp:posOffset>4072255</wp:posOffset>
            </wp:positionH>
            <wp:positionV relativeFrom="paragraph">
              <wp:posOffset>-104775</wp:posOffset>
            </wp:positionV>
            <wp:extent cx="76200" cy="762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200" cy="76200"/>
                    </a:xfrm>
                    <a:prstGeom prst="rect">
                      <a:avLst/>
                    </a:prstGeom>
                    <a:noFill/>
                  </pic:spPr>
                </pic:pic>
              </a:graphicData>
            </a:graphic>
          </wp:anchor>
        </w:drawing>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Audit Committee</w:t>
      </w:r>
    </w:p>
    <w:p>
      <w:pPr>
        <w:spacing w:after="0" w:line="129"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Our Audit Committee currently is, and at all times in 2025 was, composed entirely of independent directors under the independence standards for such a committee established by the NYSE and the SEC. It is directly responsible and has sole authority for the appointment, compensation, retention and oversight of our independent registered public accounting firm, which reports directly to the committee. The committee also prepares the report included in this proxy statement under “Audit Committee Report.” In addition, it assists the Board of Directors in fulfilling oversight responsibilities regarding, among other things:</w:t>
      </w:r>
    </w:p>
    <w:p>
      <w:pPr>
        <w:sectPr>
          <w:pgSz w:w="11900" w:h="16838" w:orient="portrait"/>
          <w:cols w:equalWidth="0" w:num="1">
            <w:col w:w="11080"/>
          </w:cols>
          <w:pgMar w:left="320" w:top="478" w:right="499" w:bottom="1440" w:gutter="0" w:footer="0" w:header="0"/>
        </w:sectPr>
      </w:pPr>
    </w:p>
    <w:p>
      <w:pPr>
        <w:spacing w:after="0" w:line="137" w:lineRule="exact"/>
        <w:rPr>
          <w:sz w:val="20"/>
          <w:szCs w:val="20"/>
          <w:color w:val="auto"/>
        </w:rPr>
      </w:pPr>
    </w:p>
    <w:p>
      <w:pPr>
        <w:ind w:left="480" w:hanging="179"/>
        <w:spacing w:after="0"/>
        <w:tabs>
          <w:tab w:leader="none" w:pos="480" w:val="left"/>
        </w:tabs>
        <w:numPr>
          <w:ilvl w:val="0"/>
          <w:numId w:val="34"/>
        </w:numPr>
        <w:rPr>
          <w:rFonts w:ascii="Times New Roman" w:cs="Times New Roman" w:eastAsia="Times New Roman" w:hAnsi="Times New Roman"/>
          <w:sz w:val="14"/>
          <w:szCs w:val="14"/>
          <w:color w:val="005CB9"/>
        </w:rPr>
      </w:pPr>
      <w:r>
        <w:rPr>
          <w:rFonts w:ascii="Arial" w:cs="Arial" w:eastAsia="Arial" w:hAnsi="Arial"/>
          <w:sz w:val="14"/>
          <w:szCs w:val="14"/>
          <w:color w:val="auto"/>
        </w:rPr>
        <w:t>The company’s internal controls over financial reporting</w:t>
      </w:r>
    </w:p>
    <w:p>
      <w:pPr>
        <w:spacing w:after="0" w:line="119" w:lineRule="exact"/>
        <w:rPr>
          <w:rFonts w:ascii="Times New Roman" w:cs="Times New Roman" w:eastAsia="Times New Roman" w:hAnsi="Times New Roman"/>
          <w:sz w:val="14"/>
          <w:szCs w:val="14"/>
          <w:color w:val="005CB9"/>
        </w:rPr>
      </w:pPr>
    </w:p>
    <w:p>
      <w:pPr>
        <w:ind w:left="480" w:hanging="179"/>
        <w:spacing w:after="0"/>
        <w:tabs>
          <w:tab w:leader="none" w:pos="480" w:val="left"/>
        </w:tabs>
        <w:numPr>
          <w:ilvl w:val="0"/>
          <w:numId w:val="34"/>
        </w:numPr>
        <w:rPr>
          <w:rFonts w:ascii="Times New Roman" w:cs="Times New Roman" w:eastAsia="Times New Roman" w:hAnsi="Times New Roman"/>
          <w:sz w:val="14"/>
          <w:szCs w:val="14"/>
          <w:color w:val="005CB9"/>
        </w:rPr>
      </w:pPr>
      <w:r>
        <w:rPr>
          <w:rFonts w:ascii="Arial" w:cs="Arial" w:eastAsia="Arial" w:hAnsi="Arial"/>
          <w:sz w:val="14"/>
          <w:szCs w:val="14"/>
          <w:color w:val="auto"/>
        </w:rPr>
        <w:t>The integrity of our financial statements</w:t>
      </w:r>
    </w:p>
    <w:p>
      <w:pPr>
        <w:spacing w:after="0" w:line="119" w:lineRule="exact"/>
        <w:rPr>
          <w:rFonts w:ascii="Times New Roman" w:cs="Times New Roman" w:eastAsia="Times New Roman" w:hAnsi="Times New Roman"/>
          <w:sz w:val="14"/>
          <w:szCs w:val="14"/>
          <w:color w:val="005CB9"/>
        </w:rPr>
      </w:pPr>
    </w:p>
    <w:p>
      <w:pPr>
        <w:ind w:left="480" w:hanging="179"/>
        <w:spacing w:after="0"/>
        <w:tabs>
          <w:tab w:leader="none" w:pos="480" w:val="left"/>
        </w:tabs>
        <w:numPr>
          <w:ilvl w:val="0"/>
          <w:numId w:val="34"/>
        </w:numPr>
        <w:rPr>
          <w:rFonts w:ascii="Times New Roman" w:cs="Times New Roman" w:eastAsia="Times New Roman" w:hAnsi="Times New Roman"/>
          <w:sz w:val="14"/>
          <w:szCs w:val="14"/>
          <w:color w:val="005CB9"/>
        </w:rPr>
      </w:pPr>
      <w:r>
        <w:rPr>
          <w:rFonts w:ascii="Arial" w:cs="Arial" w:eastAsia="Arial" w:hAnsi="Arial"/>
          <w:sz w:val="14"/>
          <w:szCs w:val="14"/>
          <w:color w:val="auto"/>
        </w:rPr>
        <w:t>Our compliance with legal and regulatory requirements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173" w:right="640" w:hanging="173"/>
        <w:spacing w:after="0" w:line="280" w:lineRule="auto"/>
        <w:tabs>
          <w:tab w:leader="none" w:pos="173" w:val="left"/>
        </w:tabs>
        <w:numPr>
          <w:ilvl w:val="0"/>
          <w:numId w:val="35"/>
        </w:numPr>
        <w:rPr>
          <w:rFonts w:ascii="Times New Roman" w:cs="Times New Roman" w:eastAsia="Times New Roman" w:hAnsi="Times New Roman"/>
          <w:sz w:val="14"/>
          <w:szCs w:val="14"/>
          <w:color w:val="005CB9"/>
        </w:rPr>
      </w:pPr>
      <w:r>
        <w:rPr>
          <w:rFonts w:ascii="Arial" w:cs="Arial" w:eastAsia="Arial" w:hAnsi="Arial"/>
          <w:sz w:val="14"/>
          <w:szCs w:val="14"/>
          <w:color w:val="auto"/>
        </w:rPr>
        <w:t>The independent registered public accounting firm’s qualifications and independence</w:t>
      </w:r>
    </w:p>
    <w:p>
      <w:pPr>
        <w:spacing w:after="0" w:line="64" w:lineRule="exact"/>
        <w:rPr>
          <w:rFonts w:ascii="Times New Roman" w:cs="Times New Roman" w:eastAsia="Times New Roman" w:hAnsi="Times New Roman"/>
          <w:sz w:val="14"/>
          <w:szCs w:val="14"/>
          <w:color w:val="005CB9"/>
        </w:rPr>
      </w:pPr>
    </w:p>
    <w:p>
      <w:pPr>
        <w:ind w:left="173" w:right="340" w:hanging="173"/>
        <w:spacing w:after="0" w:line="280" w:lineRule="auto"/>
        <w:tabs>
          <w:tab w:leader="none" w:pos="173" w:val="left"/>
        </w:tabs>
        <w:numPr>
          <w:ilvl w:val="0"/>
          <w:numId w:val="35"/>
        </w:numPr>
        <w:rPr>
          <w:rFonts w:ascii="Times New Roman" w:cs="Times New Roman" w:eastAsia="Times New Roman" w:hAnsi="Times New Roman"/>
          <w:sz w:val="14"/>
          <w:szCs w:val="14"/>
          <w:color w:val="005CB9"/>
        </w:rPr>
      </w:pPr>
      <w:r>
        <w:rPr>
          <w:rFonts w:ascii="Arial" w:cs="Arial" w:eastAsia="Arial" w:hAnsi="Arial"/>
          <w:sz w:val="14"/>
          <w:szCs w:val="14"/>
          <w:color w:val="auto"/>
        </w:rPr>
        <w:t>The performance of our internal audit function, which reports directly to the committee, and independent registered public accounting firm</w:t>
      </w:r>
    </w:p>
    <w:p>
      <w:pPr>
        <w:spacing w:after="0" w:line="200" w:lineRule="exact"/>
        <w:rPr>
          <w:sz w:val="20"/>
          <w:szCs w:val="20"/>
          <w:color w:val="auto"/>
        </w:rPr>
      </w:pPr>
    </w:p>
    <w:p>
      <w:pPr>
        <w:sectPr>
          <w:pgSz w:w="11900" w:h="16838" w:orient="portrait"/>
          <w:cols w:equalWidth="0" w:num="2">
            <w:col w:w="5147" w:space="720"/>
            <w:col w:w="5213"/>
          </w:cols>
          <w:pgMar w:left="320" w:top="478" w:right="499" w:bottom="1440" w:gutter="0" w:footer="0" w:header="0"/>
          <w:type w:val="continuous"/>
        </w:sectPr>
      </w:pPr>
    </w:p>
    <w:p>
      <w:pPr>
        <w:spacing w:after="0" w:line="12" w:lineRule="exact"/>
        <w:rPr>
          <w:sz w:val="20"/>
          <w:szCs w:val="20"/>
          <w:color w:val="auto"/>
        </w:rPr>
      </w:pPr>
    </w:p>
    <w:p>
      <w:pPr>
        <w:ind w:left="160" w:right="80"/>
        <w:spacing w:after="0" w:line="253" w:lineRule="auto"/>
        <w:rPr>
          <w:sz w:val="20"/>
          <w:szCs w:val="20"/>
          <w:color w:val="auto"/>
        </w:rPr>
      </w:pPr>
      <w:r>
        <w:rPr>
          <w:rFonts w:ascii="Arial" w:cs="Arial" w:eastAsia="Arial" w:hAnsi="Arial"/>
          <w:sz w:val="14"/>
          <w:szCs w:val="14"/>
          <w:color w:val="auto"/>
        </w:rPr>
        <w:t>The Audit Committee helps ensure the independence of our independent registered public accounting firm by, among other things, confirming the mandated rotation of the lead audit partner in accordance with SEC rules. The Audit Committee and its Chair are directly involved in the selection of the independent registered public accounting firm’s lead audit partner, including by meeting with the lead audit partner candidate and discussing among the committee members and with management. We most recently rotated our lead audit partner in 2024 and expect to do so again in or before 2029.</w:t>
      </w:r>
    </w:p>
    <w:p>
      <w:pPr>
        <w:spacing w:after="0" w:line="70" w:lineRule="exact"/>
        <w:rPr>
          <w:sz w:val="20"/>
          <w:szCs w:val="20"/>
          <w:color w:val="auto"/>
        </w:rPr>
      </w:pPr>
    </w:p>
    <w:p>
      <w:pPr>
        <w:ind w:left="160" w:right="240"/>
        <w:spacing w:after="0" w:line="281" w:lineRule="auto"/>
        <w:rPr>
          <w:sz w:val="20"/>
          <w:szCs w:val="20"/>
          <w:color w:val="auto"/>
        </w:rPr>
      </w:pPr>
      <w:r>
        <w:rPr>
          <w:rFonts w:ascii="Arial" w:cs="Arial" w:eastAsia="Arial" w:hAnsi="Arial"/>
          <w:sz w:val="14"/>
          <w:szCs w:val="14"/>
          <w:color w:val="auto"/>
        </w:rPr>
        <w:t>The board has determined that each member of the Audit Committee is financially literate. It also has determined that Mr. Taylor, who chairs the committee, and Mss. Kirk and Weaving, who are members of the committee, are audit committee financial experts as defined by the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199390</wp:posOffset>
            </wp:positionV>
            <wp:extent cx="739140" cy="144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17</w:t>
      </w:r>
    </w:p>
    <w:p>
      <w:pPr>
        <w:sectPr>
          <w:pgSz w:w="11900" w:h="16838" w:orient="portrait"/>
          <w:cols w:equalWidth="0" w:num="1">
            <w:col w:w="11080"/>
          </w:cols>
          <w:pgMar w:left="320" w:top="478" w:right="4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Corporate Governance</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Compensation and Talent Development Committee</w:t>
      </w:r>
    </w:p>
    <w:p>
      <w:pPr>
        <w:spacing w:after="0" w:line="129" w:lineRule="exact"/>
        <w:rPr>
          <w:sz w:val="20"/>
          <w:szCs w:val="20"/>
          <w:color w:val="auto"/>
        </w:rPr>
      </w:pPr>
    </w:p>
    <w:p>
      <w:pPr>
        <w:ind w:left="160" w:right="440"/>
        <w:spacing w:after="0" w:line="253" w:lineRule="auto"/>
        <w:rPr>
          <w:sz w:val="20"/>
          <w:szCs w:val="20"/>
          <w:color w:val="auto"/>
        </w:rPr>
      </w:pPr>
      <w:r>
        <w:rPr>
          <w:rFonts w:ascii="Arial" w:cs="Arial" w:eastAsia="Arial" w:hAnsi="Arial"/>
          <w:sz w:val="14"/>
          <w:szCs w:val="14"/>
          <w:color w:val="auto"/>
        </w:rPr>
        <w:t>Our Compensation and Talent Development Committee currently is, and at all times in 2025 was, composed entirely of independent directors under the independence standards for such a committee established by the NYSE and the SEC. It assists the board in discharging the board’s responsibilities relating to the evaluation and compensation of our executives, and it establishes our compensation principles and policies and designs and oversees our executive compensation program. The committee’s responsibilities include, among others:</w:t>
      </w:r>
    </w:p>
    <w:p>
      <w:pPr>
        <w:sectPr>
          <w:pgSz w:w="11900" w:h="16838" w:orient="portrait"/>
          <w:cols w:equalWidth="0" w:num="1">
            <w:col w:w="11060"/>
          </w:cols>
          <w:pgMar w:left="320" w:top="478" w:right="519" w:bottom="1440" w:gutter="0" w:footer="0" w:header="0"/>
        </w:sectPr>
      </w:pPr>
    </w:p>
    <w:p>
      <w:pPr>
        <w:spacing w:after="0" w:line="137" w:lineRule="exact"/>
        <w:rPr>
          <w:sz w:val="20"/>
          <w:szCs w:val="20"/>
          <w:color w:val="auto"/>
        </w:rPr>
      </w:pPr>
    </w:p>
    <w:p>
      <w:pPr>
        <w:ind w:left="620" w:right="220" w:hanging="239"/>
        <w:spacing w:after="0" w:line="280" w:lineRule="auto"/>
        <w:tabs>
          <w:tab w:leader="none" w:pos="620" w:val="left"/>
        </w:tabs>
        <w:numPr>
          <w:ilvl w:val="0"/>
          <w:numId w:val="36"/>
        </w:numPr>
        <w:rPr>
          <w:rFonts w:ascii="Times New Roman" w:cs="Times New Roman" w:eastAsia="Times New Roman" w:hAnsi="Times New Roman"/>
          <w:sz w:val="14"/>
          <w:szCs w:val="14"/>
          <w:color w:val="005CB9"/>
        </w:rPr>
      </w:pPr>
      <w:r>
        <w:rPr>
          <w:rFonts w:ascii="Arial" w:cs="Arial" w:eastAsia="Arial" w:hAnsi="Arial"/>
          <w:sz w:val="14"/>
          <w:szCs w:val="14"/>
          <w:color w:val="auto"/>
        </w:rPr>
        <w:t>Reviewing and approving corporate goals and objectives relevant to the Chief Executive Officer’s compensation</w:t>
      </w:r>
    </w:p>
    <w:p>
      <w:pPr>
        <w:spacing w:after="0" w:line="64" w:lineRule="exact"/>
        <w:rPr>
          <w:rFonts w:ascii="Times New Roman" w:cs="Times New Roman" w:eastAsia="Times New Roman" w:hAnsi="Times New Roman"/>
          <w:sz w:val="14"/>
          <w:szCs w:val="14"/>
          <w:color w:val="005CB9"/>
        </w:rPr>
      </w:pPr>
    </w:p>
    <w:p>
      <w:pPr>
        <w:ind w:left="620" w:hanging="239"/>
        <w:spacing w:after="0" w:line="250" w:lineRule="auto"/>
        <w:tabs>
          <w:tab w:leader="none" w:pos="620" w:val="left"/>
        </w:tabs>
        <w:numPr>
          <w:ilvl w:val="0"/>
          <w:numId w:val="36"/>
        </w:numPr>
        <w:rPr>
          <w:rFonts w:ascii="Times New Roman" w:cs="Times New Roman" w:eastAsia="Times New Roman" w:hAnsi="Times New Roman"/>
          <w:sz w:val="14"/>
          <w:szCs w:val="14"/>
          <w:color w:val="005CB9"/>
        </w:rPr>
      </w:pPr>
      <w:r>
        <w:rPr>
          <w:rFonts w:ascii="Arial" w:cs="Arial" w:eastAsia="Arial" w:hAnsi="Arial"/>
          <w:sz w:val="14"/>
          <w:szCs w:val="14"/>
          <w:color w:val="auto"/>
        </w:rPr>
        <w:t>Evaluating our Chief Executive Officer’s performance in light of those goals and objectives and determining and approving (and recommending for ratification by the board acting solely through the independent directors) his or her compensation level based on the committee’s performance evaluation</w:t>
      </w:r>
    </w:p>
    <w:p>
      <w:pPr>
        <w:spacing w:after="0" w:line="251" w:lineRule="exact"/>
        <w:rPr>
          <w:rFonts w:ascii="Times New Roman" w:cs="Times New Roman" w:eastAsia="Times New Roman" w:hAnsi="Times New Roman"/>
          <w:sz w:val="14"/>
          <w:szCs w:val="14"/>
          <w:color w:val="005CB9"/>
        </w:rPr>
      </w:pPr>
    </w:p>
    <w:p>
      <w:pPr>
        <w:ind w:left="620" w:right="320" w:hanging="239"/>
        <w:spacing w:after="0" w:line="280" w:lineRule="auto"/>
        <w:tabs>
          <w:tab w:leader="none" w:pos="620" w:val="left"/>
        </w:tabs>
        <w:numPr>
          <w:ilvl w:val="0"/>
          <w:numId w:val="36"/>
        </w:numPr>
        <w:rPr>
          <w:rFonts w:ascii="Times New Roman" w:cs="Times New Roman" w:eastAsia="Times New Roman" w:hAnsi="Times New Roman"/>
          <w:sz w:val="14"/>
          <w:szCs w:val="14"/>
          <w:color w:val="005CB9"/>
        </w:rPr>
      </w:pPr>
      <w:r>
        <w:rPr>
          <w:rFonts w:ascii="Arial" w:cs="Arial" w:eastAsia="Arial" w:hAnsi="Arial"/>
          <w:sz w:val="14"/>
          <w:szCs w:val="14"/>
          <w:color w:val="auto"/>
        </w:rPr>
        <w:t>Determining and approving (and periodically reviewing with the board) other executive officer compensation</w:t>
      </w:r>
    </w:p>
    <w:p>
      <w:pPr>
        <w:spacing w:after="0" w:line="64" w:lineRule="exact"/>
        <w:rPr>
          <w:rFonts w:ascii="Times New Roman" w:cs="Times New Roman" w:eastAsia="Times New Roman" w:hAnsi="Times New Roman"/>
          <w:sz w:val="14"/>
          <w:szCs w:val="14"/>
          <w:color w:val="005CB9"/>
        </w:rPr>
      </w:pPr>
    </w:p>
    <w:p>
      <w:pPr>
        <w:ind w:left="620" w:right="380" w:hanging="239"/>
        <w:spacing w:after="0" w:line="259" w:lineRule="auto"/>
        <w:tabs>
          <w:tab w:leader="none" w:pos="620" w:val="left"/>
        </w:tabs>
        <w:numPr>
          <w:ilvl w:val="0"/>
          <w:numId w:val="36"/>
        </w:numPr>
        <w:rPr>
          <w:rFonts w:ascii="Times New Roman" w:cs="Times New Roman" w:eastAsia="Times New Roman" w:hAnsi="Times New Roman"/>
          <w:sz w:val="14"/>
          <w:szCs w:val="14"/>
          <w:color w:val="005CB9"/>
        </w:rPr>
      </w:pPr>
      <w:r>
        <w:rPr>
          <w:rFonts w:ascii="Arial" w:cs="Arial" w:eastAsia="Arial" w:hAnsi="Arial"/>
          <w:sz w:val="14"/>
          <w:szCs w:val="14"/>
          <w:color w:val="auto"/>
        </w:rPr>
        <w:t>Making recommendations to the board with respect to incentive compensation plans and equity-based plans that are subject to board approval</w:t>
      </w:r>
    </w:p>
    <w:p>
      <w:pPr>
        <w:spacing w:after="0" w:line="79" w:lineRule="exact"/>
        <w:rPr>
          <w:rFonts w:ascii="Times New Roman" w:cs="Times New Roman" w:eastAsia="Times New Roman" w:hAnsi="Times New Roman"/>
          <w:sz w:val="14"/>
          <w:szCs w:val="14"/>
          <w:color w:val="005CB9"/>
        </w:rPr>
      </w:pPr>
    </w:p>
    <w:p>
      <w:pPr>
        <w:ind w:left="620" w:hanging="239"/>
        <w:spacing w:after="0"/>
        <w:tabs>
          <w:tab w:leader="none" w:pos="620" w:val="left"/>
        </w:tabs>
        <w:numPr>
          <w:ilvl w:val="0"/>
          <w:numId w:val="36"/>
        </w:numPr>
        <w:rPr>
          <w:rFonts w:ascii="Times New Roman" w:cs="Times New Roman" w:eastAsia="Times New Roman" w:hAnsi="Times New Roman"/>
          <w:sz w:val="14"/>
          <w:szCs w:val="14"/>
          <w:color w:val="005CB9"/>
        </w:rPr>
      </w:pPr>
      <w:r>
        <w:rPr>
          <w:rFonts w:ascii="Arial" w:cs="Arial" w:eastAsia="Arial" w:hAnsi="Arial"/>
          <w:sz w:val="14"/>
          <w:szCs w:val="14"/>
          <w:color w:val="auto"/>
        </w:rPr>
        <w:t>Evaluating and overseeing risk in our compensation programs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233" w:hanging="233"/>
        <w:spacing w:after="0"/>
        <w:tabs>
          <w:tab w:leader="none" w:pos="233" w:val="left"/>
        </w:tabs>
        <w:numPr>
          <w:ilvl w:val="0"/>
          <w:numId w:val="37"/>
        </w:numPr>
        <w:rPr>
          <w:rFonts w:ascii="Times New Roman" w:cs="Times New Roman" w:eastAsia="Times New Roman" w:hAnsi="Times New Roman"/>
          <w:sz w:val="14"/>
          <w:szCs w:val="14"/>
          <w:color w:val="005CB9"/>
        </w:rPr>
      </w:pPr>
      <w:r>
        <w:rPr>
          <w:rFonts w:ascii="Arial" w:cs="Arial" w:eastAsia="Arial" w:hAnsi="Arial"/>
          <w:sz w:val="14"/>
          <w:szCs w:val="14"/>
          <w:color w:val="auto"/>
        </w:rPr>
        <w:t>Overseeing benefit plans and programs</w:t>
      </w:r>
    </w:p>
    <w:p>
      <w:pPr>
        <w:spacing w:after="0" w:line="119" w:lineRule="exact"/>
        <w:rPr>
          <w:rFonts w:ascii="Times New Roman" w:cs="Times New Roman" w:eastAsia="Times New Roman" w:hAnsi="Times New Roman"/>
          <w:sz w:val="14"/>
          <w:szCs w:val="14"/>
          <w:color w:val="005CB9"/>
        </w:rPr>
      </w:pPr>
    </w:p>
    <w:p>
      <w:pPr>
        <w:jc w:val="both"/>
        <w:ind w:left="233" w:right="140" w:hanging="233"/>
        <w:spacing w:after="0" w:line="252" w:lineRule="auto"/>
        <w:tabs>
          <w:tab w:leader="none" w:pos="233" w:val="left"/>
        </w:tabs>
        <w:numPr>
          <w:ilvl w:val="0"/>
          <w:numId w:val="37"/>
        </w:numPr>
        <w:rPr>
          <w:rFonts w:ascii="Times New Roman" w:cs="Times New Roman" w:eastAsia="Times New Roman" w:hAnsi="Times New Roman"/>
          <w:sz w:val="14"/>
          <w:szCs w:val="14"/>
          <w:color w:val="005CB9"/>
        </w:rPr>
      </w:pPr>
      <w:r>
        <w:rPr>
          <w:rFonts w:ascii="Arial" w:cs="Arial" w:eastAsia="Arial" w:hAnsi="Arial"/>
          <w:sz w:val="14"/>
          <w:szCs w:val="14"/>
          <w:color w:val="auto"/>
        </w:rPr>
        <w:t>Reviewing and discussing with management the Compensation Discussion and Analysis required to be included in the company’s proxy statement and annual report on Form 10-K and determining whether to recommend to the board that such disclosure be so included</w:t>
      </w:r>
    </w:p>
    <w:p>
      <w:pPr>
        <w:spacing w:after="0" w:line="85" w:lineRule="exact"/>
        <w:rPr>
          <w:rFonts w:ascii="Times New Roman" w:cs="Times New Roman" w:eastAsia="Times New Roman" w:hAnsi="Times New Roman"/>
          <w:sz w:val="14"/>
          <w:szCs w:val="14"/>
          <w:color w:val="005CB9"/>
        </w:rPr>
      </w:pPr>
    </w:p>
    <w:p>
      <w:pPr>
        <w:ind w:left="233" w:right="140" w:hanging="233"/>
        <w:spacing w:after="0" w:line="280" w:lineRule="auto"/>
        <w:tabs>
          <w:tab w:leader="none" w:pos="233" w:val="left"/>
        </w:tabs>
        <w:numPr>
          <w:ilvl w:val="0"/>
          <w:numId w:val="37"/>
        </w:numPr>
        <w:rPr>
          <w:rFonts w:ascii="Times New Roman" w:cs="Times New Roman" w:eastAsia="Times New Roman" w:hAnsi="Times New Roman"/>
          <w:sz w:val="14"/>
          <w:szCs w:val="14"/>
          <w:color w:val="005CB9"/>
        </w:rPr>
      </w:pPr>
      <w:r>
        <w:rPr>
          <w:rFonts w:ascii="Arial" w:cs="Arial" w:eastAsia="Arial" w:hAnsi="Arial"/>
          <w:sz w:val="14"/>
          <w:szCs w:val="14"/>
          <w:color w:val="auto"/>
        </w:rPr>
        <w:t>Producing the report included in this proxy statement under “Compensation and Talent Development Committee Report”</w:t>
      </w:r>
    </w:p>
    <w:p>
      <w:pPr>
        <w:spacing w:after="0" w:line="64" w:lineRule="exact"/>
        <w:rPr>
          <w:rFonts w:ascii="Times New Roman" w:cs="Times New Roman" w:eastAsia="Times New Roman" w:hAnsi="Times New Roman"/>
          <w:sz w:val="14"/>
          <w:szCs w:val="14"/>
          <w:color w:val="005CB9"/>
        </w:rPr>
      </w:pPr>
    </w:p>
    <w:p>
      <w:pPr>
        <w:ind w:left="233" w:right="260" w:hanging="233"/>
        <w:spacing w:after="0" w:line="259" w:lineRule="auto"/>
        <w:tabs>
          <w:tab w:leader="none" w:pos="233" w:val="left"/>
        </w:tabs>
        <w:numPr>
          <w:ilvl w:val="0"/>
          <w:numId w:val="37"/>
        </w:numPr>
        <w:rPr>
          <w:rFonts w:ascii="Times New Roman" w:cs="Times New Roman" w:eastAsia="Times New Roman" w:hAnsi="Times New Roman"/>
          <w:sz w:val="14"/>
          <w:szCs w:val="14"/>
          <w:color w:val="005CB9"/>
        </w:rPr>
      </w:pPr>
      <w:r>
        <w:rPr>
          <w:rFonts w:ascii="Arial" w:cs="Arial" w:eastAsia="Arial" w:hAnsi="Arial"/>
          <w:sz w:val="14"/>
          <w:szCs w:val="14"/>
          <w:color w:val="auto"/>
        </w:rPr>
        <w:t>Reporting to the board annually on succession planning together with the Chairman of the Board and Lead Independent Director, including on principles for executive officer selection</w:t>
      </w:r>
    </w:p>
    <w:p>
      <w:pPr>
        <w:spacing w:after="0" w:line="79" w:lineRule="exact"/>
        <w:rPr>
          <w:rFonts w:ascii="Times New Roman" w:cs="Times New Roman" w:eastAsia="Times New Roman" w:hAnsi="Times New Roman"/>
          <w:sz w:val="14"/>
          <w:szCs w:val="14"/>
          <w:color w:val="005CB9"/>
        </w:rPr>
      </w:pPr>
    </w:p>
    <w:p>
      <w:pPr>
        <w:ind w:left="233" w:right="220" w:hanging="233"/>
        <w:spacing w:after="0" w:line="280" w:lineRule="auto"/>
        <w:tabs>
          <w:tab w:leader="none" w:pos="233" w:val="left"/>
        </w:tabs>
        <w:numPr>
          <w:ilvl w:val="0"/>
          <w:numId w:val="37"/>
        </w:numPr>
        <w:rPr>
          <w:rFonts w:ascii="Times New Roman" w:cs="Times New Roman" w:eastAsia="Times New Roman" w:hAnsi="Times New Roman"/>
          <w:sz w:val="14"/>
          <w:szCs w:val="14"/>
          <w:color w:val="005CB9"/>
        </w:rPr>
      </w:pPr>
      <w:r>
        <w:rPr>
          <w:rFonts w:ascii="Arial" w:cs="Arial" w:eastAsia="Arial" w:hAnsi="Arial"/>
          <w:sz w:val="14"/>
          <w:szCs w:val="14"/>
          <w:color w:val="auto"/>
        </w:rPr>
        <w:t>Reviewing reports on the company’s human capital management policies, initiatives and outcomes</w:t>
      </w:r>
    </w:p>
    <w:p>
      <w:pPr>
        <w:spacing w:after="0" w:line="306" w:lineRule="exact"/>
        <w:rPr>
          <w:sz w:val="20"/>
          <w:szCs w:val="20"/>
          <w:color w:val="auto"/>
        </w:rPr>
      </w:pPr>
    </w:p>
    <w:p>
      <w:pPr>
        <w:sectPr>
          <w:pgSz w:w="11900" w:h="16838" w:orient="portrait"/>
          <w:cols w:equalWidth="0" w:num="2">
            <w:col w:w="5360" w:space="587"/>
            <w:col w:w="5113"/>
          </w:cols>
          <w:pgMar w:left="320" w:top="478" w:right="519" w:bottom="1440" w:gutter="0" w:footer="0" w:header="0"/>
          <w:type w:val="continuous"/>
        </w:sectPr>
      </w:pPr>
    </w:p>
    <w:p>
      <w:pPr>
        <w:spacing w:after="0" w:line="15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Corporate Governance Committee</w:t>
      </w:r>
    </w:p>
    <w:p>
      <w:pPr>
        <w:spacing w:after="0" w:line="129" w:lineRule="exact"/>
        <w:rPr>
          <w:sz w:val="20"/>
          <w:szCs w:val="20"/>
          <w:color w:val="auto"/>
        </w:rPr>
      </w:pPr>
    </w:p>
    <w:p>
      <w:pPr>
        <w:ind w:left="160" w:right="60"/>
        <w:spacing w:after="0" w:line="281" w:lineRule="auto"/>
        <w:rPr>
          <w:sz w:val="20"/>
          <w:szCs w:val="20"/>
          <w:color w:val="auto"/>
        </w:rPr>
      </w:pPr>
      <w:r>
        <w:rPr>
          <w:rFonts w:ascii="Arial" w:cs="Arial" w:eastAsia="Arial" w:hAnsi="Arial"/>
          <w:sz w:val="14"/>
          <w:szCs w:val="14"/>
          <w:color w:val="auto"/>
        </w:rPr>
        <w:t>Our Corporate Governance Committee currently is, and at all times in 2025 was, composed entirely of independent directors under the independence standards established by the NYSE. The committee’s responsibilities include, among others:</w:t>
      </w:r>
    </w:p>
    <w:p>
      <w:pPr>
        <w:sectPr>
          <w:pgSz w:w="11900" w:h="16838" w:orient="portrait"/>
          <w:cols w:equalWidth="0" w:num="1">
            <w:col w:w="11060"/>
          </w:cols>
          <w:pgMar w:left="320" w:top="478" w:right="519" w:bottom="1440" w:gutter="0" w:footer="0" w:header="0"/>
          <w:type w:val="continuous"/>
        </w:sectPr>
      </w:pPr>
    </w:p>
    <w:p>
      <w:pPr>
        <w:spacing w:after="0" w:line="118" w:lineRule="exact"/>
        <w:rPr>
          <w:sz w:val="20"/>
          <w:szCs w:val="20"/>
          <w:color w:val="auto"/>
        </w:rPr>
      </w:pPr>
    </w:p>
    <w:p>
      <w:pPr>
        <w:ind w:left="620" w:hanging="239"/>
        <w:spacing w:after="0" w:line="280" w:lineRule="auto"/>
        <w:tabs>
          <w:tab w:leader="none" w:pos="620" w:val="left"/>
        </w:tabs>
        <w:numPr>
          <w:ilvl w:val="0"/>
          <w:numId w:val="38"/>
        </w:numPr>
        <w:rPr>
          <w:rFonts w:ascii="Times New Roman" w:cs="Times New Roman" w:eastAsia="Times New Roman" w:hAnsi="Times New Roman"/>
          <w:sz w:val="14"/>
          <w:szCs w:val="14"/>
          <w:color w:val="005CB9"/>
        </w:rPr>
      </w:pPr>
      <w:r>
        <w:rPr>
          <w:rFonts w:ascii="Arial" w:cs="Arial" w:eastAsia="Arial" w:hAnsi="Arial"/>
          <w:sz w:val="14"/>
          <w:szCs w:val="14"/>
          <w:color w:val="auto"/>
        </w:rPr>
        <w:t>Identifying individuals qualified to become directors consistent with criteria approved by the board</w:t>
      </w:r>
    </w:p>
    <w:p>
      <w:pPr>
        <w:spacing w:after="0" w:line="64" w:lineRule="exact"/>
        <w:rPr>
          <w:rFonts w:ascii="Times New Roman" w:cs="Times New Roman" w:eastAsia="Times New Roman" w:hAnsi="Times New Roman"/>
          <w:sz w:val="14"/>
          <w:szCs w:val="14"/>
          <w:color w:val="005CB9"/>
        </w:rPr>
      </w:pPr>
    </w:p>
    <w:p>
      <w:pPr>
        <w:ind w:left="620" w:right="140" w:hanging="239"/>
        <w:spacing w:after="0" w:line="280" w:lineRule="auto"/>
        <w:tabs>
          <w:tab w:leader="none" w:pos="620" w:val="left"/>
        </w:tabs>
        <w:numPr>
          <w:ilvl w:val="0"/>
          <w:numId w:val="38"/>
        </w:numPr>
        <w:rPr>
          <w:rFonts w:ascii="Times New Roman" w:cs="Times New Roman" w:eastAsia="Times New Roman" w:hAnsi="Times New Roman"/>
          <w:sz w:val="14"/>
          <w:szCs w:val="14"/>
          <w:color w:val="005CB9"/>
        </w:rPr>
      </w:pPr>
      <w:r>
        <w:rPr>
          <w:rFonts w:ascii="Arial" w:cs="Arial" w:eastAsia="Arial" w:hAnsi="Arial"/>
          <w:sz w:val="14"/>
          <w:szCs w:val="14"/>
          <w:color w:val="auto"/>
        </w:rPr>
        <w:t>Recommending to the board nominees to stand for election as directors and candidates to fill board vacancies</w:t>
      </w:r>
    </w:p>
    <w:p>
      <w:pPr>
        <w:spacing w:after="0" w:line="64" w:lineRule="exact"/>
        <w:rPr>
          <w:rFonts w:ascii="Times New Roman" w:cs="Times New Roman" w:eastAsia="Times New Roman" w:hAnsi="Times New Roman"/>
          <w:sz w:val="14"/>
          <w:szCs w:val="14"/>
          <w:color w:val="005CB9"/>
        </w:rPr>
      </w:pPr>
    </w:p>
    <w:p>
      <w:pPr>
        <w:ind w:left="620" w:hanging="239"/>
        <w:spacing w:after="0"/>
        <w:tabs>
          <w:tab w:leader="none" w:pos="620" w:val="left"/>
        </w:tabs>
        <w:numPr>
          <w:ilvl w:val="0"/>
          <w:numId w:val="38"/>
        </w:numPr>
        <w:rPr>
          <w:rFonts w:ascii="Times New Roman" w:cs="Times New Roman" w:eastAsia="Times New Roman" w:hAnsi="Times New Roman"/>
          <w:sz w:val="14"/>
          <w:szCs w:val="14"/>
          <w:color w:val="005CB9"/>
        </w:rPr>
      </w:pPr>
      <w:r>
        <w:rPr>
          <w:rFonts w:ascii="Arial" w:cs="Arial" w:eastAsia="Arial" w:hAnsi="Arial"/>
          <w:sz w:val="14"/>
          <w:szCs w:val="14"/>
          <w:color w:val="auto"/>
        </w:rPr>
        <w:t>Overseeing the evaluation of the board</w:t>
      </w:r>
    </w:p>
    <w:p>
      <w:pPr>
        <w:spacing w:after="0" w:line="119" w:lineRule="exact"/>
        <w:rPr>
          <w:rFonts w:ascii="Times New Roman" w:cs="Times New Roman" w:eastAsia="Times New Roman" w:hAnsi="Times New Roman"/>
          <w:sz w:val="14"/>
          <w:szCs w:val="14"/>
          <w:color w:val="005CB9"/>
        </w:rPr>
      </w:pPr>
    </w:p>
    <w:p>
      <w:pPr>
        <w:ind w:left="620" w:right="220" w:hanging="239"/>
        <w:spacing w:after="0" w:line="280" w:lineRule="auto"/>
        <w:tabs>
          <w:tab w:leader="none" w:pos="620" w:val="left"/>
        </w:tabs>
        <w:numPr>
          <w:ilvl w:val="0"/>
          <w:numId w:val="38"/>
        </w:numPr>
        <w:rPr>
          <w:rFonts w:ascii="Times New Roman" w:cs="Times New Roman" w:eastAsia="Times New Roman" w:hAnsi="Times New Roman"/>
          <w:sz w:val="14"/>
          <w:szCs w:val="14"/>
          <w:color w:val="005CB9"/>
        </w:rPr>
      </w:pPr>
      <w:r>
        <w:rPr>
          <w:rFonts w:ascii="Arial" w:cs="Arial" w:eastAsia="Arial" w:hAnsi="Arial"/>
          <w:sz w:val="14"/>
          <w:szCs w:val="14"/>
          <w:color w:val="auto"/>
        </w:rPr>
        <w:t>Recommending directors for appointment by the board as members of board committees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left="233" w:right="140" w:hanging="233"/>
        <w:spacing w:after="0" w:line="280" w:lineRule="auto"/>
        <w:tabs>
          <w:tab w:leader="none" w:pos="233" w:val="left"/>
        </w:tabs>
        <w:numPr>
          <w:ilvl w:val="0"/>
          <w:numId w:val="39"/>
        </w:numPr>
        <w:rPr>
          <w:rFonts w:ascii="Times New Roman" w:cs="Times New Roman" w:eastAsia="Times New Roman" w:hAnsi="Times New Roman"/>
          <w:sz w:val="14"/>
          <w:szCs w:val="14"/>
          <w:color w:val="005CB9"/>
        </w:rPr>
      </w:pPr>
      <w:r>
        <w:rPr>
          <w:rFonts w:ascii="Arial" w:cs="Arial" w:eastAsia="Arial" w:hAnsi="Arial"/>
          <w:sz w:val="14"/>
          <w:szCs w:val="14"/>
          <w:color w:val="auto"/>
        </w:rPr>
        <w:t>Overseeing corporate governance matters, including reviewing and making recommendations to the board regarding shareholder proposals</w:t>
      </w:r>
    </w:p>
    <w:p>
      <w:pPr>
        <w:spacing w:after="0" w:line="64" w:lineRule="exact"/>
        <w:rPr>
          <w:rFonts w:ascii="Times New Roman" w:cs="Times New Roman" w:eastAsia="Times New Roman" w:hAnsi="Times New Roman"/>
          <w:sz w:val="14"/>
          <w:szCs w:val="14"/>
          <w:color w:val="005CB9"/>
        </w:rPr>
      </w:pPr>
    </w:p>
    <w:p>
      <w:pPr>
        <w:ind w:left="233" w:hanging="233"/>
        <w:spacing w:after="0"/>
        <w:tabs>
          <w:tab w:leader="none" w:pos="233" w:val="left"/>
        </w:tabs>
        <w:numPr>
          <w:ilvl w:val="0"/>
          <w:numId w:val="39"/>
        </w:numPr>
        <w:rPr>
          <w:rFonts w:ascii="Times New Roman" w:cs="Times New Roman" w:eastAsia="Times New Roman" w:hAnsi="Times New Roman"/>
          <w:sz w:val="14"/>
          <w:szCs w:val="14"/>
          <w:color w:val="005CB9"/>
        </w:rPr>
      </w:pPr>
      <w:r>
        <w:rPr>
          <w:rFonts w:ascii="Arial" w:cs="Arial" w:eastAsia="Arial" w:hAnsi="Arial"/>
          <w:sz w:val="14"/>
          <w:szCs w:val="14"/>
          <w:color w:val="auto"/>
        </w:rPr>
        <w:t>Developing and recommending to the board corporate governance guidelines</w:t>
      </w:r>
    </w:p>
    <w:p>
      <w:pPr>
        <w:spacing w:after="0" w:line="119" w:lineRule="exact"/>
        <w:rPr>
          <w:rFonts w:ascii="Times New Roman" w:cs="Times New Roman" w:eastAsia="Times New Roman" w:hAnsi="Times New Roman"/>
          <w:sz w:val="14"/>
          <w:szCs w:val="14"/>
          <w:color w:val="005CB9"/>
        </w:rPr>
      </w:pPr>
    </w:p>
    <w:p>
      <w:pPr>
        <w:ind w:left="233" w:right="280" w:hanging="233"/>
        <w:spacing w:after="0" w:line="280" w:lineRule="auto"/>
        <w:tabs>
          <w:tab w:leader="none" w:pos="233" w:val="left"/>
        </w:tabs>
        <w:numPr>
          <w:ilvl w:val="0"/>
          <w:numId w:val="39"/>
        </w:numPr>
        <w:rPr>
          <w:rFonts w:ascii="Times New Roman" w:cs="Times New Roman" w:eastAsia="Times New Roman" w:hAnsi="Times New Roman"/>
          <w:sz w:val="14"/>
          <w:szCs w:val="14"/>
          <w:color w:val="005CB9"/>
        </w:rPr>
      </w:pPr>
      <w:r>
        <w:rPr>
          <w:rFonts w:ascii="Arial" w:cs="Arial" w:eastAsia="Arial" w:hAnsi="Arial"/>
          <w:sz w:val="14"/>
          <w:szCs w:val="14"/>
          <w:color w:val="auto"/>
        </w:rPr>
        <w:t>Reviewing public policy priorities on an annual basis, including charitable giving, political contributions and lobbying activities</w:t>
      </w:r>
    </w:p>
    <w:p>
      <w:pPr>
        <w:spacing w:after="0" w:line="641" w:lineRule="exact"/>
        <w:rPr>
          <w:sz w:val="20"/>
          <w:szCs w:val="20"/>
          <w:color w:val="auto"/>
        </w:rPr>
      </w:pPr>
    </w:p>
    <w:p>
      <w:pPr>
        <w:sectPr>
          <w:pgSz w:w="11900" w:h="16838" w:orient="portrait"/>
          <w:cols w:equalWidth="0" w:num="2">
            <w:col w:w="5280" w:space="667"/>
            <w:col w:w="5113"/>
          </w:cols>
          <w:pgMar w:left="320" w:top="478" w:right="519" w:bottom="1440" w:gutter="0" w:footer="0" w:header="0"/>
          <w:type w:val="continuous"/>
        </w:sectPr>
      </w:pPr>
    </w:p>
    <w:p>
      <w:pPr>
        <w:spacing w:after="0" w:line="12" w:lineRule="exact"/>
        <w:rPr>
          <w:sz w:val="20"/>
          <w:szCs w:val="20"/>
          <w:color w:val="auto"/>
        </w:rPr>
      </w:pPr>
    </w:p>
    <w:p>
      <w:pPr>
        <w:ind w:left="160" w:right="400"/>
        <w:spacing w:after="0" w:line="253" w:lineRule="auto"/>
        <w:rPr>
          <w:sz w:val="20"/>
          <w:szCs w:val="20"/>
          <w:color w:val="auto"/>
        </w:rPr>
      </w:pPr>
      <w:r>
        <w:rPr>
          <w:rFonts w:ascii="Arial" w:cs="Arial" w:eastAsia="Arial" w:hAnsi="Arial"/>
          <w:sz w:val="14"/>
          <w:szCs w:val="14"/>
          <w:color w:val="auto"/>
        </w:rPr>
        <w:t>The committee periodically reviews with the board the skills, experiences and characteristics most relevant to effective board service, considering the board’s current composition and the needs of the board as a whole in light of the company’s long-term business strategy. The committee aims to assemble a group of directors who collectively offer complementary expertise and a broad range of viewpoints, professional backgrounds and experiences as well as other attributes that support rigorous oversight and informed decision-making.</w:t>
      </w:r>
    </w:p>
    <w:p>
      <w:pPr>
        <w:spacing w:after="0" w:line="70" w:lineRule="exact"/>
        <w:rPr>
          <w:sz w:val="20"/>
          <w:szCs w:val="20"/>
          <w:color w:val="auto"/>
        </w:rPr>
      </w:pPr>
    </w:p>
    <w:p>
      <w:pPr>
        <w:ind w:left="160" w:right="180"/>
        <w:spacing w:after="0" w:line="260" w:lineRule="auto"/>
        <w:rPr>
          <w:sz w:val="20"/>
          <w:szCs w:val="20"/>
          <w:color w:val="auto"/>
        </w:rPr>
      </w:pPr>
      <w:r>
        <w:rPr>
          <w:rFonts w:ascii="Arial" w:cs="Arial" w:eastAsia="Arial" w:hAnsi="Arial"/>
          <w:sz w:val="14"/>
          <w:szCs w:val="14"/>
          <w:color w:val="auto"/>
        </w:rPr>
        <w:t>The committee reviews biographical data and other relevant information about potential board candidates, may request additional information from the candidates or other sources and may interview candidates and consult references and others who may assist in candidate evaluation. The committee evaluates all candidates in the same manner, whether identified by shareholders or through other sources.</w:t>
      </w:r>
    </w:p>
    <w:p>
      <w:pPr>
        <w:spacing w:after="0" w:line="65" w:lineRule="exact"/>
        <w:rPr>
          <w:sz w:val="20"/>
          <w:szCs w:val="20"/>
          <w:color w:val="auto"/>
        </w:rPr>
      </w:pPr>
    </w:p>
    <w:p>
      <w:pPr>
        <w:ind w:left="160"/>
        <w:spacing w:after="0" w:line="246" w:lineRule="auto"/>
        <w:rPr>
          <w:sz w:val="20"/>
          <w:szCs w:val="20"/>
          <w:color w:val="auto"/>
        </w:rPr>
      </w:pPr>
      <w:r>
        <w:rPr>
          <w:rFonts w:ascii="Arial" w:cs="Arial" w:eastAsia="Arial" w:hAnsi="Arial"/>
          <w:sz w:val="14"/>
          <w:szCs w:val="14"/>
          <w:color w:val="auto"/>
        </w:rPr>
        <w:t>In evaluating potential director candidates, the committee considers each candidate’s character, integrity, independence, judgment, knowledge, experience, skills, background and any other factors relevant to forming a well-rounded assessment of the candidate’s qualifications and his or her ability and dedication to meet the board’s expectations for directors as set forth in our Corporate Governance Guidelines. The committee’s deliberations reflect the board’s requirement that substantially all directors must be independent directors and that all director nominees must be financially literate or must become financially literate within a reasonable period of time after joining the board. The committee also considers the board’s views on the appropriate size and overall composition of the board, including the board’s belief that its membership should reflect diversity across a variety of factors, including experience, areas of expertise, and professional and personal backgrounds, and that director nominees should be drawn from a wide and inclusive pool of qualified candidates who can effectively contribute to the board’s collective oversight responsibilities.</w:t>
      </w:r>
    </w:p>
    <w:p>
      <w:pPr>
        <w:spacing w:after="0" w:line="75" w:lineRule="exact"/>
        <w:rPr>
          <w:sz w:val="20"/>
          <w:szCs w:val="20"/>
          <w:color w:val="auto"/>
        </w:rPr>
      </w:pPr>
    </w:p>
    <w:p>
      <w:pPr>
        <w:ind w:left="160" w:right="220"/>
        <w:spacing w:after="0" w:line="281" w:lineRule="auto"/>
        <w:rPr>
          <w:sz w:val="20"/>
          <w:szCs w:val="20"/>
          <w:color w:val="auto"/>
        </w:rPr>
      </w:pPr>
      <w:r>
        <w:rPr>
          <w:rFonts w:ascii="Arial" w:cs="Arial" w:eastAsia="Arial" w:hAnsi="Arial"/>
          <w:sz w:val="14"/>
          <w:szCs w:val="14"/>
          <w:color w:val="auto"/>
        </w:rPr>
        <w:t>The committee assesses the effectiveness of these director nomination policies and practices as part of its annual review of board composition and board, committee and individual director performance and in its recommendations to the board of nominees to stand for election as directors at the next annual shareholders meeting.</w:t>
      </w:r>
    </w:p>
    <w:p>
      <w:pPr>
        <w:spacing w:after="0" w:line="51" w:lineRule="exact"/>
        <w:rPr>
          <w:sz w:val="20"/>
          <w:szCs w:val="20"/>
          <w:color w:val="auto"/>
        </w:rPr>
      </w:pPr>
    </w:p>
    <w:p>
      <w:pPr>
        <w:jc w:val="both"/>
        <w:ind w:left="160" w:right="20"/>
        <w:spacing w:after="0" w:line="260" w:lineRule="auto"/>
        <w:rPr>
          <w:sz w:val="20"/>
          <w:szCs w:val="20"/>
          <w:color w:val="auto"/>
        </w:rPr>
      </w:pPr>
      <w:r>
        <w:rPr>
          <w:rFonts w:ascii="Arial" w:cs="Arial" w:eastAsia="Arial" w:hAnsi="Arial"/>
          <w:sz w:val="14"/>
          <w:szCs w:val="14"/>
          <w:color w:val="auto"/>
        </w:rPr>
        <w:t>The committee, in recommending nominees to stand for election as directors at the Annual Shareholders Meeting, and the board, in approving the director nominees named in this proxy statement, considered, among other things, the individual experience, background, qualifications, attributes and skills of each nominee (including his or her prior contributions to the board), with a view toward constituting a board that, as a whole, is well-qualified to oversee our businesses.</w:t>
      </w:r>
    </w:p>
    <w:p>
      <w:pPr>
        <w:spacing w:after="0" w:line="65" w:lineRule="exact"/>
        <w:rPr>
          <w:sz w:val="20"/>
          <w:szCs w:val="20"/>
          <w:color w:val="auto"/>
        </w:rPr>
      </w:pPr>
    </w:p>
    <w:p>
      <w:pPr>
        <w:ind w:left="160"/>
        <w:spacing w:after="0" w:line="253" w:lineRule="auto"/>
        <w:rPr>
          <w:sz w:val="20"/>
          <w:szCs w:val="20"/>
          <w:color w:val="auto"/>
        </w:rPr>
      </w:pPr>
      <w:r>
        <w:rPr>
          <w:rFonts w:ascii="Arial" w:cs="Arial" w:eastAsia="Arial" w:hAnsi="Arial"/>
          <w:sz w:val="14"/>
          <w:szCs w:val="14"/>
          <w:color w:val="auto"/>
        </w:rPr>
        <w:t>With respect to Dr. Conesa, the committee and the board also considered that he has been the Chief Executive Officer and a director of Grupo Aeroméxico S.A.B. de C.V. since 2005 and that Grupo Aeroméxico filed a voluntary petition under Chapter 11 of the U.S. federal bankruptcy laws in June 2020. The committee and the board concluded that this event does not reflect upon the integrity of Dr. Conesa or his ability and qualifications to serve on our board, but was a direct consequence of the unprecedented global COVID-19 pandemic that resulted in domestic and international travel restrictions and severely impacted the air travel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18               </w:t>
      </w:r>
      <w:r>
        <w:rPr>
          <w:sz w:val="1"/>
          <w:szCs w:val="1"/>
          <w:color w:val="auto"/>
        </w:rPr>
        <w:drawing>
          <wp:inline distT="0" distB="0" distL="0" distR="0">
            <wp:extent cx="739140" cy="15303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60"/>
          </w:cols>
          <w:pgMar w:left="320" w:top="478" w:right="5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920"/>
        <w:spacing w:after="0"/>
        <w:rPr>
          <w:sz w:val="20"/>
          <w:szCs w:val="20"/>
          <w:color w:val="auto"/>
        </w:rPr>
      </w:pPr>
      <w:r>
        <w:rPr>
          <w:rFonts w:ascii="Arial" w:cs="Arial" w:eastAsia="Arial" w:hAnsi="Arial"/>
          <w:sz w:val="10"/>
          <w:szCs w:val="10"/>
          <w:b w:val="1"/>
          <w:bCs w:val="1"/>
          <w:color w:val="7F7F7F"/>
        </w:rPr>
        <w:t>Corporate Governance</w:t>
      </w:r>
    </w:p>
    <w:p>
      <w:pPr>
        <w:spacing w:after="0" w:line="156" w:lineRule="exact"/>
        <w:rPr>
          <w:sz w:val="20"/>
          <w:szCs w:val="20"/>
          <w:color w:val="auto"/>
        </w:rPr>
      </w:pPr>
    </w:p>
    <w:p>
      <w:pPr>
        <w:ind w:left="160" w:right="100"/>
        <w:spacing w:after="0" w:line="244" w:lineRule="auto"/>
        <w:rPr>
          <w:sz w:val="20"/>
          <w:szCs w:val="20"/>
          <w:color w:val="auto"/>
        </w:rPr>
      </w:pPr>
      <w:r>
        <w:rPr>
          <w:rFonts w:ascii="Arial" w:cs="Arial" w:eastAsia="Arial" w:hAnsi="Arial"/>
          <w:sz w:val="14"/>
          <w:szCs w:val="14"/>
          <w:color w:val="auto"/>
        </w:rPr>
        <w:t>With respect to Mr. Sagara, the committee and the board also considered his former positions with Sempra and its family of companies, for which he served for several decades in various roles, including most recently as Executive Vice President and Group President until December 1, 2023, as well as the pension and deferred compensation benefits he earned as a result of this service. Since January 1, 2025, Sempra has (i) paid Mr. Sagara $2.0 million, including accrued investment returns, in nonqualified deferred compensation benefits under its deferred compensation plan, and (ii) issued to Mr. Sagara 28,659 shares of our common stock (after taking into account shares withheld to satisfy minimum tax withholding requirements) upon the vesting of certain performance-based restricted stock units whose performance periods ended during this period in accordance with their terms. As a named executive officer of Sempra at the time of his retirement, Mr. Sagara’s compensation and benefits while he served in that role, including deferred compensation benefits and equity awards, are described in Sempra’s proxy statement filed with the SEC on March 25, 2024, and Mr. Sagara’s share ownership is set forth under “Share Ownership” below. The committee and the board concluded that these payments and share issuances do not reflect upon the integrity of Mr. Sagara or his ability and qualifications to serve on our board.</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For additional information about the nominees and their qualifications, see “Proposal 1: Election of Directors.”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Safety, Sustainability and Technology Committee</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Our Safety, Sustainability and Technology Committee’s responsibilities include, among others, assisting the board with:</w:t>
      </w:r>
    </w:p>
    <w:p>
      <w:pPr>
        <w:sectPr>
          <w:pgSz w:w="11900" w:h="16838" w:orient="portrait"/>
          <w:cols w:equalWidth="0" w:num="1">
            <w:col w:w="11080"/>
          </w:cols>
          <w:pgMar w:left="320" w:top="478" w:right="499" w:bottom="1440" w:gutter="0" w:footer="0" w:header="0"/>
        </w:sectPr>
      </w:pPr>
    </w:p>
    <w:p>
      <w:pPr>
        <w:spacing w:after="0" w:line="173" w:lineRule="exact"/>
        <w:rPr>
          <w:sz w:val="20"/>
          <w:szCs w:val="20"/>
          <w:color w:val="auto"/>
        </w:rPr>
      </w:pPr>
    </w:p>
    <w:p>
      <w:pPr>
        <w:ind w:left="620" w:hanging="239"/>
        <w:spacing w:after="0" w:line="247" w:lineRule="auto"/>
        <w:tabs>
          <w:tab w:leader="none" w:pos="620" w:val="left"/>
        </w:tabs>
        <w:numPr>
          <w:ilvl w:val="0"/>
          <w:numId w:val="40"/>
        </w:numPr>
        <w:rPr>
          <w:rFonts w:ascii="Times New Roman" w:cs="Times New Roman" w:eastAsia="Times New Roman" w:hAnsi="Times New Roman"/>
          <w:sz w:val="14"/>
          <w:szCs w:val="14"/>
          <w:color w:val="005CB9"/>
        </w:rPr>
      </w:pPr>
      <w:r>
        <w:rPr>
          <w:rFonts w:ascii="Arial" w:cs="Arial" w:eastAsia="Arial" w:hAnsi="Arial"/>
          <w:sz w:val="14"/>
          <w:szCs w:val="14"/>
          <w:color w:val="auto"/>
        </w:rPr>
        <w:t>Overseeing the company’s risk management, oversight programs and performance related to safety, safety culture, health, security, cybersecurity, technology, climate change, environment, sustainability, human rights and related matters affecting the company and its stakeholders, including employees, customers and the communities in which the company operates (collectively, SST Matters)</w:t>
      </w:r>
    </w:p>
    <w:p>
      <w:pPr>
        <w:spacing w:after="0" w:line="88" w:lineRule="exact"/>
        <w:rPr>
          <w:rFonts w:ascii="Times New Roman" w:cs="Times New Roman" w:eastAsia="Times New Roman" w:hAnsi="Times New Roman"/>
          <w:sz w:val="14"/>
          <w:szCs w:val="14"/>
          <w:color w:val="005CB9"/>
        </w:rPr>
      </w:pPr>
    </w:p>
    <w:p>
      <w:pPr>
        <w:ind w:left="620" w:hanging="239"/>
        <w:spacing w:after="0"/>
        <w:tabs>
          <w:tab w:leader="none" w:pos="620" w:val="left"/>
        </w:tabs>
        <w:numPr>
          <w:ilvl w:val="0"/>
          <w:numId w:val="40"/>
        </w:numPr>
        <w:rPr>
          <w:rFonts w:ascii="Times New Roman" w:cs="Times New Roman" w:eastAsia="Times New Roman" w:hAnsi="Times New Roman"/>
          <w:sz w:val="14"/>
          <w:szCs w:val="14"/>
          <w:color w:val="005CB9"/>
        </w:rPr>
      </w:pPr>
      <w:r>
        <w:rPr>
          <w:rFonts w:ascii="Arial" w:cs="Arial" w:eastAsia="Arial" w:hAnsi="Arial"/>
          <w:sz w:val="14"/>
          <w:szCs w:val="14"/>
          <w:color w:val="auto"/>
        </w:rPr>
        <w:t>Overseeing the policy, laws and regulations pertaining to SST Matters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33" w:right="20" w:hanging="233"/>
        <w:spacing w:after="0" w:line="259" w:lineRule="auto"/>
        <w:tabs>
          <w:tab w:leader="none" w:pos="233" w:val="left"/>
        </w:tabs>
        <w:numPr>
          <w:ilvl w:val="0"/>
          <w:numId w:val="41"/>
        </w:numPr>
        <w:rPr>
          <w:rFonts w:ascii="Times New Roman" w:cs="Times New Roman" w:eastAsia="Times New Roman" w:hAnsi="Times New Roman"/>
          <w:sz w:val="14"/>
          <w:szCs w:val="14"/>
          <w:color w:val="005CB9"/>
        </w:rPr>
      </w:pPr>
      <w:r>
        <w:rPr>
          <w:rFonts w:ascii="Arial" w:cs="Arial" w:eastAsia="Arial" w:hAnsi="Arial"/>
          <w:sz w:val="14"/>
          <w:szCs w:val="14"/>
          <w:color w:val="auto"/>
        </w:rPr>
        <w:t>Overseeing the integration of sustainable business practices into the company’s immediate- and longer-term business strategies and operations to address SST Matters</w:t>
      </w:r>
    </w:p>
    <w:p>
      <w:pPr>
        <w:spacing w:after="0" w:line="79" w:lineRule="exact"/>
        <w:rPr>
          <w:rFonts w:ascii="Times New Roman" w:cs="Times New Roman" w:eastAsia="Times New Roman" w:hAnsi="Times New Roman"/>
          <w:sz w:val="14"/>
          <w:szCs w:val="14"/>
          <w:color w:val="005CB9"/>
        </w:rPr>
      </w:pPr>
    </w:p>
    <w:p>
      <w:pPr>
        <w:ind w:left="233" w:right="20" w:hanging="233"/>
        <w:spacing w:after="0" w:line="259" w:lineRule="auto"/>
        <w:tabs>
          <w:tab w:leader="none" w:pos="233" w:val="left"/>
        </w:tabs>
        <w:numPr>
          <w:ilvl w:val="0"/>
          <w:numId w:val="41"/>
        </w:numPr>
        <w:rPr>
          <w:rFonts w:ascii="Times New Roman" w:cs="Times New Roman" w:eastAsia="Times New Roman" w:hAnsi="Times New Roman"/>
          <w:sz w:val="14"/>
          <w:szCs w:val="14"/>
          <w:color w:val="005CB9"/>
        </w:rPr>
      </w:pPr>
      <w:r>
        <w:rPr>
          <w:rFonts w:ascii="Arial" w:cs="Arial" w:eastAsia="Arial" w:hAnsi="Arial"/>
          <w:sz w:val="14"/>
          <w:szCs w:val="14"/>
          <w:color w:val="auto"/>
        </w:rPr>
        <w:t>Reviewing management’s implementation of risk management protocols concerning cybersecurity issues, including breaches and attacks, privacy and infrastructure security</w:t>
      </w:r>
    </w:p>
    <w:p>
      <w:pPr>
        <w:spacing w:after="0" w:line="79" w:lineRule="exact"/>
        <w:rPr>
          <w:rFonts w:ascii="Times New Roman" w:cs="Times New Roman" w:eastAsia="Times New Roman" w:hAnsi="Times New Roman"/>
          <w:sz w:val="14"/>
          <w:szCs w:val="14"/>
          <w:color w:val="005CB9"/>
        </w:rPr>
      </w:pPr>
    </w:p>
    <w:p>
      <w:pPr>
        <w:ind w:left="233" w:right="520" w:hanging="233"/>
        <w:spacing w:after="0" w:line="280" w:lineRule="auto"/>
        <w:tabs>
          <w:tab w:leader="none" w:pos="233" w:val="left"/>
        </w:tabs>
        <w:numPr>
          <w:ilvl w:val="0"/>
          <w:numId w:val="41"/>
        </w:numPr>
        <w:rPr>
          <w:rFonts w:ascii="Times New Roman" w:cs="Times New Roman" w:eastAsia="Times New Roman" w:hAnsi="Times New Roman"/>
          <w:sz w:val="14"/>
          <w:szCs w:val="14"/>
          <w:color w:val="005CB9"/>
        </w:rPr>
      </w:pPr>
      <w:r>
        <w:rPr>
          <w:rFonts w:ascii="Arial" w:cs="Arial" w:eastAsia="Arial" w:hAnsi="Arial"/>
          <w:sz w:val="14"/>
          <w:szCs w:val="14"/>
          <w:color w:val="auto"/>
        </w:rPr>
        <w:t>Reviewing with management and, if applicable, external advisors, the company’s annual corporate sustainability report</w:t>
      </w:r>
    </w:p>
    <w:p>
      <w:pPr>
        <w:spacing w:after="0" w:line="200" w:lineRule="exact"/>
        <w:rPr>
          <w:sz w:val="20"/>
          <w:szCs w:val="20"/>
          <w:color w:val="auto"/>
        </w:rPr>
      </w:pPr>
    </w:p>
    <w:p>
      <w:pPr>
        <w:sectPr>
          <w:pgSz w:w="11900" w:h="16838" w:orient="portrait"/>
          <w:cols w:equalWidth="0" w:num="2">
            <w:col w:w="5360" w:space="587"/>
            <w:col w:w="5133"/>
          </w:cols>
          <w:pgMar w:left="320" w:top="478" w:right="499" w:bottom="1440" w:gutter="0" w:footer="0" w:header="0"/>
          <w:type w:val="continuous"/>
        </w:sectPr>
      </w:pPr>
    </w:p>
    <w:p>
      <w:pPr>
        <w:spacing w:after="0" w:line="10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Executive Committee</w:t>
      </w:r>
    </w:p>
    <w:p>
      <w:pPr>
        <w:spacing w:after="0" w:line="129" w:lineRule="exact"/>
        <w:rPr>
          <w:sz w:val="20"/>
          <w:szCs w:val="20"/>
          <w:color w:val="auto"/>
        </w:rPr>
      </w:pPr>
    </w:p>
    <w:p>
      <w:pPr>
        <w:ind w:left="160" w:right="40"/>
        <w:spacing w:after="0" w:line="281" w:lineRule="auto"/>
        <w:rPr>
          <w:sz w:val="20"/>
          <w:szCs w:val="20"/>
          <w:color w:val="auto"/>
        </w:rPr>
      </w:pPr>
      <w:r>
        <w:rPr>
          <w:rFonts w:ascii="Arial" w:cs="Arial" w:eastAsia="Arial" w:hAnsi="Arial"/>
          <w:sz w:val="14"/>
          <w:szCs w:val="14"/>
          <w:color w:val="auto"/>
        </w:rPr>
        <w:t>Our Executive Committee meets on call by the Chairman of this committee to act on emergency or other time-sensitive issues during periods between meetings of the Board of Directors when scheduling or other requirements make it difficult to convene the full board.</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Communications with the Board</w:t>
      </w:r>
    </w:p>
    <w:p>
      <w:pPr>
        <w:spacing w:after="0" w:line="132" w:lineRule="exact"/>
        <w:rPr>
          <w:sz w:val="20"/>
          <w:szCs w:val="20"/>
          <w:color w:val="auto"/>
        </w:rPr>
      </w:pPr>
    </w:p>
    <w:p>
      <w:pPr>
        <w:ind w:left="160" w:right="200"/>
        <w:spacing w:after="0" w:line="249" w:lineRule="auto"/>
        <w:rPr>
          <w:sz w:val="20"/>
          <w:szCs w:val="20"/>
          <w:color w:val="auto"/>
        </w:rPr>
      </w:pPr>
      <w:r>
        <w:rPr>
          <w:rFonts w:ascii="Arial" w:cs="Arial" w:eastAsia="Arial" w:hAnsi="Arial"/>
          <w:sz w:val="14"/>
          <w:szCs w:val="14"/>
          <w:color w:val="auto"/>
        </w:rPr>
        <w:t>The board has adopted a Director Communications Screening Policy to facilitate communications with the company’s Board of Directors, which is available on our website under the “Corporate governance” tab of the “Investors” tab. Under this policy, shareholders, employees and other interested parties who wish to communicate with the board, non-management directors as a group, a board committee or a specific individual director may do so by writing to the board or the specific directors or group of directors in care of our Corporate Secretary. Any such communications regarding accounting, accounting policies, internal accounting controls and procedures, auditing matters, financial reporting processes or disclosure controls and procedures are relayed to the Audit Committee Chair.</w:t>
      </w:r>
    </w:p>
    <w:p>
      <w:pPr>
        <w:spacing w:after="0" w:line="74" w:lineRule="exact"/>
        <w:rPr>
          <w:sz w:val="20"/>
          <w:szCs w:val="20"/>
          <w:color w:val="auto"/>
        </w:rPr>
      </w:pPr>
    </w:p>
    <w:p>
      <w:pPr>
        <w:ind w:left="160" w:right="60"/>
        <w:spacing w:after="0" w:line="254" w:lineRule="auto"/>
        <w:rPr>
          <w:sz w:val="20"/>
          <w:szCs w:val="20"/>
          <w:color w:val="auto"/>
        </w:rPr>
      </w:pPr>
      <w:r>
        <w:rPr>
          <w:rFonts w:ascii="Arial" w:cs="Arial" w:eastAsia="Arial" w:hAnsi="Arial"/>
          <w:sz w:val="14"/>
          <w:szCs w:val="14"/>
          <w:color w:val="auto"/>
        </w:rPr>
        <w:t>All communications are reviewed by the Corporate Secretary and provided to the directors consistent with a screening policy providing that unsolicited marketing or advertising materials, routine items that can be appropriately addressed by management, and certain other items unrelated to the duties and responsibilities of the board are not relayed to directors. All communications, including any communication that is not relayed, is recorded in a log and made available to any applicable director upon request.</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address to which communications to the board should be sent is: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 Corporate Secretary</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-95885</wp:posOffset>
            </wp:positionV>
            <wp:extent cx="424815" cy="297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24815" cy="29718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4"/>
          <w:szCs w:val="14"/>
          <w:color w:val="auto"/>
        </w:rPr>
        <w:t>Sempra</w:t>
      </w:r>
    </w:p>
    <w:p>
      <w:pPr>
        <w:ind w:left="1260"/>
        <w:spacing w:after="0"/>
        <w:rPr>
          <w:sz w:val="20"/>
          <w:szCs w:val="20"/>
          <w:color w:val="auto"/>
        </w:rPr>
      </w:pPr>
      <w:r>
        <w:rPr>
          <w:rFonts w:ascii="Arial" w:cs="Arial" w:eastAsia="Arial" w:hAnsi="Arial"/>
          <w:sz w:val="14"/>
          <w:szCs w:val="14"/>
          <w:color w:val="auto"/>
        </w:rPr>
        <w:t>488 8th Avenue</w:t>
      </w:r>
    </w:p>
    <w:p>
      <w:pPr>
        <w:ind w:left="1260"/>
        <w:spacing w:after="0"/>
        <w:rPr>
          <w:sz w:val="20"/>
          <w:szCs w:val="20"/>
          <w:color w:val="auto"/>
        </w:rPr>
      </w:pPr>
      <w:r>
        <w:rPr>
          <w:rFonts w:ascii="Arial" w:cs="Arial" w:eastAsia="Arial" w:hAnsi="Arial"/>
          <w:sz w:val="14"/>
          <w:szCs w:val="14"/>
          <w:color w:val="auto"/>
        </w:rPr>
        <w:t>San Diego, CA 92101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234315</wp:posOffset>
            </wp:positionV>
            <wp:extent cx="739140" cy="153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19</w:t>
      </w:r>
    </w:p>
    <w:p>
      <w:pPr>
        <w:sectPr>
          <w:pgSz w:w="11900" w:h="16838" w:orient="portrait"/>
          <w:cols w:equalWidth="0" w:num="1">
            <w:col w:w="11080"/>
          </w:cols>
          <w:pgMar w:left="320" w:top="478" w:right="4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Corporate Governance</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Director Compensation</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Overview</w:t>
      </w:r>
    </w:p>
    <w:p>
      <w:pPr>
        <w:spacing w:after="0" w:line="129" w:lineRule="exact"/>
        <w:rPr>
          <w:sz w:val="20"/>
          <w:szCs w:val="20"/>
          <w:color w:val="auto"/>
        </w:rPr>
      </w:pPr>
    </w:p>
    <w:p>
      <w:pPr>
        <w:jc w:val="both"/>
        <w:ind w:left="160" w:right="20"/>
        <w:spacing w:after="0" w:line="260" w:lineRule="auto"/>
        <w:rPr>
          <w:sz w:val="20"/>
          <w:szCs w:val="20"/>
          <w:color w:val="auto"/>
        </w:rPr>
      </w:pPr>
      <w:r>
        <w:rPr>
          <w:rFonts w:ascii="Arial" w:cs="Arial" w:eastAsia="Arial" w:hAnsi="Arial"/>
          <w:sz w:val="14"/>
          <w:szCs w:val="14"/>
          <w:color w:val="auto"/>
        </w:rPr>
        <w:t>The Compensation and Talent Development Committee of the Sempra Board of Directors reviews non-employee director compensation on an annual basis. The committee’s independent compensation consultant, Exequity, annually provides the committee with a report that analyzes the competitiveness of Sempra’s director compensation in total and by component. Any changes to director compensation are approved by the Board of Directors.</w:t>
      </w:r>
    </w:p>
    <w:p>
      <w:pPr>
        <w:spacing w:after="0" w:line="65" w:lineRule="exact"/>
        <w:rPr>
          <w:sz w:val="20"/>
          <w:szCs w:val="20"/>
          <w:color w:val="auto"/>
        </w:rPr>
      </w:pPr>
    </w:p>
    <w:p>
      <w:pPr>
        <w:ind w:left="160" w:right="240"/>
        <w:spacing w:after="0" w:line="281" w:lineRule="auto"/>
        <w:rPr>
          <w:sz w:val="20"/>
          <w:szCs w:val="20"/>
          <w:color w:val="auto"/>
        </w:rPr>
      </w:pPr>
      <w:r>
        <w:rPr>
          <w:rFonts w:ascii="Arial" w:cs="Arial" w:eastAsia="Arial" w:hAnsi="Arial"/>
          <w:sz w:val="14"/>
          <w:szCs w:val="14"/>
          <w:color w:val="auto"/>
        </w:rPr>
        <w:t>Directors who are also employees of the company are not additionally compensated for service as a director. The compensation of Jeffrey W. Martin, our Chairman, Chief Executive Officer and President, is described under “Compensation Discussion and Analysis” and the subsequent compensation tables below.</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Our 2025 non-employee director compensation program is summarized in the table below.</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9920" w:type="dxa"/>
            <w:vAlign w:val="bottom"/>
            <w:tcBorders>
              <w:bottom w:val="single" w:sz="8" w:color="005CB9"/>
            </w:tcBorders>
            <w:shd w:val="clear" w:color="auto" w:fill="005CB9"/>
          </w:tcPr>
          <w:p>
            <w:pPr>
              <w:ind w:left="3660"/>
              <w:spacing w:after="0"/>
              <w:rPr>
                <w:sz w:val="20"/>
                <w:szCs w:val="20"/>
                <w:color w:val="auto"/>
              </w:rPr>
            </w:pPr>
            <w:r>
              <w:rPr>
                <w:rFonts w:ascii="Arial" w:cs="Arial" w:eastAsia="Arial" w:hAnsi="Arial"/>
                <w:sz w:val="14"/>
                <w:szCs w:val="14"/>
                <w:b w:val="1"/>
                <w:bCs w:val="1"/>
                <w:color w:val="FFFFFF"/>
              </w:rPr>
              <w:t>2025 Non-Employee Director Compensation Program</w:t>
            </w:r>
          </w:p>
        </w:tc>
        <w:tc>
          <w:tcPr>
            <w:tcW w:w="440" w:type="dxa"/>
            <w:vAlign w:val="bottom"/>
            <w:tcBorders>
              <w:bottom w:val="single" w:sz="8" w:color="005CB9"/>
            </w:tcBorders>
            <w:shd w:val="clear" w:color="auto" w:fill="005CB9"/>
          </w:tcPr>
          <w:p>
            <w:pPr>
              <w:spacing w:after="0"/>
              <w:rPr>
                <w:sz w:val="23"/>
                <w:szCs w:val="23"/>
                <w:color w:val="auto"/>
              </w:rPr>
            </w:pPr>
          </w:p>
        </w:tc>
        <w:tc>
          <w:tcPr>
            <w:tcW w:w="560" w:type="dxa"/>
            <w:vAlign w:val="bottom"/>
            <w:tcBorders>
              <w:bottom w:val="single" w:sz="8" w:color="005CB9"/>
            </w:tcBorders>
            <w:shd w:val="clear" w:color="auto" w:fill="005CB9"/>
          </w:tcPr>
          <w:p>
            <w:pPr>
              <w:spacing w:after="0"/>
              <w:rPr>
                <w:sz w:val="23"/>
                <w:szCs w:val="23"/>
                <w:color w:val="auto"/>
              </w:rPr>
            </w:pPr>
          </w:p>
        </w:tc>
      </w:tr>
      <w:tr>
        <w:trPr>
          <w:trHeight w:val="253"/>
        </w:trPr>
        <w:tc>
          <w:tcPr>
            <w:tcW w:w="9920" w:type="dxa"/>
            <w:vAlign w:val="bottom"/>
          </w:tcPr>
          <w:p>
            <w:pPr>
              <w:ind w:left="80"/>
              <w:spacing w:after="0"/>
              <w:rPr>
                <w:sz w:val="20"/>
                <w:szCs w:val="20"/>
                <w:color w:val="auto"/>
              </w:rPr>
            </w:pPr>
            <w:r>
              <w:rPr>
                <w:rFonts w:ascii="Arial" w:cs="Arial" w:eastAsia="Arial" w:hAnsi="Arial"/>
                <w:sz w:val="14"/>
                <w:szCs w:val="14"/>
                <w:b w:val="1"/>
                <w:bCs w:val="1"/>
                <w:color w:val="auto"/>
              </w:rPr>
              <w:t>Board Retainers:</w:t>
            </w: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42"/>
        </w:trPr>
        <w:tc>
          <w:tcPr>
            <w:tcW w:w="9920" w:type="dxa"/>
            <w:vAlign w:val="bottom"/>
            <w:tcBorders>
              <w:bottom w:val="single" w:sz="8" w:color="7F7F7F"/>
            </w:tcBorders>
          </w:tcPr>
          <w:p>
            <w:pPr>
              <w:spacing w:after="0"/>
              <w:rPr>
                <w:sz w:val="3"/>
                <w:szCs w:val="3"/>
                <w:color w:val="auto"/>
              </w:rPr>
            </w:pPr>
          </w:p>
        </w:tc>
        <w:tc>
          <w:tcPr>
            <w:tcW w:w="440" w:type="dxa"/>
            <w:vAlign w:val="bottom"/>
            <w:tcBorders>
              <w:bottom w:val="single" w:sz="8" w:color="7F7F7F"/>
            </w:tcBorders>
          </w:tcPr>
          <w:p>
            <w:pPr>
              <w:spacing w:after="0"/>
              <w:rPr>
                <w:sz w:val="3"/>
                <w:szCs w:val="3"/>
                <w:color w:val="auto"/>
              </w:rPr>
            </w:pPr>
          </w:p>
        </w:tc>
        <w:tc>
          <w:tcPr>
            <w:tcW w:w="560" w:type="dxa"/>
            <w:vAlign w:val="bottom"/>
            <w:tcBorders>
              <w:bottom w:val="single" w:sz="8" w:color="7F7F7F"/>
            </w:tcBorders>
          </w:tcPr>
          <w:p>
            <w:pPr>
              <w:spacing w:after="0"/>
              <w:rPr>
                <w:sz w:val="3"/>
                <w:szCs w:val="3"/>
                <w:color w:val="auto"/>
              </w:rPr>
            </w:pPr>
          </w:p>
        </w:tc>
      </w:tr>
      <w:tr>
        <w:trPr>
          <w:trHeight w:val="279"/>
        </w:trPr>
        <w:tc>
          <w:tcPr>
            <w:tcW w:w="9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Annual Base Retainer</w:t>
            </w:r>
          </w:p>
        </w:tc>
        <w:tc>
          <w:tcPr>
            <w:tcW w:w="4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w w:val="98"/>
              </w:rPr>
              <w:t>120,000</w:t>
            </w:r>
          </w:p>
        </w:tc>
      </w:tr>
      <w:tr>
        <w:trPr>
          <w:trHeight w:val="227"/>
        </w:trPr>
        <w:tc>
          <w:tcPr>
            <w:tcW w:w="992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Lead Independent Director Retainer</w:t>
            </w:r>
          </w:p>
        </w:tc>
        <w:tc>
          <w:tcPr>
            <w:tcW w:w="4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50,000</w:t>
            </w:r>
          </w:p>
        </w:tc>
      </w:tr>
      <w:tr>
        <w:trPr>
          <w:trHeight w:val="48"/>
        </w:trPr>
        <w:tc>
          <w:tcPr>
            <w:tcW w:w="99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r>
      <w:tr>
        <w:trPr>
          <w:trHeight w:val="279"/>
        </w:trPr>
        <w:tc>
          <w:tcPr>
            <w:tcW w:w="99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Committee Chair Retainers:</w:t>
            </w:r>
          </w:p>
        </w:tc>
        <w:tc>
          <w:tcPr>
            <w:tcW w:w="440" w:type="dxa"/>
            <w:vAlign w:val="bottom"/>
            <w:tcBorders>
              <w:bottom w:val="single" w:sz="8" w:color="F2F2F2"/>
            </w:tcBorders>
            <w:shd w:val="clear" w:color="auto" w:fill="F2F2F2"/>
          </w:tcPr>
          <w:p>
            <w:pPr>
              <w:spacing w:after="0"/>
              <w:rPr>
                <w:sz w:val="23"/>
                <w:szCs w:val="23"/>
                <w:color w:val="auto"/>
              </w:rPr>
            </w:pPr>
          </w:p>
        </w:tc>
        <w:tc>
          <w:tcPr>
            <w:tcW w:w="560" w:type="dxa"/>
            <w:vAlign w:val="bottom"/>
            <w:tcBorders>
              <w:bottom w:val="single" w:sz="8" w:color="F2F2F2"/>
            </w:tcBorders>
            <w:shd w:val="clear" w:color="auto" w:fill="F2F2F2"/>
          </w:tcPr>
          <w:p>
            <w:pPr>
              <w:spacing w:after="0"/>
              <w:rPr>
                <w:sz w:val="23"/>
                <w:szCs w:val="23"/>
                <w:color w:val="auto"/>
              </w:rPr>
            </w:pPr>
          </w:p>
        </w:tc>
      </w:tr>
      <w:tr>
        <w:trPr>
          <w:trHeight w:val="227"/>
        </w:trPr>
        <w:tc>
          <w:tcPr>
            <w:tcW w:w="992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Audit Committee Chair Retainer</w:t>
            </w:r>
          </w:p>
        </w:tc>
        <w:tc>
          <w:tcPr>
            <w:tcW w:w="4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20,000</w:t>
            </w:r>
          </w:p>
        </w:tc>
      </w:tr>
      <w:tr>
        <w:trPr>
          <w:trHeight w:val="48"/>
        </w:trPr>
        <w:tc>
          <w:tcPr>
            <w:tcW w:w="99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r>
      <w:tr>
        <w:trPr>
          <w:trHeight w:val="279"/>
        </w:trPr>
        <w:tc>
          <w:tcPr>
            <w:tcW w:w="9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Compensation and Talent Development Committee Chair Retainer</w:t>
            </w:r>
          </w:p>
        </w:tc>
        <w:tc>
          <w:tcPr>
            <w:tcW w:w="4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15,000</w:t>
            </w:r>
          </w:p>
        </w:tc>
      </w:tr>
      <w:tr>
        <w:trPr>
          <w:trHeight w:val="274"/>
        </w:trPr>
        <w:tc>
          <w:tcPr>
            <w:tcW w:w="9920" w:type="dxa"/>
            <w:vAlign w:val="bottom"/>
            <w:tcBorders>
              <w:top w:val="single" w:sz="8" w:color="7F7F7F"/>
              <w:bottom w:val="single" w:sz="8" w:color="7F7F7F"/>
            </w:tcBorders>
          </w:tcPr>
          <w:p>
            <w:pPr>
              <w:ind w:left="220"/>
              <w:spacing w:after="0"/>
              <w:rPr>
                <w:sz w:val="20"/>
                <w:szCs w:val="20"/>
                <w:color w:val="auto"/>
              </w:rPr>
            </w:pPr>
            <w:r>
              <w:rPr>
                <w:rFonts w:ascii="Arial" w:cs="Arial" w:eastAsia="Arial" w:hAnsi="Arial"/>
                <w:sz w:val="14"/>
                <w:szCs w:val="14"/>
                <w:color w:val="auto"/>
              </w:rPr>
              <w:t>Other Committee Chair Retainer</w:t>
            </w:r>
            <w:r>
              <w:rPr>
                <w:rFonts w:ascii="Arial" w:cs="Arial" w:eastAsia="Arial" w:hAnsi="Arial"/>
                <w:sz w:val="21"/>
                <w:szCs w:val="21"/>
                <w:color w:val="auto"/>
                <w:vertAlign w:val="superscript"/>
              </w:rPr>
              <w:t>(A)</w:t>
            </w:r>
          </w:p>
        </w:tc>
        <w:tc>
          <w:tcPr>
            <w:tcW w:w="4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10,000</w:t>
            </w:r>
          </w:p>
        </w:tc>
      </w:tr>
      <w:tr>
        <w:trPr>
          <w:trHeight w:val="279"/>
        </w:trPr>
        <w:tc>
          <w:tcPr>
            <w:tcW w:w="99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Committee Member Retainers:</w:t>
            </w:r>
          </w:p>
        </w:tc>
        <w:tc>
          <w:tcPr>
            <w:tcW w:w="440" w:type="dxa"/>
            <w:vAlign w:val="bottom"/>
            <w:tcBorders>
              <w:bottom w:val="single" w:sz="8" w:color="F2F2F2"/>
            </w:tcBorders>
            <w:shd w:val="clear" w:color="auto" w:fill="F2F2F2"/>
          </w:tcPr>
          <w:p>
            <w:pPr>
              <w:spacing w:after="0"/>
              <w:rPr>
                <w:sz w:val="23"/>
                <w:szCs w:val="23"/>
                <w:color w:val="auto"/>
              </w:rPr>
            </w:pPr>
          </w:p>
        </w:tc>
        <w:tc>
          <w:tcPr>
            <w:tcW w:w="560" w:type="dxa"/>
            <w:vAlign w:val="bottom"/>
            <w:tcBorders>
              <w:bottom w:val="single" w:sz="8" w:color="F2F2F2"/>
            </w:tcBorders>
            <w:shd w:val="clear" w:color="auto" w:fill="F2F2F2"/>
          </w:tcPr>
          <w:p>
            <w:pPr>
              <w:spacing w:after="0"/>
              <w:rPr>
                <w:sz w:val="23"/>
                <w:szCs w:val="23"/>
                <w:color w:val="auto"/>
              </w:rPr>
            </w:pPr>
          </w:p>
        </w:tc>
      </w:tr>
      <w:tr>
        <w:trPr>
          <w:trHeight w:val="227"/>
        </w:trPr>
        <w:tc>
          <w:tcPr>
            <w:tcW w:w="992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Audit Committee Member Retainer</w:t>
            </w:r>
          </w:p>
        </w:tc>
        <w:tc>
          <w:tcPr>
            <w:tcW w:w="4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20,000</w:t>
            </w:r>
          </w:p>
        </w:tc>
      </w:tr>
      <w:tr>
        <w:trPr>
          <w:trHeight w:val="48"/>
        </w:trPr>
        <w:tc>
          <w:tcPr>
            <w:tcW w:w="992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r>
      <w:tr>
        <w:trPr>
          <w:trHeight w:val="274"/>
        </w:trPr>
        <w:tc>
          <w:tcPr>
            <w:tcW w:w="9920" w:type="dxa"/>
            <w:vAlign w:val="bottom"/>
            <w:tcBorders>
              <w:bottom w:val="single" w:sz="8" w:color="7F7F7F"/>
            </w:tcBorders>
            <w:shd w:val="clear" w:color="auto" w:fill="F2F2F2"/>
          </w:tcPr>
          <w:p>
            <w:pPr>
              <w:ind w:left="220"/>
              <w:spacing w:after="0"/>
              <w:rPr>
                <w:sz w:val="20"/>
                <w:szCs w:val="20"/>
                <w:color w:val="auto"/>
              </w:rPr>
            </w:pPr>
            <w:r>
              <w:rPr>
                <w:rFonts w:ascii="Arial" w:cs="Arial" w:eastAsia="Arial" w:hAnsi="Arial"/>
                <w:sz w:val="14"/>
                <w:szCs w:val="14"/>
                <w:color w:val="auto"/>
              </w:rPr>
              <w:t>Other Committee Member Retainer</w:t>
            </w:r>
            <w:r>
              <w:rPr>
                <w:rFonts w:ascii="Arial" w:cs="Arial" w:eastAsia="Arial" w:hAnsi="Arial"/>
                <w:sz w:val="21"/>
                <w:szCs w:val="21"/>
                <w:color w:val="auto"/>
                <w:vertAlign w:val="superscript"/>
              </w:rPr>
              <w:t>(B)</w:t>
            </w:r>
          </w:p>
        </w:tc>
        <w:tc>
          <w:tcPr>
            <w:tcW w:w="4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4"/>
                <w:szCs w:val="14"/>
                <w:color w:val="auto"/>
              </w:rPr>
              <w:t>10,000</w:t>
            </w:r>
          </w:p>
        </w:tc>
      </w:tr>
      <w:tr>
        <w:trPr>
          <w:trHeight w:val="233"/>
        </w:trPr>
        <w:tc>
          <w:tcPr>
            <w:tcW w:w="9920" w:type="dxa"/>
            <w:vAlign w:val="bottom"/>
          </w:tcPr>
          <w:p>
            <w:pPr>
              <w:ind w:left="80"/>
              <w:spacing w:after="0"/>
              <w:rPr>
                <w:sz w:val="20"/>
                <w:szCs w:val="20"/>
                <w:color w:val="auto"/>
              </w:rPr>
            </w:pPr>
            <w:r>
              <w:rPr>
                <w:rFonts w:ascii="Arial" w:cs="Arial" w:eastAsia="Arial" w:hAnsi="Arial"/>
                <w:sz w:val="14"/>
                <w:szCs w:val="14"/>
                <w:b w:val="1"/>
                <w:bCs w:val="1"/>
                <w:color w:val="auto"/>
              </w:rPr>
              <w:t>Equity:</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2"/>
        </w:trPr>
        <w:tc>
          <w:tcPr>
            <w:tcW w:w="9920" w:type="dxa"/>
            <w:vAlign w:val="bottom"/>
            <w:tcBorders>
              <w:bottom w:val="single" w:sz="8" w:color="7F7F7F"/>
            </w:tcBorders>
          </w:tcPr>
          <w:p>
            <w:pPr>
              <w:spacing w:after="0"/>
              <w:rPr>
                <w:sz w:val="3"/>
                <w:szCs w:val="3"/>
                <w:color w:val="auto"/>
              </w:rPr>
            </w:pPr>
          </w:p>
        </w:tc>
        <w:tc>
          <w:tcPr>
            <w:tcW w:w="440" w:type="dxa"/>
            <w:vAlign w:val="bottom"/>
            <w:tcBorders>
              <w:bottom w:val="single" w:sz="8" w:color="7F7F7F"/>
            </w:tcBorders>
          </w:tcPr>
          <w:p>
            <w:pPr>
              <w:spacing w:after="0"/>
              <w:rPr>
                <w:sz w:val="3"/>
                <w:szCs w:val="3"/>
                <w:color w:val="auto"/>
              </w:rPr>
            </w:pPr>
          </w:p>
        </w:tc>
        <w:tc>
          <w:tcPr>
            <w:tcW w:w="560" w:type="dxa"/>
            <w:vAlign w:val="bottom"/>
            <w:tcBorders>
              <w:bottom w:val="single" w:sz="8" w:color="7F7F7F"/>
            </w:tcBorders>
          </w:tcPr>
          <w:p>
            <w:pPr>
              <w:spacing w:after="0"/>
              <w:rPr>
                <w:sz w:val="3"/>
                <w:szCs w:val="3"/>
                <w:color w:val="auto"/>
              </w:rPr>
            </w:pPr>
          </w:p>
        </w:tc>
      </w:tr>
      <w:tr>
        <w:trPr>
          <w:trHeight w:val="279"/>
        </w:trPr>
        <w:tc>
          <w:tcPr>
            <w:tcW w:w="99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Mandatory Deferred Equity</w:t>
            </w:r>
          </w:p>
        </w:tc>
        <w:tc>
          <w:tcPr>
            <w:tcW w:w="4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50,000</w:t>
            </w:r>
          </w:p>
        </w:tc>
      </w:tr>
      <w:tr>
        <w:trPr>
          <w:trHeight w:val="227"/>
        </w:trPr>
        <w:tc>
          <w:tcPr>
            <w:tcW w:w="992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Annual Equity Award / Initial Equity Award for New Director</w:t>
            </w:r>
          </w:p>
        </w:tc>
        <w:tc>
          <w:tcPr>
            <w:tcW w:w="4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w w:val="98"/>
              </w:rPr>
              <w:t>140,000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3" w:lineRule="exact"/>
        <w:rPr>
          <w:sz w:val="20"/>
          <w:szCs w:val="20"/>
          <w:color w:val="auto"/>
        </w:rPr>
      </w:pPr>
    </w:p>
    <w:p>
      <w:pPr>
        <w:ind w:left="480" w:hanging="313"/>
        <w:spacing w:after="0"/>
        <w:tabs>
          <w:tab w:leader="none" w:pos="4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Applicable to the Corporate Governance Committee and Safety, Sustainability and Technology Committee.</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Applicable to the Compensation and Talent Development Committee; Corporate Governance Committee; Safety, Sustainability and Technology Committee; and Executive Committee.</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Retainers</w:t>
      </w:r>
    </w:p>
    <w:p>
      <w:pPr>
        <w:spacing w:after="0" w:line="129" w:lineRule="exact"/>
        <w:rPr>
          <w:sz w:val="20"/>
          <w:szCs w:val="20"/>
          <w:color w:val="auto"/>
        </w:rPr>
      </w:pPr>
    </w:p>
    <w:p>
      <w:pPr>
        <w:ind w:left="160" w:right="80"/>
        <w:spacing w:after="0" w:line="253" w:lineRule="auto"/>
        <w:rPr>
          <w:sz w:val="20"/>
          <w:szCs w:val="20"/>
          <w:color w:val="auto"/>
        </w:rPr>
      </w:pPr>
      <w:r>
        <w:rPr>
          <w:rFonts w:ascii="Arial" w:cs="Arial" w:eastAsia="Arial" w:hAnsi="Arial"/>
          <w:sz w:val="14"/>
          <w:szCs w:val="14"/>
          <w:color w:val="auto"/>
        </w:rPr>
        <w:t>Directors who are not employees of Sempra received annual retainers in 2025 as set forth in the table above (or prorated amounts of such retainers for any director appointed during the year). Directors could elect to receive their retainer in cash or to defer all or a portion of their retainer into phantom investment funds (including a fund for which interest is credited at the higher of 110% of the Moody’s Corporate Bond Yield Average or the Moody’s Corporate Bond Yield Average plus 1%) or phantom shares of our common stock.</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Equity</w:t>
      </w:r>
    </w:p>
    <w:p>
      <w:pPr>
        <w:spacing w:after="0" w:line="129"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In our 2025 director compensation program, non-employee directors were credited each quarter with a number of vested phantom shares of our common stock having a market value of $12,500, which we refer to as Mandatory Deferred Equity, and are required to hold these phantom shares until retirement or other separation from the board. Following the director’s retirement or other separation from the board, the current market value of the shares credited to the director’s account (together with related reinvested dividend equivalents) is paid to the director in cash.</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addition, (i) each newly appointed non-employee director received, in connection with his or her board appointment, an initial equity award having a market value of</w:t>
      </w:r>
    </w:p>
    <w:p>
      <w:pPr>
        <w:spacing w:after="0" w:line="13" w:lineRule="exact"/>
        <w:rPr>
          <w:sz w:val="20"/>
          <w:szCs w:val="20"/>
          <w:color w:val="auto"/>
        </w:rPr>
      </w:pPr>
    </w:p>
    <w:p>
      <w:pPr>
        <w:ind w:left="160" w:right="40"/>
        <w:spacing w:after="0" w:line="246" w:lineRule="auto"/>
        <w:rPr>
          <w:sz w:val="20"/>
          <w:szCs w:val="20"/>
          <w:color w:val="auto"/>
        </w:rPr>
      </w:pPr>
      <w:r>
        <w:rPr>
          <w:rFonts w:ascii="Arial" w:cs="Arial" w:eastAsia="Arial" w:hAnsi="Arial"/>
          <w:sz w:val="14"/>
          <w:szCs w:val="14"/>
          <w:color w:val="auto"/>
        </w:rPr>
        <w:t>$140,000 and vesting (together with related reinvested dividend equivalents) on the first anniversary of the grant date, and (ii) each other non-employee director received, at our 2025 annual shareholders meeting, an annual equity award having a market value of $140,000 and vesting (together with related reinvested dividend equivalents) on the date of our next annual shareholders meeting (which will be the Annual Shareholders Meeting to be held on May 12, 2026). Directors could elect to receive the initial or annual equity awards in the form of restricted stock units or phantom shares of our common stock.</w:t>
      </w:r>
    </w:p>
    <w:p>
      <w:pPr>
        <w:spacing w:after="0" w:line="75" w:lineRule="exact"/>
        <w:rPr>
          <w:sz w:val="20"/>
          <w:szCs w:val="20"/>
          <w:color w:val="auto"/>
        </w:rPr>
      </w:pPr>
    </w:p>
    <w:p>
      <w:pPr>
        <w:ind w:left="160" w:right="260"/>
        <w:spacing w:after="0" w:line="281" w:lineRule="auto"/>
        <w:rPr>
          <w:sz w:val="20"/>
          <w:szCs w:val="20"/>
          <w:color w:val="auto"/>
        </w:rPr>
      </w:pPr>
      <w:r>
        <w:rPr>
          <w:rFonts w:ascii="Arial" w:cs="Arial" w:eastAsia="Arial" w:hAnsi="Arial"/>
          <w:sz w:val="14"/>
          <w:szCs w:val="14"/>
          <w:color w:val="auto"/>
        </w:rPr>
        <w:t>Unvested restricted stock units or phantom shares of our common stock immediately vest if the director’s service on the board terminates by reason of death, disability or removal without cause. Upon any other termination event, all unvested restricted stock units or phantom shares are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20               </w:t>
      </w:r>
      <w:r>
        <w:rPr>
          <w:sz w:val="1"/>
          <w:szCs w:val="1"/>
          <w:color w:val="auto"/>
        </w:rPr>
        <w:drawing>
          <wp:inline distT="0" distB="0" distL="0" distR="0">
            <wp:extent cx="739140" cy="14414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920"/>
        <w:spacing w:after="0"/>
        <w:rPr>
          <w:sz w:val="20"/>
          <w:szCs w:val="20"/>
          <w:color w:val="auto"/>
        </w:rPr>
      </w:pPr>
      <w:r>
        <w:rPr>
          <w:rFonts w:ascii="Arial" w:cs="Arial" w:eastAsia="Arial" w:hAnsi="Arial"/>
          <w:sz w:val="10"/>
          <w:szCs w:val="10"/>
          <w:b w:val="1"/>
          <w:bCs w:val="1"/>
          <w:color w:val="7F7F7F"/>
        </w:rPr>
        <w:t>Corporate Governance</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Director Compensation Table</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We summarize below the 2025 compensation earned by our non-employee directors for service on our board during the year.</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500" w:type="dxa"/>
            <w:vAlign w:val="bottom"/>
            <w:shd w:val="clear" w:color="auto" w:fill="005CB9"/>
          </w:tcPr>
          <w:p>
            <w:pPr>
              <w:spacing w:after="0"/>
              <w:rPr>
                <w:sz w:val="18"/>
                <w:szCs w:val="18"/>
                <w:color w:val="auto"/>
              </w:rPr>
            </w:pPr>
          </w:p>
        </w:tc>
        <w:tc>
          <w:tcPr>
            <w:tcW w:w="1760" w:type="dxa"/>
            <w:vAlign w:val="bottom"/>
            <w:shd w:val="clear" w:color="auto" w:fill="005CB9"/>
          </w:tcPr>
          <w:p>
            <w:pPr>
              <w:spacing w:after="0"/>
              <w:rPr>
                <w:sz w:val="18"/>
                <w:szCs w:val="18"/>
                <w:color w:val="auto"/>
              </w:rPr>
            </w:pPr>
          </w:p>
        </w:tc>
        <w:tc>
          <w:tcPr>
            <w:tcW w:w="1640" w:type="dxa"/>
            <w:vAlign w:val="bottom"/>
            <w:shd w:val="clear" w:color="auto" w:fill="005CB9"/>
          </w:tcPr>
          <w:p>
            <w:pPr>
              <w:spacing w:after="0"/>
              <w:rPr>
                <w:sz w:val="18"/>
                <w:szCs w:val="18"/>
                <w:color w:val="auto"/>
              </w:rPr>
            </w:pPr>
          </w:p>
        </w:tc>
        <w:tc>
          <w:tcPr>
            <w:tcW w:w="1900" w:type="dxa"/>
            <w:vAlign w:val="bottom"/>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Change in</w:t>
            </w:r>
          </w:p>
        </w:tc>
        <w:tc>
          <w:tcPr>
            <w:tcW w:w="2040" w:type="dxa"/>
            <w:vAlign w:val="bottom"/>
            <w:shd w:val="clear" w:color="auto" w:fill="005CB9"/>
          </w:tcPr>
          <w:p>
            <w:pPr>
              <w:spacing w:after="0"/>
              <w:rPr>
                <w:sz w:val="18"/>
                <w:szCs w:val="18"/>
                <w:color w:val="auto"/>
              </w:rPr>
            </w:pPr>
          </w:p>
        </w:tc>
        <w:tc>
          <w:tcPr>
            <w:tcW w:w="1080" w:type="dxa"/>
            <w:vAlign w:val="bottom"/>
            <w:shd w:val="clear" w:color="auto" w:fill="005CB9"/>
          </w:tcPr>
          <w:p>
            <w:pPr>
              <w:spacing w:after="0"/>
              <w:rPr>
                <w:sz w:val="18"/>
                <w:szCs w:val="18"/>
                <w:color w:val="auto"/>
              </w:rPr>
            </w:pPr>
          </w:p>
        </w:tc>
      </w:tr>
      <w:tr>
        <w:trPr>
          <w:trHeight w:val="160"/>
        </w:trPr>
        <w:tc>
          <w:tcPr>
            <w:tcW w:w="2500" w:type="dxa"/>
            <w:vAlign w:val="bottom"/>
            <w:shd w:val="clear" w:color="auto" w:fill="005CB9"/>
          </w:tcPr>
          <w:p>
            <w:pPr>
              <w:spacing w:after="0"/>
              <w:rPr>
                <w:sz w:val="13"/>
                <w:szCs w:val="13"/>
                <w:color w:val="auto"/>
              </w:rPr>
            </w:pPr>
          </w:p>
        </w:tc>
        <w:tc>
          <w:tcPr>
            <w:tcW w:w="1760" w:type="dxa"/>
            <w:vAlign w:val="bottom"/>
            <w:shd w:val="clear" w:color="auto" w:fill="005CB9"/>
          </w:tcPr>
          <w:p>
            <w:pPr>
              <w:spacing w:after="0"/>
              <w:rPr>
                <w:sz w:val="13"/>
                <w:szCs w:val="13"/>
                <w:color w:val="auto"/>
              </w:rPr>
            </w:pPr>
          </w:p>
        </w:tc>
        <w:tc>
          <w:tcPr>
            <w:tcW w:w="1640" w:type="dxa"/>
            <w:vAlign w:val="bottom"/>
            <w:shd w:val="clear" w:color="auto" w:fill="005CB9"/>
          </w:tcPr>
          <w:p>
            <w:pPr>
              <w:spacing w:after="0"/>
              <w:rPr>
                <w:sz w:val="13"/>
                <w:szCs w:val="13"/>
                <w:color w:val="auto"/>
              </w:rPr>
            </w:pPr>
          </w:p>
        </w:tc>
        <w:tc>
          <w:tcPr>
            <w:tcW w:w="1900" w:type="dxa"/>
            <w:vAlign w:val="bottom"/>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Pension Value</w:t>
            </w:r>
          </w:p>
        </w:tc>
        <w:tc>
          <w:tcPr>
            <w:tcW w:w="204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r>
      <w:tr>
        <w:trPr>
          <w:trHeight w:val="160"/>
        </w:trPr>
        <w:tc>
          <w:tcPr>
            <w:tcW w:w="2500" w:type="dxa"/>
            <w:vAlign w:val="bottom"/>
            <w:shd w:val="clear" w:color="auto" w:fill="005CB9"/>
          </w:tcPr>
          <w:p>
            <w:pPr>
              <w:spacing w:after="0"/>
              <w:rPr>
                <w:sz w:val="13"/>
                <w:szCs w:val="13"/>
                <w:color w:val="auto"/>
              </w:rPr>
            </w:pPr>
          </w:p>
        </w:tc>
        <w:tc>
          <w:tcPr>
            <w:tcW w:w="1760" w:type="dxa"/>
            <w:vAlign w:val="bottom"/>
            <w:shd w:val="clear" w:color="auto" w:fill="005CB9"/>
          </w:tcPr>
          <w:p>
            <w:pPr>
              <w:spacing w:after="0"/>
              <w:rPr>
                <w:sz w:val="13"/>
                <w:szCs w:val="13"/>
                <w:color w:val="auto"/>
              </w:rPr>
            </w:pPr>
          </w:p>
        </w:tc>
        <w:tc>
          <w:tcPr>
            <w:tcW w:w="1640" w:type="dxa"/>
            <w:vAlign w:val="bottom"/>
            <w:shd w:val="clear" w:color="auto" w:fill="005CB9"/>
          </w:tcPr>
          <w:p>
            <w:pPr>
              <w:spacing w:after="0"/>
              <w:rPr>
                <w:sz w:val="13"/>
                <w:szCs w:val="13"/>
                <w:color w:val="auto"/>
              </w:rPr>
            </w:pPr>
          </w:p>
        </w:tc>
        <w:tc>
          <w:tcPr>
            <w:tcW w:w="1900" w:type="dxa"/>
            <w:vAlign w:val="bottom"/>
            <w:shd w:val="clear" w:color="auto" w:fill="005CB9"/>
          </w:tcPr>
          <w:p>
            <w:pPr>
              <w:jc w:val="center"/>
              <w:ind w:right="29"/>
              <w:spacing w:after="0"/>
              <w:rPr>
                <w:sz w:val="20"/>
                <w:szCs w:val="20"/>
                <w:color w:val="auto"/>
              </w:rPr>
            </w:pPr>
            <w:r>
              <w:rPr>
                <w:rFonts w:ascii="Arial" w:cs="Arial" w:eastAsia="Arial" w:hAnsi="Arial"/>
                <w:sz w:val="14"/>
                <w:szCs w:val="14"/>
                <w:b w:val="1"/>
                <w:bCs w:val="1"/>
                <w:color w:val="FFFFFF"/>
              </w:rPr>
              <w:t>and Nonqualified</w:t>
            </w:r>
          </w:p>
        </w:tc>
        <w:tc>
          <w:tcPr>
            <w:tcW w:w="204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r>
      <w:tr>
        <w:trPr>
          <w:trHeight w:val="160"/>
        </w:trPr>
        <w:tc>
          <w:tcPr>
            <w:tcW w:w="2500" w:type="dxa"/>
            <w:vAlign w:val="bottom"/>
            <w:shd w:val="clear" w:color="auto" w:fill="005CB9"/>
          </w:tcPr>
          <w:p>
            <w:pPr>
              <w:spacing w:after="0"/>
              <w:rPr>
                <w:sz w:val="13"/>
                <w:szCs w:val="13"/>
                <w:color w:val="auto"/>
              </w:rPr>
            </w:pPr>
          </w:p>
        </w:tc>
        <w:tc>
          <w:tcPr>
            <w:tcW w:w="1760" w:type="dxa"/>
            <w:vAlign w:val="bottom"/>
            <w:shd w:val="clear" w:color="auto" w:fill="005CB9"/>
          </w:tcPr>
          <w:p>
            <w:pPr>
              <w:spacing w:after="0"/>
              <w:rPr>
                <w:sz w:val="13"/>
                <w:szCs w:val="13"/>
                <w:color w:val="auto"/>
              </w:rPr>
            </w:pPr>
          </w:p>
        </w:tc>
        <w:tc>
          <w:tcPr>
            <w:tcW w:w="1640" w:type="dxa"/>
            <w:vAlign w:val="bottom"/>
            <w:shd w:val="clear" w:color="auto" w:fill="005CB9"/>
          </w:tcPr>
          <w:p>
            <w:pPr>
              <w:spacing w:after="0"/>
              <w:rPr>
                <w:sz w:val="13"/>
                <w:szCs w:val="13"/>
                <w:color w:val="auto"/>
              </w:rPr>
            </w:pPr>
          </w:p>
        </w:tc>
        <w:tc>
          <w:tcPr>
            <w:tcW w:w="1900" w:type="dxa"/>
            <w:vAlign w:val="bottom"/>
            <w:shd w:val="clear" w:color="auto" w:fill="005CB9"/>
          </w:tcPr>
          <w:p>
            <w:pPr>
              <w:jc w:val="center"/>
              <w:ind w:right="89"/>
              <w:spacing w:after="0"/>
              <w:rPr>
                <w:sz w:val="20"/>
                <w:szCs w:val="20"/>
                <w:color w:val="auto"/>
              </w:rPr>
            </w:pPr>
            <w:r>
              <w:rPr>
                <w:rFonts w:ascii="Arial" w:cs="Arial" w:eastAsia="Arial" w:hAnsi="Arial"/>
                <w:sz w:val="14"/>
                <w:szCs w:val="14"/>
                <w:b w:val="1"/>
                <w:bCs w:val="1"/>
                <w:color w:val="FFFFFF"/>
              </w:rPr>
              <w:t>Deferred</w:t>
            </w:r>
          </w:p>
        </w:tc>
        <w:tc>
          <w:tcPr>
            <w:tcW w:w="204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r>
      <w:tr>
        <w:trPr>
          <w:trHeight w:val="157"/>
        </w:trPr>
        <w:tc>
          <w:tcPr>
            <w:tcW w:w="2500" w:type="dxa"/>
            <w:vAlign w:val="bottom"/>
            <w:shd w:val="clear" w:color="auto" w:fill="005CB9"/>
          </w:tcPr>
          <w:p>
            <w:pPr>
              <w:spacing w:after="0"/>
              <w:rPr>
                <w:sz w:val="13"/>
                <w:szCs w:val="13"/>
                <w:color w:val="auto"/>
              </w:rPr>
            </w:pPr>
          </w:p>
        </w:tc>
        <w:tc>
          <w:tcPr>
            <w:tcW w:w="1760" w:type="dxa"/>
            <w:vAlign w:val="bottom"/>
            <w:shd w:val="clear" w:color="auto" w:fill="005CB9"/>
          </w:tcPr>
          <w:p>
            <w:pPr>
              <w:jc w:val="right"/>
              <w:ind w:right="229"/>
              <w:spacing w:after="0" w:line="157" w:lineRule="exact"/>
              <w:rPr>
                <w:sz w:val="20"/>
                <w:szCs w:val="20"/>
                <w:color w:val="auto"/>
              </w:rPr>
            </w:pPr>
            <w:r>
              <w:rPr>
                <w:rFonts w:ascii="Arial" w:cs="Arial" w:eastAsia="Arial" w:hAnsi="Arial"/>
                <w:sz w:val="14"/>
                <w:szCs w:val="14"/>
                <w:b w:val="1"/>
                <w:bCs w:val="1"/>
                <w:color w:val="FFFFFF"/>
              </w:rPr>
              <w:t>Fees Earned or</w:t>
            </w:r>
          </w:p>
        </w:tc>
        <w:tc>
          <w:tcPr>
            <w:tcW w:w="1640" w:type="dxa"/>
            <w:vAlign w:val="bottom"/>
            <w:shd w:val="clear" w:color="auto" w:fill="005CB9"/>
          </w:tcPr>
          <w:p>
            <w:pPr>
              <w:jc w:val="right"/>
              <w:ind w:right="549"/>
              <w:spacing w:after="0" w:line="157" w:lineRule="exact"/>
              <w:rPr>
                <w:sz w:val="20"/>
                <w:szCs w:val="20"/>
                <w:color w:val="auto"/>
              </w:rPr>
            </w:pPr>
            <w:r>
              <w:rPr>
                <w:rFonts w:ascii="Arial" w:cs="Arial" w:eastAsia="Arial" w:hAnsi="Arial"/>
                <w:sz w:val="14"/>
                <w:szCs w:val="14"/>
                <w:b w:val="1"/>
                <w:bCs w:val="1"/>
                <w:color w:val="FFFFFF"/>
              </w:rPr>
              <w:t>Stock</w:t>
            </w:r>
          </w:p>
        </w:tc>
        <w:tc>
          <w:tcPr>
            <w:tcW w:w="1900" w:type="dxa"/>
            <w:vAlign w:val="bottom"/>
            <w:shd w:val="clear" w:color="auto" w:fill="005CB9"/>
          </w:tcPr>
          <w:p>
            <w:pPr>
              <w:jc w:val="center"/>
              <w:ind w:right="89"/>
              <w:spacing w:after="0" w:line="157" w:lineRule="exact"/>
              <w:rPr>
                <w:sz w:val="20"/>
                <w:szCs w:val="20"/>
                <w:color w:val="auto"/>
              </w:rPr>
            </w:pPr>
            <w:r>
              <w:rPr>
                <w:rFonts w:ascii="Arial" w:cs="Arial" w:eastAsia="Arial" w:hAnsi="Arial"/>
                <w:sz w:val="14"/>
                <w:szCs w:val="14"/>
                <w:b w:val="1"/>
                <w:bCs w:val="1"/>
                <w:color w:val="FFFFFF"/>
              </w:rPr>
              <w:t>Compensation</w:t>
            </w:r>
          </w:p>
        </w:tc>
        <w:tc>
          <w:tcPr>
            <w:tcW w:w="2040" w:type="dxa"/>
            <w:vAlign w:val="bottom"/>
            <w:shd w:val="clear" w:color="auto" w:fill="005CB9"/>
          </w:tcPr>
          <w:p>
            <w:pPr>
              <w:jc w:val="right"/>
              <w:ind w:right="689"/>
              <w:spacing w:after="0" w:line="157" w:lineRule="exact"/>
              <w:rPr>
                <w:sz w:val="20"/>
                <w:szCs w:val="20"/>
                <w:color w:val="auto"/>
              </w:rPr>
            </w:pPr>
            <w:r>
              <w:rPr>
                <w:rFonts w:ascii="Arial" w:cs="Arial" w:eastAsia="Arial" w:hAnsi="Arial"/>
                <w:sz w:val="14"/>
                <w:szCs w:val="14"/>
                <w:b w:val="1"/>
                <w:bCs w:val="1"/>
                <w:color w:val="FFFFFF"/>
              </w:rPr>
              <w:t>All Other</w:t>
            </w:r>
          </w:p>
        </w:tc>
        <w:tc>
          <w:tcPr>
            <w:tcW w:w="1080" w:type="dxa"/>
            <w:vAlign w:val="bottom"/>
            <w:shd w:val="clear" w:color="auto" w:fill="005CB9"/>
          </w:tcPr>
          <w:p>
            <w:pPr>
              <w:spacing w:after="0"/>
              <w:rPr>
                <w:sz w:val="13"/>
                <w:szCs w:val="13"/>
                <w:color w:val="auto"/>
              </w:rPr>
            </w:pPr>
          </w:p>
        </w:tc>
      </w:tr>
      <w:tr>
        <w:trPr>
          <w:trHeight w:val="241"/>
        </w:trPr>
        <w:tc>
          <w:tcPr>
            <w:tcW w:w="250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Name</w:t>
            </w:r>
          </w:p>
        </w:tc>
        <w:tc>
          <w:tcPr>
            <w:tcW w:w="1760" w:type="dxa"/>
            <w:vAlign w:val="bottom"/>
            <w:shd w:val="clear" w:color="auto" w:fill="005CB9"/>
          </w:tcPr>
          <w:p>
            <w:pPr>
              <w:jc w:val="right"/>
              <w:ind w:right="309"/>
              <w:spacing w:after="0"/>
              <w:rPr>
                <w:sz w:val="20"/>
                <w:szCs w:val="20"/>
                <w:color w:val="auto"/>
              </w:rPr>
            </w:pPr>
            <w:r>
              <w:rPr>
                <w:rFonts w:ascii="Arial" w:cs="Arial" w:eastAsia="Arial" w:hAnsi="Arial"/>
                <w:sz w:val="14"/>
                <w:szCs w:val="14"/>
                <w:b w:val="1"/>
                <w:bCs w:val="1"/>
                <w:color w:val="FFFFFF"/>
              </w:rPr>
              <w:t>Paid in Cash</w:t>
            </w:r>
          </w:p>
        </w:tc>
        <w:tc>
          <w:tcPr>
            <w:tcW w:w="1640" w:type="dxa"/>
            <w:vAlign w:val="bottom"/>
            <w:shd w:val="clear" w:color="auto" w:fill="005CB9"/>
          </w:tcPr>
          <w:p>
            <w:pPr>
              <w:jc w:val="right"/>
              <w:ind w:right="229"/>
              <w:spacing w:after="0"/>
              <w:rPr>
                <w:sz w:val="20"/>
                <w:szCs w:val="20"/>
                <w:color w:val="auto"/>
              </w:rPr>
            </w:pPr>
            <w:r>
              <w:rPr>
                <w:rFonts w:ascii="Arial" w:cs="Arial" w:eastAsia="Arial" w:hAnsi="Arial"/>
                <w:sz w:val="14"/>
                <w:szCs w:val="14"/>
                <w:b w:val="1"/>
                <w:bCs w:val="1"/>
                <w:color w:val="FFFFFF"/>
              </w:rPr>
              <w:t>     Awards</w:t>
            </w:r>
            <w:r>
              <w:rPr>
                <w:rFonts w:ascii="Arial" w:cs="Arial" w:eastAsia="Arial" w:hAnsi="Arial"/>
                <w:sz w:val="21"/>
                <w:szCs w:val="21"/>
                <w:b w:val="1"/>
                <w:bCs w:val="1"/>
                <w:color w:val="FFFFFF"/>
                <w:vertAlign w:val="superscript"/>
              </w:rPr>
              <w:t>(B)</w:t>
            </w:r>
            <w:r>
              <w:rPr>
                <w:rFonts w:ascii="Arial" w:cs="Arial" w:eastAsia="Arial" w:hAnsi="Arial"/>
                <w:sz w:val="14"/>
                <w:szCs w:val="14"/>
                <w:b w:val="1"/>
                <w:bCs w:val="1"/>
                <w:color w:val="FFFFFF"/>
              </w:rPr>
              <w:t xml:space="preserve">    </w:t>
            </w:r>
          </w:p>
        </w:tc>
        <w:tc>
          <w:tcPr>
            <w:tcW w:w="1900" w:type="dxa"/>
            <w:vAlign w:val="bottom"/>
            <w:shd w:val="clear" w:color="auto" w:fill="005CB9"/>
          </w:tcPr>
          <w:p>
            <w:pPr>
              <w:jc w:val="center"/>
              <w:ind w:right="29"/>
              <w:spacing w:after="0"/>
              <w:rPr>
                <w:sz w:val="20"/>
                <w:szCs w:val="20"/>
                <w:color w:val="auto"/>
              </w:rPr>
            </w:pPr>
            <w:r>
              <w:rPr>
                <w:rFonts w:ascii="Arial" w:cs="Arial" w:eastAsia="Arial" w:hAnsi="Arial"/>
                <w:sz w:val="14"/>
                <w:szCs w:val="14"/>
                <w:b w:val="1"/>
                <w:bCs w:val="1"/>
                <w:color w:val="FFFFFF"/>
                <w:w w:val="95"/>
              </w:rPr>
              <w:t>Earnings</w:t>
            </w:r>
            <w:r>
              <w:rPr>
                <w:rFonts w:ascii="Arial" w:cs="Arial" w:eastAsia="Arial" w:hAnsi="Arial"/>
                <w:sz w:val="21"/>
                <w:szCs w:val="21"/>
                <w:b w:val="1"/>
                <w:bCs w:val="1"/>
                <w:color w:val="FFFFFF"/>
                <w:w w:val="95"/>
                <w:vertAlign w:val="superscript"/>
              </w:rPr>
              <w:t>(C)</w:t>
            </w:r>
          </w:p>
        </w:tc>
        <w:tc>
          <w:tcPr>
            <w:tcW w:w="2040" w:type="dxa"/>
            <w:vAlign w:val="bottom"/>
            <w:shd w:val="clear" w:color="auto" w:fill="005CB9"/>
          </w:tcPr>
          <w:p>
            <w:pPr>
              <w:jc w:val="right"/>
              <w:ind w:right="409"/>
              <w:spacing w:after="0"/>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1"/>
                <w:szCs w:val="21"/>
                <w:b w:val="1"/>
                <w:bCs w:val="1"/>
                <w:color w:val="FFFFFF"/>
                <w:vertAlign w:val="superscript"/>
              </w:rPr>
              <w:t>(D)</w:t>
            </w:r>
          </w:p>
        </w:tc>
        <w:tc>
          <w:tcPr>
            <w:tcW w:w="1080" w:type="dxa"/>
            <w:vAlign w:val="bottom"/>
            <w:shd w:val="clear" w:color="auto" w:fill="005CB9"/>
          </w:tcPr>
          <w:p>
            <w:pPr>
              <w:jc w:val="right"/>
              <w:ind w:right="129"/>
              <w:spacing w:after="0"/>
              <w:rPr>
                <w:sz w:val="20"/>
                <w:szCs w:val="20"/>
                <w:color w:val="auto"/>
              </w:rPr>
            </w:pPr>
            <w:r>
              <w:rPr>
                <w:rFonts w:ascii="Arial" w:cs="Arial" w:eastAsia="Arial" w:hAnsi="Arial"/>
                <w:sz w:val="14"/>
                <w:szCs w:val="14"/>
                <w:b w:val="1"/>
                <w:bCs w:val="1"/>
                <w:color w:val="FFFFFF"/>
              </w:rPr>
              <w:t>Total</w:t>
            </w:r>
          </w:p>
        </w:tc>
      </w:tr>
      <w:tr>
        <w:trPr>
          <w:trHeight w:val="247"/>
        </w:trPr>
        <w:tc>
          <w:tcPr>
            <w:tcW w:w="2500" w:type="dxa"/>
            <w:vAlign w:val="bottom"/>
          </w:tcPr>
          <w:p>
            <w:pPr>
              <w:ind w:left="80"/>
              <w:spacing w:after="0"/>
              <w:rPr>
                <w:sz w:val="20"/>
                <w:szCs w:val="20"/>
                <w:color w:val="auto"/>
              </w:rPr>
            </w:pPr>
            <w:r>
              <w:rPr>
                <w:rFonts w:ascii="Arial" w:cs="Arial" w:eastAsia="Arial" w:hAnsi="Arial"/>
                <w:sz w:val="14"/>
                <w:szCs w:val="14"/>
                <w:color w:val="auto"/>
              </w:rPr>
              <w:t>Andrés Conesa</w:t>
            </w:r>
          </w:p>
        </w:tc>
        <w:tc>
          <w:tcPr>
            <w:tcW w:w="1760" w:type="dxa"/>
            <w:vAlign w:val="bottom"/>
          </w:tcPr>
          <w:p>
            <w:pPr>
              <w:jc w:val="right"/>
              <w:ind w:right="229"/>
              <w:spacing w:after="0"/>
              <w:rPr>
                <w:sz w:val="20"/>
                <w:szCs w:val="20"/>
                <w:color w:val="auto"/>
              </w:rPr>
            </w:pPr>
            <w:r>
              <w:rPr>
                <w:rFonts w:ascii="Arial" w:cs="Arial" w:eastAsia="Arial" w:hAnsi="Arial"/>
                <w:sz w:val="14"/>
                <w:szCs w:val="14"/>
                <w:color w:val="auto"/>
              </w:rPr>
              <w:t>$175,000</w:t>
            </w:r>
          </w:p>
        </w:tc>
        <w:tc>
          <w:tcPr>
            <w:tcW w:w="1640" w:type="dxa"/>
            <w:vAlign w:val="bottom"/>
          </w:tcPr>
          <w:p>
            <w:pPr>
              <w:jc w:val="right"/>
              <w:ind w:right="229"/>
              <w:spacing w:after="0"/>
              <w:rPr>
                <w:sz w:val="20"/>
                <w:szCs w:val="20"/>
                <w:color w:val="auto"/>
              </w:rPr>
            </w:pPr>
            <w:r>
              <w:rPr>
                <w:rFonts w:ascii="Arial" w:cs="Arial" w:eastAsia="Arial" w:hAnsi="Arial"/>
                <w:sz w:val="14"/>
                <w:szCs w:val="14"/>
                <w:color w:val="auto"/>
              </w:rPr>
              <w:t>$190,042</w:t>
            </w:r>
          </w:p>
        </w:tc>
        <w:tc>
          <w:tcPr>
            <w:tcW w:w="1900" w:type="dxa"/>
            <w:vAlign w:val="bottom"/>
          </w:tcPr>
          <w:p>
            <w:pPr>
              <w:jc w:val="right"/>
              <w:ind w:right="509"/>
              <w:spacing w:after="0"/>
              <w:rPr>
                <w:sz w:val="20"/>
                <w:szCs w:val="20"/>
                <w:color w:val="auto"/>
              </w:rPr>
            </w:pPr>
            <w:r>
              <w:rPr>
                <w:rFonts w:ascii="Arial" w:cs="Arial" w:eastAsia="Arial" w:hAnsi="Arial"/>
                <w:sz w:val="14"/>
                <w:szCs w:val="14"/>
                <w:color w:val="auto"/>
              </w:rPr>
              <w:t>$  2,582</w:t>
            </w:r>
          </w:p>
        </w:tc>
        <w:tc>
          <w:tcPr>
            <w:tcW w:w="2040" w:type="dxa"/>
            <w:vAlign w:val="bottom"/>
          </w:tcPr>
          <w:p>
            <w:pPr>
              <w:jc w:val="right"/>
              <w:ind w:right="6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$367,624</w:t>
            </w:r>
          </w:p>
        </w:tc>
      </w:tr>
      <w:tr>
        <w:trPr>
          <w:trHeight w:val="48"/>
        </w:trPr>
        <w:tc>
          <w:tcPr>
            <w:tcW w:w="250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640" w:type="dxa"/>
            <w:vAlign w:val="bottom"/>
            <w:tcBorders>
              <w:bottom w:val="single" w:sz="8" w:color="7F7F7F"/>
            </w:tcBorders>
          </w:tcPr>
          <w:p>
            <w:pPr>
              <w:spacing w:after="0"/>
              <w:rPr>
                <w:sz w:val="4"/>
                <w:szCs w:val="4"/>
                <w:color w:val="auto"/>
              </w:rPr>
            </w:pPr>
          </w:p>
        </w:tc>
        <w:tc>
          <w:tcPr>
            <w:tcW w:w="1900" w:type="dxa"/>
            <w:vAlign w:val="bottom"/>
            <w:tcBorders>
              <w:bottom w:val="single" w:sz="8" w:color="7F7F7F"/>
            </w:tcBorders>
          </w:tcPr>
          <w:p>
            <w:pPr>
              <w:spacing w:after="0"/>
              <w:rPr>
                <w:sz w:val="4"/>
                <w:szCs w:val="4"/>
                <w:color w:val="auto"/>
              </w:rPr>
            </w:pPr>
          </w:p>
        </w:tc>
        <w:tc>
          <w:tcPr>
            <w:tcW w:w="204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r>
      <w:tr>
        <w:trPr>
          <w:trHeight w:val="279"/>
        </w:trPr>
        <w:tc>
          <w:tcPr>
            <w:tcW w:w="25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Pablo A. Ferrero</w:t>
            </w:r>
          </w:p>
        </w:tc>
        <w:tc>
          <w:tcPr>
            <w:tcW w:w="176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$160,000</w:t>
            </w:r>
          </w:p>
        </w:tc>
        <w:tc>
          <w:tcPr>
            <w:tcW w:w="164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$190,042</w:t>
            </w:r>
          </w:p>
        </w:tc>
        <w:tc>
          <w:tcPr>
            <w:tcW w:w="1900" w:type="dxa"/>
            <w:vAlign w:val="bottom"/>
            <w:tcBorders>
              <w:bottom w:val="single" w:sz="8" w:color="F2F2F2"/>
            </w:tcBorders>
            <w:shd w:val="clear" w:color="auto" w:fill="F2F2F2"/>
          </w:tcPr>
          <w:p>
            <w:pPr>
              <w:jc w:val="right"/>
              <w:ind w:right="509"/>
              <w:spacing w:after="0"/>
              <w:rPr>
                <w:sz w:val="20"/>
                <w:szCs w:val="20"/>
                <w:color w:val="auto"/>
              </w:rPr>
            </w:pPr>
            <w:r>
              <w:rPr>
                <w:rFonts w:ascii="Arial" w:cs="Arial" w:eastAsia="Arial" w:hAnsi="Arial"/>
                <w:sz w:val="14"/>
                <w:szCs w:val="14"/>
                <w:color w:val="auto"/>
              </w:rPr>
              <w:t>$     422</w:t>
            </w:r>
          </w:p>
        </w:tc>
        <w:tc>
          <w:tcPr>
            <w:tcW w:w="2040" w:type="dxa"/>
            <w:vAlign w:val="bottom"/>
            <w:tcBorders>
              <w:bottom w:val="single" w:sz="8" w:color="F2F2F2"/>
            </w:tcBorders>
            <w:shd w:val="clear" w:color="auto" w:fill="F2F2F2"/>
          </w:tcPr>
          <w:p>
            <w:pPr>
              <w:jc w:val="right"/>
              <w:ind w:right="6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$350,464</w:t>
            </w:r>
          </w:p>
        </w:tc>
      </w:tr>
      <w:tr>
        <w:trPr>
          <w:trHeight w:val="227"/>
        </w:trPr>
        <w:tc>
          <w:tcPr>
            <w:tcW w:w="250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Jennifer M. Kirk</w:t>
            </w:r>
          </w:p>
        </w:tc>
        <w:tc>
          <w:tcPr>
            <w:tcW w:w="1760" w:type="dxa"/>
            <w:vAlign w:val="bottom"/>
            <w:tcBorders>
              <w:top w:val="single" w:sz="8" w:color="7F7F7F"/>
            </w:tcBorders>
          </w:tcPr>
          <w:p>
            <w:pPr>
              <w:jc w:val="right"/>
              <w:ind w:right="229"/>
              <w:spacing w:after="0"/>
              <w:rPr>
                <w:sz w:val="20"/>
                <w:szCs w:val="20"/>
                <w:color w:val="auto"/>
              </w:rPr>
            </w:pPr>
            <w:r>
              <w:rPr>
                <w:rFonts w:ascii="Arial" w:cs="Arial" w:eastAsia="Arial" w:hAnsi="Arial"/>
                <w:sz w:val="14"/>
                <w:szCs w:val="14"/>
                <w:color w:val="auto"/>
              </w:rPr>
              <w:t>$150,000</w:t>
            </w:r>
          </w:p>
        </w:tc>
        <w:tc>
          <w:tcPr>
            <w:tcW w:w="1640" w:type="dxa"/>
            <w:vAlign w:val="bottom"/>
            <w:tcBorders>
              <w:top w:val="single" w:sz="8" w:color="7F7F7F"/>
            </w:tcBorders>
          </w:tcPr>
          <w:p>
            <w:pPr>
              <w:jc w:val="right"/>
              <w:ind w:right="229"/>
              <w:spacing w:after="0"/>
              <w:rPr>
                <w:sz w:val="20"/>
                <w:szCs w:val="20"/>
                <w:color w:val="auto"/>
              </w:rPr>
            </w:pPr>
            <w:r>
              <w:rPr>
                <w:rFonts w:ascii="Arial" w:cs="Arial" w:eastAsia="Arial" w:hAnsi="Arial"/>
                <w:sz w:val="14"/>
                <w:szCs w:val="14"/>
                <w:color w:val="auto"/>
              </w:rPr>
              <w:t>$190,000</w:t>
            </w:r>
          </w:p>
        </w:tc>
        <w:tc>
          <w:tcPr>
            <w:tcW w:w="1900" w:type="dxa"/>
            <w:vAlign w:val="bottom"/>
            <w:tcBorders>
              <w:top w:val="single" w:sz="8" w:color="7F7F7F"/>
            </w:tcBorders>
          </w:tcPr>
          <w:p>
            <w:pPr>
              <w:jc w:val="right"/>
              <w:ind w:right="509"/>
              <w:spacing w:after="0"/>
              <w:rPr>
                <w:sz w:val="20"/>
                <w:szCs w:val="20"/>
                <w:color w:val="auto"/>
              </w:rPr>
            </w:pPr>
            <w:r>
              <w:rPr>
                <w:rFonts w:ascii="Arial" w:cs="Arial" w:eastAsia="Arial" w:hAnsi="Arial"/>
                <w:sz w:val="14"/>
                <w:szCs w:val="14"/>
                <w:color w:val="auto"/>
              </w:rPr>
              <w:t>$     549</w:t>
            </w:r>
          </w:p>
        </w:tc>
        <w:tc>
          <w:tcPr>
            <w:tcW w:w="2040" w:type="dxa"/>
            <w:vAlign w:val="bottom"/>
            <w:tcBorders>
              <w:top w:val="single" w:sz="8" w:color="7F7F7F"/>
            </w:tcBorders>
          </w:tcPr>
          <w:p>
            <w:pPr>
              <w:jc w:val="right"/>
              <w:ind w:right="689"/>
              <w:spacing w:after="0"/>
              <w:rPr>
                <w:sz w:val="20"/>
                <w:szCs w:val="20"/>
                <w:color w:val="auto"/>
              </w:rPr>
            </w:pPr>
            <w:r>
              <w:rPr>
                <w:rFonts w:ascii="Arial" w:cs="Arial" w:eastAsia="Arial" w:hAnsi="Arial"/>
                <w:sz w:val="14"/>
                <w:szCs w:val="14"/>
                <w:color w:val="auto"/>
              </w:rPr>
              <w:t>$25,000</w:t>
            </w:r>
          </w:p>
        </w:tc>
        <w:tc>
          <w:tcPr>
            <w:tcW w:w="108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$365,549</w:t>
            </w:r>
          </w:p>
        </w:tc>
      </w:tr>
      <w:tr>
        <w:trPr>
          <w:trHeight w:val="48"/>
        </w:trPr>
        <w:tc>
          <w:tcPr>
            <w:tcW w:w="250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640" w:type="dxa"/>
            <w:vAlign w:val="bottom"/>
            <w:tcBorders>
              <w:bottom w:val="single" w:sz="8" w:color="7F7F7F"/>
            </w:tcBorders>
          </w:tcPr>
          <w:p>
            <w:pPr>
              <w:spacing w:after="0"/>
              <w:rPr>
                <w:sz w:val="4"/>
                <w:szCs w:val="4"/>
                <w:color w:val="auto"/>
              </w:rPr>
            </w:pPr>
          </w:p>
        </w:tc>
        <w:tc>
          <w:tcPr>
            <w:tcW w:w="1900" w:type="dxa"/>
            <w:vAlign w:val="bottom"/>
            <w:tcBorders>
              <w:bottom w:val="single" w:sz="8" w:color="7F7F7F"/>
            </w:tcBorders>
          </w:tcPr>
          <w:p>
            <w:pPr>
              <w:spacing w:after="0"/>
              <w:rPr>
                <w:sz w:val="4"/>
                <w:szCs w:val="4"/>
                <w:color w:val="auto"/>
              </w:rPr>
            </w:pPr>
          </w:p>
        </w:tc>
        <w:tc>
          <w:tcPr>
            <w:tcW w:w="204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r>
      <w:tr>
        <w:trPr>
          <w:trHeight w:val="279"/>
        </w:trPr>
        <w:tc>
          <w:tcPr>
            <w:tcW w:w="25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Richard J. Mark</w:t>
            </w:r>
          </w:p>
        </w:tc>
        <w:tc>
          <w:tcPr>
            <w:tcW w:w="176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$150,000</w:t>
            </w:r>
          </w:p>
        </w:tc>
        <w:tc>
          <w:tcPr>
            <w:tcW w:w="164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$190,042</w:t>
            </w:r>
          </w:p>
        </w:tc>
        <w:tc>
          <w:tcPr>
            <w:tcW w:w="1900" w:type="dxa"/>
            <w:vAlign w:val="bottom"/>
            <w:tcBorders>
              <w:bottom w:val="single" w:sz="8" w:color="F2F2F2"/>
            </w:tcBorders>
            <w:shd w:val="clear" w:color="auto" w:fill="F2F2F2"/>
          </w:tcPr>
          <w:p>
            <w:pPr>
              <w:jc w:val="right"/>
              <w:ind w:right="509"/>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F2F2F2"/>
            </w:tcBorders>
            <w:shd w:val="clear" w:color="auto" w:fill="F2F2F2"/>
          </w:tcPr>
          <w:p>
            <w:pPr>
              <w:jc w:val="right"/>
              <w:ind w:right="689"/>
              <w:spacing w:after="0"/>
              <w:rPr>
                <w:sz w:val="20"/>
                <w:szCs w:val="20"/>
                <w:color w:val="auto"/>
              </w:rPr>
            </w:pPr>
            <w:r>
              <w:rPr>
                <w:rFonts w:ascii="Arial" w:cs="Arial" w:eastAsia="Arial" w:hAnsi="Arial"/>
                <w:sz w:val="14"/>
                <w:szCs w:val="14"/>
                <w:color w:val="auto"/>
              </w:rPr>
              <w:t>$25,000</w:t>
            </w:r>
          </w:p>
        </w:tc>
        <w:tc>
          <w:tcPr>
            <w:tcW w:w="10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$365,042</w:t>
            </w:r>
          </w:p>
        </w:tc>
      </w:tr>
      <w:tr>
        <w:trPr>
          <w:trHeight w:val="227"/>
        </w:trPr>
        <w:tc>
          <w:tcPr>
            <w:tcW w:w="250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Michael N. Mears</w:t>
            </w:r>
          </w:p>
        </w:tc>
        <w:tc>
          <w:tcPr>
            <w:tcW w:w="1760" w:type="dxa"/>
            <w:vAlign w:val="bottom"/>
            <w:tcBorders>
              <w:top w:val="single" w:sz="8" w:color="7F7F7F"/>
            </w:tcBorders>
          </w:tcPr>
          <w:p>
            <w:pPr>
              <w:jc w:val="right"/>
              <w:ind w:right="229"/>
              <w:spacing w:after="0"/>
              <w:rPr>
                <w:sz w:val="20"/>
                <w:szCs w:val="20"/>
                <w:color w:val="auto"/>
              </w:rPr>
            </w:pPr>
            <w:r>
              <w:rPr>
                <w:rFonts w:ascii="Arial" w:cs="Arial" w:eastAsia="Arial" w:hAnsi="Arial"/>
                <w:sz w:val="14"/>
                <w:szCs w:val="14"/>
                <w:color w:val="auto"/>
              </w:rPr>
              <w:t>$160,000</w:t>
            </w:r>
          </w:p>
        </w:tc>
        <w:tc>
          <w:tcPr>
            <w:tcW w:w="1640" w:type="dxa"/>
            <w:vAlign w:val="bottom"/>
            <w:tcBorders>
              <w:top w:val="single" w:sz="8" w:color="7F7F7F"/>
            </w:tcBorders>
          </w:tcPr>
          <w:p>
            <w:pPr>
              <w:jc w:val="right"/>
              <w:ind w:right="229"/>
              <w:spacing w:after="0"/>
              <w:rPr>
                <w:sz w:val="20"/>
                <w:szCs w:val="20"/>
                <w:color w:val="auto"/>
              </w:rPr>
            </w:pPr>
            <w:r>
              <w:rPr>
                <w:rFonts w:ascii="Arial" w:cs="Arial" w:eastAsia="Arial" w:hAnsi="Arial"/>
                <w:sz w:val="14"/>
                <w:szCs w:val="14"/>
                <w:color w:val="auto"/>
              </w:rPr>
              <w:t>$190,000</w:t>
            </w:r>
          </w:p>
        </w:tc>
        <w:tc>
          <w:tcPr>
            <w:tcW w:w="1900" w:type="dxa"/>
            <w:vAlign w:val="bottom"/>
            <w:tcBorders>
              <w:top w:val="single" w:sz="8" w:color="7F7F7F"/>
            </w:tcBorders>
          </w:tcPr>
          <w:p>
            <w:pPr>
              <w:jc w:val="right"/>
              <w:ind w:right="509"/>
              <w:spacing w:after="0"/>
              <w:rPr>
                <w:sz w:val="20"/>
                <w:szCs w:val="20"/>
                <w:color w:val="auto"/>
              </w:rPr>
            </w:pPr>
            <w:r>
              <w:rPr>
                <w:rFonts w:ascii="Arial" w:cs="Arial" w:eastAsia="Arial" w:hAnsi="Arial"/>
                <w:sz w:val="14"/>
                <w:szCs w:val="14"/>
                <w:color w:val="auto"/>
              </w:rPr>
              <w:t>$  4,183</w:t>
            </w:r>
          </w:p>
        </w:tc>
        <w:tc>
          <w:tcPr>
            <w:tcW w:w="2040" w:type="dxa"/>
            <w:vAlign w:val="bottom"/>
            <w:tcBorders>
              <w:top w:val="single" w:sz="8" w:color="7F7F7F"/>
            </w:tcBorders>
          </w:tcPr>
          <w:p>
            <w:pPr>
              <w:jc w:val="right"/>
              <w:ind w:right="689"/>
              <w:spacing w:after="0"/>
              <w:rPr>
                <w:sz w:val="20"/>
                <w:szCs w:val="20"/>
                <w:color w:val="auto"/>
              </w:rPr>
            </w:pPr>
            <w:r>
              <w:rPr>
                <w:rFonts w:ascii="Arial" w:cs="Arial" w:eastAsia="Arial" w:hAnsi="Arial"/>
                <w:sz w:val="14"/>
                <w:szCs w:val="14"/>
                <w:color w:val="auto"/>
              </w:rPr>
              <w:t>$25,000</w:t>
            </w:r>
          </w:p>
        </w:tc>
        <w:tc>
          <w:tcPr>
            <w:tcW w:w="108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$379,183</w:t>
            </w:r>
          </w:p>
        </w:tc>
      </w:tr>
      <w:tr>
        <w:trPr>
          <w:trHeight w:val="48"/>
        </w:trPr>
        <w:tc>
          <w:tcPr>
            <w:tcW w:w="250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640" w:type="dxa"/>
            <w:vAlign w:val="bottom"/>
            <w:tcBorders>
              <w:bottom w:val="single" w:sz="8" w:color="7F7F7F"/>
            </w:tcBorders>
          </w:tcPr>
          <w:p>
            <w:pPr>
              <w:spacing w:after="0"/>
              <w:rPr>
                <w:sz w:val="4"/>
                <w:szCs w:val="4"/>
                <w:color w:val="auto"/>
              </w:rPr>
            </w:pPr>
          </w:p>
        </w:tc>
        <w:tc>
          <w:tcPr>
            <w:tcW w:w="1900" w:type="dxa"/>
            <w:vAlign w:val="bottom"/>
            <w:tcBorders>
              <w:bottom w:val="single" w:sz="8" w:color="7F7F7F"/>
            </w:tcBorders>
          </w:tcPr>
          <w:p>
            <w:pPr>
              <w:spacing w:after="0"/>
              <w:rPr>
                <w:sz w:val="4"/>
                <w:szCs w:val="4"/>
                <w:color w:val="auto"/>
              </w:rPr>
            </w:pPr>
          </w:p>
        </w:tc>
        <w:tc>
          <w:tcPr>
            <w:tcW w:w="204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r>
      <w:tr>
        <w:trPr>
          <w:trHeight w:val="274"/>
        </w:trPr>
        <w:tc>
          <w:tcPr>
            <w:tcW w:w="250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Kevin C. Sagara</w:t>
            </w:r>
            <w:r>
              <w:rPr>
                <w:rFonts w:ascii="Arial" w:cs="Arial" w:eastAsia="Arial" w:hAnsi="Arial"/>
                <w:sz w:val="21"/>
                <w:szCs w:val="21"/>
                <w:color w:val="auto"/>
                <w:vertAlign w:val="superscript"/>
              </w:rPr>
              <w:t>(A)</w:t>
            </w:r>
          </w:p>
        </w:tc>
        <w:tc>
          <w:tcPr>
            <w:tcW w:w="1760" w:type="dxa"/>
            <w:vAlign w:val="bottom"/>
            <w:tcBorders>
              <w:bottom w:val="single" w:sz="8" w:color="7F7F7F"/>
            </w:tcBorders>
            <w:shd w:val="clear" w:color="auto" w:fill="F2F2F2"/>
          </w:tcPr>
          <w:p>
            <w:pPr>
              <w:jc w:val="right"/>
              <w:ind w:right="229"/>
              <w:spacing w:after="0"/>
              <w:rPr>
                <w:sz w:val="20"/>
                <w:szCs w:val="20"/>
                <w:color w:val="auto"/>
              </w:rPr>
            </w:pPr>
            <w:r>
              <w:rPr>
                <w:rFonts w:ascii="Arial" w:cs="Arial" w:eastAsia="Arial" w:hAnsi="Arial"/>
                <w:sz w:val="14"/>
                <w:szCs w:val="14"/>
                <w:color w:val="auto"/>
              </w:rPr>
              <w:t>$108,694</w:t>
            </w:r>
          </w:p>
        </w:tc>
        <w:tc>
          <w:tcPr>
            <w:tcW w:w="1640" w:type="dxa"/>
            <w:vAlign w:val="bottom"/>
            <w:tcBorders>
              <w:bottom w:val="single" w:sz="8" w:color="7F7F7F"/>
            </w:tcBorders>
            <w:shd w:val="clear" w:color="auto" w:fill="F2F2F2"/>
          </w:tcPr>
          <w:p>
            <w:pPr>
              <w:jc w:val="right"/>
              <w:ind w:right="229"/>
              <w:spacing w:after="0"/>
              <w:rPr>
                <w:sz w:val="20"/>
                <w:szCs w:val="20"/>
                <w:color w:val="auto"/>
              </w:rPr>
            </w:pPr>
            <w:r>
              <w:rPr>
                <w:rFonts w:ascii="Arial" w:cs="Arial" w:eastAsia="Arial" w:hAnsi="Arial"/>
                <w:sz w:val="14"/>
                <w:szCs w:val="14"/>
                <w:color w:val="auto"/>
              </w:rPr>
              <w:t>$180,000</w:t>
            </w:r>
          </w:p>
        </w:tc>
        <w:tc>
          <w:tcPr>
            <w:tcW w:w="1900" w:type="dxa"/>
            <w:vAlign w:val="bottom"/>
            <w:tcBorders>
              <w:bottom w:val="single" w:sz="8" w:color="7F7F7F"/>
            </w:tcBorders>
            <w:shd w:val="clear" w:color="auto" w:fill="F2F2F2"/>
          </w:tcPr>
          <w:p>
            <w:pPr>
              <w:jc w:val="right"/>
              <w:ind w:right="509"/>
              <w:spacing w:after="0"/>
              <w:rPr>
                <w:sz w:val="20"/>
                <w:szCs w:val="20"/>
                <w:color w:val="auto"/>
              </w:rPr>
            </w:pPr>
            <w:r>
              <w:rPr>
                <w:rFonts w:ascii="Arial" w:cs="Arial" w:eastAsia="Arial" w:hAnsi="Arial"/>
                <w:sz w:val="14"/>
                <w:szCs w:val="14"/>
                <w:color w:val="auto"/>
              </w:rPr>
              <w:t>$55,373</w:t>
            </w:r>
          </w:p>
        </w:tc>
        <w:tc>
          <w:tcPr>
            <w:tcW w:w="2040" w:type="dxa"/>
            <w:vAlign w:val="bottom"/>
            <w:tcBorders>
              <w:bottom w:val="single" w:sz="8" w:color="7F7F7F"/>
            </w:tcBorders>
            <w:shd w:val="clear" w:color="auto" w:fill="F2F2F2"/>
          </w:tcPr>
          <w:p>
            <w:pPr>
              <w:jc w:val="right"/>
              <w:ind w:right="689"/>
              <w:spacing w:after="0"/>
              <w:rPr>
                <w:sz w:val="20"/>
                <w:szCs w:val="20"/>
                <w:color w:val="auto"/>
              </w:rPr>
            </w:pPr>
            <w:r>
              <w:rPr>
                <w:rFonts w:ascii="Arial" w:cs="Arial" w:eastAsia="Arial" w:hAnsi="Arial"/>
                <w:sz w:val="14"/>
                <w:szCs w:val="14"/>
                <w:color w:val="auto"/>
              </w:rPr>
              <w:t>$14,000</w:t>
            </w:r>
          </w:p>
        </w:tc>
        <w:tc>
          <w:tcPr>
            <w:tcW w:w="108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4"/>
                <w:szCs w:val="14"/>
                <w:color w:val="auto"/>
              </w:rPr>
              <w:t>$358,067</w:t>
            </w:r>
          </w:p>
        </w:tc>
      </w:tr>
      <w:tr>
        <w:trPr>
          <w:trHeight w:val="227"/>
        </w:trPr>
        <w:tc>
          <w:tcPr>
            <w:tcW w:w="2500" w:type="dxa"/>
            <w:vAlign w:val="bottom"/>
          </w:tcPr>
          <w:p>
            <w:pPr>
              <w:ind w:left="80"/>
              <w:spacing w:after="0"/>
              <w:rPr>
                <w:sz w:val="20"/>
                <w:szCs w:val="20"/>
                <w:color w:val="auto"/>
              </w:rPr>
            </w:pPr>
            <w:r>
              <w:rPr>
                <w:rFonts w:ascii="Arial" w:cs="Arial" w:eastAsia="Arial" w:hAnsi="Arial"/>
                <w:sz w:val="14"/>
                <w:szCs w:val="14"/>
                <w:color w:val="auto"/>
              </w:rPr>
              <w:t>Jack T. Taylor</w:t>
            </w:r>
          </w:p>
        </w:tc>
        <w:tc>
          <w:tcPr>
            <w:tcW w:w="1760" w:type="dxa"/>
            <w:vAlign w:val="bottom"/>
          </w:tcPr>
          <w:p>
            <w:pPr>
              <w:jc w:val="right"/>
              <w:ind w:right="229"/>
              <w:spacing w:after="0"/>
              <w:rPr>
                <w:sz w:val="20"/>
                <w:szCs w:val="20"/>
                <w:color w:val="auto"/>
              </w:rPr>
            </w:pPr>
            <w:r>
              <w:rPr>
                <w:rFonts w:ascii="Arial" w:cs="Arial" w:eastAsia="Arial" w:hAnsi="Arial"/>
                <w:sz w:val="14"/>
                <w:szCs w:val="14"/>
                <w:color w:val="auto"/>
              </w:rPr>
              <w:t>$180,000</w:t>
            </w:r>
          </w:p>
        </w:tc>
        <w:tc>
          <w:tcPr>
            <w:tcW w:w="1640" w:type="dxa"/>
            <w:vAlign w:val="bottom"/>
          </w:tcPr>
          <w:p>
            <w:pPr>
              <w:jc w:val="right"/>
              <w:ind w:right="229"/>
              <w:spacing w:after="0"/>
              <w:rPr>
                <w:sz w:val="20"/>
                <w:szCs w:val="20"/>
                <w:color w:val="auto"/>
              </w:rPr>
            </w:pPr>
            <w:r>
              <w:rPr>
                <w:rFonts w:ascii="Arial" w:cs="Arial" w:eastAsia="Arial" w:hAnsi="Arial"/>
                <w:sz w:val="14"/>
                <w:szCs w:val="14"/>
                <w:color w:val="auto"/>
              </w:rPr>
              <w:t>$190,000</w:t>
            </w:r>
          </w:p>
        </w:tc>
        <w:tc>
          <w:tcPr>
            <w:tcW w:w="1900" w:type="dxa"/>
            <w:vAlign w:val="bottom"/>
          </w:tcPr>
          <w:p>
            <w:pPr>
              <w:jc w:val="right"/>
              <w:ind w:right="509"/>
              <w:spacing w:after="0"/>
              <w:rPr>
                <w:sz w:val="20"/>
                <w:szCs w:val="20"/>
                <w:color w:val="auto"/>
              </w:rPr>
            </w:pPr>
            <w:r>
              <w:rPr>
                <w:rFonts w:ascii="Arial" w:cs="Arial" w:eastAsia="Arial" w:hAnsi="Arial"/>
                <w:sz w:val="14"/>
                <w:szCs w:val="14"/>
                <w:color w:val="auto"/>
              </w:rPr>
              <w:t>$  4,224</w:t>
            </w:r>
          </w:p>
        </w:tc>
        <w:tc>
          <w:tcPr>
            <w:tcW w:w="2040" w:type="dxa"/>
            <w:vAlign w:val="bottom"/>
          </w:tcPr>
          <w:p>
            <w:pPr>
              <w:jc w:val="right"/>
              <w:ind w:right="689"/>
              <w:spacing w:after="0"/>
              <w:rPr>
                <w:sz w:val="20"/>
                <w:szCs w:val="20"/>
                <w:color w:val="auto"/>
              </w:rPr>
            </w:pPr>
            <w:r>
              <w:rPr>
                <w:rFonts w:ascii="Arial" w:cs="Arial" w:eastAsia="Arial" w:hAnsi="Arial"/>
                <w:sz w:val="14"/>
                <w:szCs w:val="14"/>
                <w:color w:val="auto"/>
              </w:rPr>
              <w:t>$14,500</w:t>
            </w:r>
          </w:p>
        </w:tc>
        <w:tc>
          <w:tcPr>
            <w:tcW w:w="1080" w:type="dxa"/>
            <w:vAlign w:val="bottom"/>
          </w:tcPr>
          <w:p>
            <w:pPr>
              <w:jc w:val="right"/>
              <w:spacing w:after="0"/>
              <w:rPr>
                <w:sz w:val="20"/>
                <w:szCs w:val="20"/>
                <w:color w:val="auto"/>
              </w:rPr>
            </w:pPr>
            <w:r>
              <w:rPr>
                <w:rFonts w:ascii="Arial" w:cs="Arial" w:eastAsia="Arial" w:hAnsi="Arial"/>
                <w:sz w:val="14"/>
                <w:szCs w:val="14"/>
                <w:color w:val="auto"/>
              </w:rPr>
              <w:t>$388,724</w:t>
            </w:r>
          </w:p>
        </w:tc>
      </w:tr>
      <w:tr>
        <w:trPr>
          <w:trHeight w:val="48"/>
        </w:trPr>
        <w:tc>
          <w:tcPr>
            <w:tcW w:w="2500" w:type="dxa"/>
            <w:vAlign w:val="bottom"/>
            <w:tcBorders>
              <w:bottom w:val="single" w:sz="8" w:color="7F7F7F"/>
            </w:tcBorders>
          </w:tcPr>
          <w:p>
            <w:pPr>
              <w:spacing w:after="0"/>
              <w:rPr>
                <w:sz w:val="4"/>
                <w:szCs w:val="4"/>
                <w:color w:val="auto"/>
              </w:rPr>
            </w:pPr>
          </w:p>
        </w:tc>
        <w:tc>
          <w:tcPr>
            <w:tcW w:w="1760" w:type="dxa"/>
            <w:vAlign w:val="bottom"/>
            <w:tcBorders>
              <w:bottom w:val="single" w:sz="8" w:color="7F7F7F"/>
            </w:tcBorders>
          </w:tcPr>
          <w:p>
            <w:pPr>
              <w:spacing w:after="0"/>
              <w:rPr>
                <w:sz w:val="4"/>
                <w:szCs w:val="4"/>
                <w:color w:val="auto"/>
              </w:rPr>
            </w:pPr>
          </w:p>
        </w:tc>
        <w:tc>
          <w:tcPr>
            <w:tcW w:w="1640" w:type="dxa"/>
            <w:vAlign w:val="bottom"/>
            <w:tcBorders>
              <w:bottom w:val="single" w:sz="8" w:color="7F7F7F"/>
            </w:tcBorders>
          </w:tcPr>
          <w:p>
            <w:pPr>
              <w:spacing w:after="0"/>
              <w:rPr>
                <w:sz w:val="4"/>
                <w:szCs w:val="4"/>
                <w:color w:val="auto"/>
              </w:rPr>
            </w:pPr>
          </w:p>
        </w:tc>
        <w:tc>
          <w:tcPr>
            <w:tcW w:w="1900" w:type="dxa"/>
            <w:vAlign w:val="bottom"/>
            <w:tcBorders>
              <w:bottom w:val="single" w:sz="8" w:color="7F7F7F"/>
            </w:tcBorders>
          </w:tcPr>
          <w:p>
            <w:pPr>
              <w:spacing w:after="0"/>
              <w:rPr>
                <w:sz w:val="4"/>
                <w:szCs w:val="4"/>
                <w:color w:val="auto"/>
              </w:rPr>
            </w:pPr>
          </w:p>
        </w:tc>
        <w:tc>
          <w:tcPr>
            <w:tcW w:w="2040" w:type="dxa"/>
            <w:vAlign w:val="bottom"/>
            <w:tcBorders>
              <w:bottom w:val="single" w:sz="8" w:color="7F7F7F"/>
            </w:tcBorders>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r>
      <w:tr>
        <w:trPr>
          <w:trHeight w:val="279"/>
        </w:trPr>
        <w:tc>
          <w:tcPr>
            <w:tcW w:w="25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Cynthia J. Warner</w:t>
            </w:r>
          </w:p>
        </w:tc>
        <w:tc>
          <w:tcPr>
            <w:tcW w:w="176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$200,000</w:t>
            </w:r>
          </w:p>
        </w:tc>
        <w:tc>
          <w:tcPr>
            <w:tcW w:w="164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$190,000</w:t>
            </w:r>
          </w:p>
        </w:tc>
        <w:tc>
          <w:tcPr>
            <w:tcW w:w="1900" w:type="dxa"/>
            <w:vAlign w:val="bottom"/>
            <w:tcBorders>
              <w:bottom w:val="single" w:sz="8" w:color="F2F2F2"/>
            </w:tcBorders>
            <w:shd w:val="clear" w:color="auto" w:fill="F2F2F2"/>
          </w:tcPr>
          <w:p>
            <w:pPr>
              <w:jc w:val="right"/>
              <w:ind w:right="509"/>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F2F2F2"/>
            </w:tcBorders>
            <w:shd w:val="clear" w:color="auto" w:fill="F2F2F2"/>
          </w:tcPr>
          <w:p>
            <w:pPr>
              <w:jc w:val="right"/>
              <w:ind w:right="689"/>
              <w:spacing w:after="0"/>
              <w:rPr>
                <w:sz w:val="20"/>
                <w:szCs w:val="20"/>
                <w:color w:val="auto"/>
              </w:rPr>
            </w:pPr>
            <w:r>
              <w:rPr>
                <w:rFonts w:ascii="Arial" w:cs="Arial" w:eastAsia="Arial" w:hAnsi="Arial"/>
                <w:sz w:val="14"/>
                <w:szCs w:val="14"/>
                <w:color w:val="auto"/>
              </w:rPr>
              <w:t>$25,000</w:t>
            </w:r>
          </w:p>
        </w:tc>
        <w:tc>
          <w:tcPr>
            <w:tcW w:w="10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$415,000</w:t>
            </w:r>
          </w:p>
        </w:tc>
      </w:tr>
      <w:tr>
        <w:trPr>
          <w:trHeight w:val="274"/>
        </w:trPr>
        <w:tc>
          <w:tcPr>
            <w:tcW w:w="250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color w:val="auto"/>
              </w:rPr>
              <w:t>Anya Weaving</w:t>
            </w:r>
            <w:r>
              <w:rPr>
                <w:rFonts w:ascii="Arial" w:cs="Arial" w:eastAsia="Arial" w:hAnsi="Arial"/>
                <w:sz w:val="21"/>
                <w:szCs w:val="21"/>
                <w:color w:val="auto"/>
                <w:vertAlign w:val="superscript"/>
              </w:rPr>
              <w:t>(A)</w:t>
            </w:r>
          </w:p>
        </w:tc>
        <w:tc>
          <w:tcPr>
            <w:tcW w:w="1760" w:type="dxa"/>
            <w:vAlign w:val="bottom"/>
            <w:tcBorders>
              <w:top w:val="single" w:sz="8" w:color="7F7F7F"/>
              <w:bottom w:val="single" w:sz="8" w:color="7F7F7F"/>
            </w:tcBorders>
          </w:tcPr>
          <w:p>
            <w:pPr>
              <w:jc w:val="right"/>
              <w:ind w:right="229"/>
              <w:spacing w:after="0"/>
              <w:rPr>
                <w:sz w:val="20"/>
                <w:szCs w:val="20"/>
                <w:color w:val="auto"/>
              </w:rPr>
            </w:pPr>
            <w:r>
              <w:rPr>
                <w:rFonts w:ascii="Arial" w:cs="Arial" w:eastAsia="Arial" w:hAnsi="Arial"/>
                <w:sz w:val="14"/>
                <w:szCs w:val="14"/>
                <w:color w:val="auto"/>
              </w:rPr>
              <w:t>$125,417</w:t>
            </w:r>
          </w:p>
        </w:tc>
        <w:tc>
          <w:tcPr>
            <w:tcW w:w="1640" w:type="dxa"/>
            <w:vAlign w:val="bottom"/>
            <w:tcBorders>
              <w:top w:val="single" w:sz="8" w:color="7F7F7F"/>
              <w:bottom w:val="single" w:sz="8" w:color="7F7F7F"/>
            </w:tcBorders>
          </w:tcPr>
          <w:p>
            <w:pPr>
              <w:jc w:val="right"/>
              <w:ind w:right="229"/>
              <w:spacing w:after="0"/>
              <w:rPr>
                <w:sz w:val="20"/>
                <w:szCs w:val="20"/>
                <w:color w:val="auto"/>
              </w:rPr>
            </w:pPr>
            <w:r>
              <w:rPr>
                <w:rFonts w:ascii="Arial" w:cs="Arial" w:eastAsia="Arial" w:hAnsi="Arial"/>
                <w:sz w:val="14"/>
                <w:szCs w:val="14"/>
                <w:color w:val="auto"/>
              </w:rPr>
              <w:t>$180,069</w:t>
            </w:r>
          </w:p>
        </w:tc>
        <w:tc>
          <w:tcPr>
            <w:tcW w:w="1900" w:type="dxa"/>
            <w:vAlign w:val="bottom"/>
            <w:tcBorders>
              <w:top w:val="single" w:sz="8" w:color="7F7F7F"/>
              <w:bottom w:val="single" w:sz="8" w:color="7F7F7F"/>
            </w:tcBorders>
          </w:tcPr>
          <w:p>
            <w:pPr>
              <w:jc w:val="right"/>
              <w:ind w:right="509"/>
              <w:spacing w:after="0"/>
              <w:rPr>
                <w:sz w:val="20"/>
                <w:szCs w:val="20"/>
                <w:color w:val="auto"/>
              </w:rPr>
            </w:pPr>
            <w:r>
              <w:rPr>
                <w:rFonts w:ascii="Arial" w:cs="Arial" w:eastAsia="Arial" w:hAnsi="Arial"/>
                <w:sz w:val="14"/>
                <w:szCs w:val="14"/>
                <w:color w:val="auto"/>
              </w:rPr>
              <w:t>—</w:t>
            </w:r>
          </w:p>
        </w:tc>
        <w:tc>
          <w:tcPr>
            <w:tcW w:w="2040" w:type="dxa"/>
            <w:vAlign w:val="bottom"/>
            <w:tcBorders>
              <w:top w:val="single" w:sz="8" w:color="7F7F7F"/>
              <w:bottom w:val="single" w:sz="8" w:color="7F7F7F"/>
            </w:tcBorders>
          </w:tcPr>
          <w:p>
            <w:pPr>
              <w:jc w:val="right"/>
              <w:ind w:right="689"/>
              <w:spacing w:after="0"/>
              <w:rPr>
                <w:sz w:val="20"/>
                <w:szCs w:val="20"/>
                <w:color w:val="auto"/>
              </w:rPr>
            </w:pPr>
            <w:r>
              <w:rPr>
                <w:rFonts w:ascii="Arial" w:cs="Arial" w:eastAsia="Arial" w:hAnsi="Arial"/>
                <w:sz w:val="14"/>
                <w:szCs w:val="14"/>
                <w:color w:val="auto"/>
              </w:rPr>
              <w:t>$25,000</w:t>
            </w:r>
          </w:p>
        </w:tc>
        <w:tc>
          <w:tcPr>
            <w:tcW w:w="108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$330,486</w:t>
            </w:r>
          </w:p>
        </w:tc>
      </w:tr>
      <w:tr>
        <w:trPr>
          <w:trHeight w:val="254"/>
        </w:trPr>
        <w:tc>
          <w:tcPr>
            <w:tcW w:w="25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James C. Yardley</w:t>
            </w:r>
          </w:p>
        </w:tc>
        <w:tc>
          <w:tcPr>
            <w:tcW w:w="176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$140,000</w:t>
            </w:r>
          </w:p>
        </w:tc>
        <w:tc>
          <w:tcPr>
            <w:tcW w:w="164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$190,000</w:t>
            </w:r>
          </w:p>
        </w:tc>
        <w:tc>
          <w:tcPr>
            <w:tcW w:w="1900" w:type="dxa"/>
            <w:vAlign w:val="bottom"/>
            <w:tcBorders>
              <w:bottom w:val="single" w:sz="8" w:color="F2F2F2"/>
            </w:tcBorders>
            <w:shd w:val="clear" w:color="auto" w:fill="F2F2F2"/>
          </w:tcPr>
          <w:p>
            <w:pPr>
              <w:jc w:val="right"/>
              <w:ind w:right="509"/>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F2F2F2"/>
            </w:tcBorders>
            <w:shd w:val="clear" w:color="auto" w:fill="F2F2F2"/>
          </w:tcPr>
          <w:p>
            <w:pPr>
              <w:jc w:val="right"/>
              <w:ind w:right="689"/>
              <w:spacing w:after="0"/>
              <w:rPr>
                <w:sz w:val="20"/>
                <w:szCs w:val="20"/>
                <w:color w:val="auto"/>
              </w:rPr>
            </w:pPr>
            <w:r>
              <w:rPr>
                <w:rFonts w:ascii="Arial" w:cs="Arial" w:eastAsia="Arial" w:hAnsi="Arial"/>
                <w:sz w:val="14"/>
                <w:szCs w:val="14"/>
                <w:color w:val="auto"/>
              </w:rPr>
              <w:t>$25,000</w:t>
            </w:r>
          </w:p>
        </w:tc>
        <w:tc>
          <w:tcPr>
            <w:tcW w:w="10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$355,000</w:t>
            </w:r>
          </w:p>
        </w:tc>
      </w:tr>
      <w:tr>
        <w:trPr>
          <w:trHeight w:val="20"/>
        </w:trPr>
        <w:tc>
          <w:tcPr>
            <w:tcW w:w="2500" w:type="dxa"/>
            <w:vAlign w:val="bottom"/>
            <w:shd w:val="clear" w:color="auto" w:fill="7F7F7F"/>
          </w:tcPr>
          <w:p>
            <w:pPr>
              <w:spacing w:after="0" w:line="20" w:lineRule="exact"/>
              <w:rPr>
                <w:sz w:val="1"/>
                <w:szCs w:val="1"/>
                <w:color w:val="auto"/>
              </w:rPr>
            </w:pPr>
          </w:p>
        </w:tc>
        <w:tc>
          <w:tcPr>
            <w:tcW w:w="1760" w:type="dxa"/>
            <w:vAlign w:val="bottom"/>
            <w:shd w:val="clear" w:color="auto" w:fill="7F7F7F"/>
          </w:tcPr>
          <w:p>
            <w:pPr>
              <w:spacing w:after="0" w:line="20" w:lineRule="exact"/>
              <w:rPr>
                <w:sz w:val="1"/>
                <w:szCs w:val="1"/>
                <w:color w:val="auto"/>
              </w:rPr>
            </w:pPr>
          </w:p>
        </w:tc>
        <w:tc>
          <w:tcPr>
            <w:tcW w:w="1640" w:type="dxa"/>
            <w:vAlign w:val="bottom"/>
            <w:shd w:val="clear" w:color="auto" w:fill="7F7F7F"/>
          </w:tcPr>
          <w:p>
            <w:pPr>
              <w:spacing w:after="0" w:line="20" w:lineRule="exact"/>
              <w:rPr>
                <w:sz w:val="1"/>
                <w:szCs w:val="1"/>
                <w:color w:val="auto"/>
              </w:rPr>
            </w:pPr>
          </w:p>
        </w:tc>
        <w:tc>
          <w:tcPr>
            <w:tcW w:w="1900" w:type="dxa"/>
            <w:vAlign w:val="bottom"/>
            <w:shd w:val="clear" w:color="auto" w:fill="7F7F7F"/>
          </w:tcPr>
          <w:p>
            <w:pPr>
              <w:spacing w:after="0" w:line="20" w:lineRule="exact"/>
              <w:rPr>
                <w:sz w:val="1"/>
                <w:szCs w:val="1"/>
                <w:color w:val="auto"/>
              </w:rPr>
            </w:pPr>
          </w:p>
        </w:tc>
        <w:tc>
          <w:tcPr>
            <w:tcW w:w="2040" w:type="dxa"/>
            <w:vAlign w:val="bottom"/>
            <w:shd w:val="clear" w:color="auto" w:fill="7F7F7F"/>
          </w:tcPr>
          <w:p>
            <w:pPr>
              <w:spacing w:after="0" w:line="20" w:lineRule="exact"/>
              <w:rPr>
                <w:sz w:val="1"/>
                <w:szCs w:val="1"/>
                <w:color w:val="auto"/>
              </w:rPr>
            </w:pPr>
          </w:p>
        </w:tc>
        <w:tc>
          <w:tcPr>
            <w:tcW w:w="1080" w:type="dxa"/>
            <w:vAlign w:val="bottom"/>
            <w:shd w:val="clear" w:color="auto" w:fill="7F7F7F"/>
          </w:tcPr>
          <w:p>
            <w:pPr>
              <w:spacing w:after="0" w:line="20" w:lineRule="exact"/>
              <w:rPr>
                <w:sz w:val="1"/>
                <w:szCs w:val="1"/>
                <w:color w:val="auto"/>
              </w:rPr>
            </w:pPr>
          </w:p>
        </w:tc>
      </w:tr>
    </w:tbl>
    <w:p>
      <w:pPr>
        <w:spacing w:after="0" w:line="62" w:lineRule="exact"/>
        <w:rPr>
          <w:sz w:val="20"/>
          <w:szCs w:val="20"/>
          <w:color w:val="auto"/>
        </w:rPr>
      </w:pPr>
    </w:p>
    <w:p>
      <w:pPr>
        <w:ind w:left="480" w:hanging="313"/>
        <w:spacing w:after="0"/>
        <w:tabs>
          <w:tab w:leader="none" w:pos="4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Sagara and Ms. Weaving joined the board on March 1, 2025.</w:t>
      </w:r>
    </w:p>
    <w:p>
      <w:pPr>
        <w:spacing w:after="0" w:line="35" w:lineRule="exact"/>
        <w:rPr>
          <w:rFonts w:ascii="Arial" w:cs="Arial" w:eastAsia="Arial" w:hAnsi="Arial"/>
          <w:sz w:val="12"/>
          <w:szCs w:val="12"/>
          <w:color w:val="auto"/>
        </w:rPr>
      </w:pPr>
    </w:p>
    <w:p>
      <w:pPr>
        <w:ind w:left="480" w:hanging="313"/>
        <w:spacing w:after="0" w:line="239" w:lineRule="auto"/>
        <w:tabs>
          <w:tab w:leader="none" w:pos="4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Represents the grant date fair value of the equity awards of restricted stock units and phantom shares of our common stock granted during 2025. These amounts reflect our grant date estimate of the aggregate compensation expense that we will recognize over the service period of the awards. They are calculated in accordance with GAAP for financial reporting purposes based on the assumptions described in Note 14 of the Notes to Consolidated Financial Statements included in our 2025 Annual Report to Shareholders but disregarding estimates of forfeitures related to service-based vesting conditions. These awards were valued at the fair market value of shares of our common stock on the grant date without reduction for non-transferability, and the amounts set forth in this column are equal to the number of shares subject to such awards multiplied by the grant date closing price of our common stock. All restricted stock units will be settled in shares of Sempra common stock upon vesting. All phantom shares are paid in cash in accordance with the director’s payout election under the terms of the company’s nonqualified deferred compensation plan following the director’s retirement or other separation from the board. Restricted stock unit awards are rounded up to the next whole number of units at grant, while phantom share awards are not rounded at grant but are rounded to the nearest whole number of shares solely for purposes of presentation in these tables.</w:t>
      </w:r>
    </w:p>
    <w:p>
      <w:pPr>
        <w:spacing w:after="0" w:line="11" w:lineRule="exact"/>
        <w:rPr>
          <w:sz w:val="20"/>
          <w:szCs w:val="20"/>
          <w:color w:val="auto"/>
        </w:rPr>
      </w:pPr>
    </w:p>
    <w:p>
      <w:pPr>
        <w:ind w:left="480" w:hanging="313"/>
        <w:spacing w:after="0"/>
        <w:tabs>
          <w:tab w:leader="none" w:pos="48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following table reflects the components of the stock awards granted to each non-employee director in 2025:</w:t>
      </w:r>
    </w:p>
    <w:p>
      <w:pPr>
        <w:spacing w:after="0" w:line="228" w:lineRule="exact"/>
        <w:rPr>
          <w:sz w:val="20"/>
          <w:szCs w:val="20"/>
          <w:color w:val="auto"/>
        </w:rPr>
      </w:pPr>
    </w:p>
    <w:tbl>
      <w:tblPr>
        <w:tblLayout w:type="fixed"/>
        <w:tblInd w:w="1060" w:type="dxa"/>
        <w:tblCellMar>
          <w:top w:w="0" w:type="dxa"/>
          <w:left w:w="0" w:type="dxa"/>
          <w:bottom w:w="0" w:type="dxa"/>
          <w:right w:w="0" w:type="dxa"/>
        </w:tblCellMar>
      </w:tblPr>
      <w:tr>
        <w:trPr>
          <w:trHeight w:val="201"/>
        </w:trPr>
        <w:tc>
          <w:tcPr>
            <w:tcW w:w="3620" w:type="dxa"/>
            <w:vAlign w:val="bottom"/>
            <w:shd w:val="clear" w:color="auto" w:fill="005CB9"/>
          </w:tcPr>
          <w:p>
            <w:pPr>
              <w:spacing w:after="0"/>
              <w:rPr>
                <w:sz w:val="17"/>
                <w:szCs w:val="17"/>
                <w:color w:val="auto"/>
              </w:rPr>
            </w:pPr>
          </w:p>
        </w:tc>
        <w:tc>
          <w:tcPr>
            <w:tcW w:w="1420" w:type="dxa"/>
            <w:vAlign w:val="bottom"/>
            <w:shd w:val="clear" w:color="auto" w:fill="005CB9"/>
          </w:tcPr>
          <w:p>
            <w:pPr>
              <w:spacing w:after="0"/>
              <w:rPr>
                <w:sz w:val="17"/>
                <w:szCs w:val="17"/>
                <w:color w:val="auto"/>
              </w:rPr>
            </w:pPr>
          </w:p>
        </w:tc>
        <w:tc>
          <w:tcPr>
            <w:tcW w:w="4080" w:type="dxa"/>
            <w:vAlign w:val="bottom"/>
            <w:gridSpan w:val="2"/>
            <w:shd w:val="clear" w:color="auto" w:fill="005CB9"/>
          </w:tcPr>
          <w:p>
            <w:pPr>
              <w:jc w:val="right"/>
              <w:ind w:right="958"/>
              <w:spacing w:after="0"/>
              <w:rPr>
                <w:sz w:val="20"/>
                <w:szCs w:val="20"/>
                <w:color w:val="auto"/>
              </w:rPr>
            </w:pPr>
            <w:r>
              <w:rPr>
                <w:rFonts w:ascii="Arial" w:cs="Arial" w:eastAsia="Arial" w:hAnsi="Arial"/>
                <w:sz w:val="12"/>
                <w:szCs w:val="12"/>
                <w:b w:val="1"/>
                <w:bCs w:val="1"/>
                <w:color w:val="FFFFFF"/>
              </w:rPr>
              <w:t>Initial or Annual Equity Award</w:t>
            </w:r>
          </w:p>
        </w:tc>
        <w:tc>
          <w:tcPr>
            <w:tcW w:w="900" w:type="dxa"/>
            <w:vAlign w:val="bottom"/>
            <w:shd w:val="clear" w:color="auto" w:fill="005CB9"/>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620" w:type="dxa"/>
            <w:vAlign w:val="bottom"/>
            <w:vMerge w:val="restart"/>
            <w:shd w:val="clear" w:color="auto" w:fill="005CB9"/>
          </w:tcPr>
          <w:p>
            <w:pPr>
              <w:ind w:left="60"/>
              <w:spacing w:after="0"/>
              <w:rPr>
                <w:sz w:val="20"/>
                <w:szCs w:val="20"/>
                <w:color w:val="auto"/>
              </w:rPr>
            </w:pPr>
            <w:r>
              <w:rPr>
                <w:rFonts w:ascii="Arial" w:cs="Arial" w:eastAsia="Arial" w:hAnsi="Arial"/>
                <w:sz w:val="12"/>
                <w:szCs w:val="12"/>
                <w:b w:val="1"/>
                <w:bCs w:val="1"/>
                <w:color w:val="FFFFFF"/>
              </w:rPr>
              <w:t>Name</w:t>
            </w:r>
          </w:p>
        </w:tc>
        <w:tc>
          <w:tcPr>
            <w:tcW w:w="1420" w:type="dxa"/>
            <w:vAlign w:val="bottom"/>
            <w:shd w:val="clear" w:color="auto" w:fill="005CB9"/>
          </w:tcPr>
          <w:p>
            <w:pPr>
              <w:jc w:val="right"/>
              <w:ind w:right="98"/>
              <w:spacing w:after="0"/>
              <w:rPr>
                <w:sz w:val="20"/>
                <w:szCs w:val="20"/>
                <w:color w:val="auto"/>
              </w:rPr>
            </w:pPr>
            <w:r>
              <w:rPr>
                <w:rFonts w:ascii="Arial" w:cs="Arial" w:eastAsia="Arial" w:hAnsi="Arial"/>
                <w:sz w:val="12"/>
                <w:szCs w:val="12"/>
                <w:b w:val="1"/>
                <w:bCs w:val="1"/>
                <w:color w:val="FFFFFF"/>
              </w:rPr>
              <w:t>Mandatory</w:t>
            </w:r>
          </w:p>
        </w:tc>
        <w:tc>
          <w:tcPr>
            <w:tcW w:w="2300" w:type="dxa"/>
            <w:vAlign w:val="bottom"/>
            <w:vMerge w:val="restart"/>
            <w:shd w:val="clear" w:color="auto" w:fill="005CB9"/>
          </w:tcPr>
          <w:p>
            <w:pPr>
              <w:jc w:val="right"/>
              <w:ind w:right="378"/>
              <w:spacing w:after="0"/>
              <w:rPr>
                <w:sz w:val="20"/>
                <w:szCs w:val="20"/>
                <w:color w:val="auto"/>
              </w:rPr>
            </w:pPr>
            <w:r>
              <w:rPr>
                <w:rFonts w:ascii="Arial" w:cs="Arial" w:eastAsia="Arial" w:hAnsi="Arial"/>
                <w:sz w:val="12"/>
                <w:szCs w:val="12"/>
                <w:b w:val="1"/>
                <w:bCs w:val="1"/>
                <w:color w:val="FFFFFF"/>
              </w:rPr>
              <w:t>Phantom Shares</w:t>
            </w:r>
          </w:p>
        </w:tc>
        <w:tc>
          <w:tcPr>
            <w:tcW w:w="1780" w:type="dxa"/>
            <w:vAlign w:val="bottom"/>
            <w:shd w:val="clear" w:color="auto" w:fill="005CB9"/>
          </w:tcPr>
          <w:p>
            <w:pPr>
              <w:jc w:val="right"/>
              <w:ind w:right="278"/>
              <w:spacing w:after="0"/>
              <w:rPr>
                <w:sz w:val="20"/>
                <w:szCs w:val="20"/>
                <w:color w:val="auto"/>
              </w:rPr>
            </w:pPr>
            <w:r>
              <w:rPr>
                <w:rFonts w:ascii="Arial" w:cs="Arial" w:eastAsia="Arial" w:hAnsi="Arial"/>
                <w:sz w:val="12"/>
                <w:szCs w:val="12"/>
                <w:b w:val="1"/>
                <w:bCs w:val="1"/>
                <w:color w:val="FFFFFF"/>
              </w:rPr>
              <w:t>Restricted Stock</w:t>
            </w:r>
          </w:p>
        </w:tc>
        <w:tc>
          <w:tcPr>
            <w:tcW w:w="900" w:type="dxa"/>
            <w:vAlign w:val="bottom"/>
            <w:vMerge w:val="restart"/>
            <w:shd w:val="clear" w:color="auto" w:fill="005CB9"/>
          </w:tcPr>
          <w:p>
            <w:pPr>
              <w:jc w:val="right"/>
              <w:ind w:right="118"/>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005CB9"/>
            </w:tcBorders>
            <w:vMerge w:val="continue"/>
            <w:shd w:val="clear" w:color="auto" w:fill="005CB9"/>
          </w:tcPr>
          <w:p>
            <w:pPr>
              <w:spacing w:after="0"/>
              <w:rPr>
                <w:sz w:val="17"/>
                <w:szCs w:val="17"/>
                <w:color w:val="auto"/>
              </w:rPr>
            </w:pPr>
          </w:p>
        </w:tc>
        <w:tc>
          <w:tcPr>
            <w:tcW w:w="142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2"/>
                <w:szCs w:val="12"/>
                <w:b w:val="1"/>
                <w:bCs w:val="1"/>
                <w:color w:val="FFFFFF"/>
              </w:rPr>
              <w:t>Deferred Equity</w:t>
            </w:r>
          </w:p>
        </w:tc>
        <w:tc>
          <w:tcPr>
            <w:tcW w:w="2300" w:type="dxa"/>
            <w:vAlign w:val="bottom"/>
            <w:tcBorders>
              <w:bottom w:val="single" w:sz="8" w:color="005CB9"/>
            </w:tcBorders>
            <w:vMerge w:val="continue"/>
            <w:shd w:val="clear" w:color="auto" w:fill="005CB9"/>
          </w:tcPr>
          <w:p>
            <w:pPr>
              <w:spacing w:after="0"/>
              <w:rPr>
                <w:sz w:val="17"/>
                <w:szCs w:val="17"/>
                <w:color w:val="auto"/>
              </w:rPr>
            </w:pPr>
          </w:p>
        </w:tc>
        <w:tc>
          <w:tcPr>
            <w:tcW w:w="1780" w:type="dxa"/>
            <w:vAlign w:val="bottom"/>
            <w:tcBorders>
              <w:bottom w:val="single" w:sz="8" w:color="005CB9"/>
            </w:tcBorders>
            <w:shd w:val="clear" w:color="auto" w:fill="005CB9"/>
          </w:tcPr>
          <w:p>
            <w:pPr>
              <w:jc w:val="right"/>
              <w:ind w:right="618"/>
              <w:spacing w:after="0"/>
              <w:rPr>
                <w:sz w:val="20"/>
                <w:szCs w:val="20"/>
                <w:color w:val="auto"/>
              </w:rPr>
            </w:pPr>
            <w:r>
              <w:rPr>
                <w:rFonts w:ascii="Arial" w:cs="Arial" w:eastAsia="Arial" w:hAnsi="Arial"/>
                <w:sz w:val="12"/>
                <w:szCs w:val="12"/>
                <w:b w:val="1"/>
                <w:bCs w:val="1"/>
                <w:color w:val="FFFFFF"/>
              </w:rPr>
              <w:t>Units</w:t>
            </w:r>
          </w:p>
        </w:tc>
        <w:tc>
          <w:tcPr>
            <w:tcW w:w="900" w:type="dxa"/>
            <w:vAlign w:val="bottom"/>
            <w:tcBorders>
              <w:bottom w:val="single" w:sz="8" w:color="005CB9"/>
            </w:tcBorders>
            <w:vMerge w:val="continue"/>
            <w:shd w:val="clear" w:color="auto" w:fill="005CB9"/>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Andrés Conesa</w:t>
            </w:r>
          </w:p>
        </w:tc>
        <w:tc>
          <w:tcPr>
            <w:tcW w:w="1420" w:type="dxa"/>
            <w:vAlign w:val="bottom"/>
            <w:tcBorders>
              <w:bottom w:val="single" w:sz="8" w:color="7F7F7F"/>
            </w:tcBorders>
          </w:tcPr>
          <w:p>
            <w:pPr>
              <w:jc w:val="right"/>
              <w:ind w:right="18"/>
              <w:spacing w:after="0"/>
              <w:rPr>
                <w:sz w:val="20"/>
                <w:szCs w:val="20"/>
                <w:color w:val="auto"/>
              </w:rPr>
            </w:pPr>
            <w:r>
              <w:rPr>
                <w:rFonts w:ascii="Arial" w:cs="Arial" w:eastAsia="Arial" w:hAnsi="Arial"/>
                <w:sz w:val="12"/>
                <w:szCs w:val="12"/>
                <w:color w:val="auto"/>
              </w:rPr>
              <w:t>$50,000</w:t>
            </w:r>
          </w:p>
        </w:tc>
        <w:tc>
          <w:tcPr>
            <w:tcW w:w="2300" w:type="dxa"/>
            <w:vAlign w:val="bottom"/>
            <w:tcBorders>
              <w:bottom w:val="single" w:sz="8" w:color="7F7F7F"/>
            </w:tcBorders>
          </w:tcPr>
          <w:p>
            <w:pPr>
              <w:jc w:val="right"/>
              <w:ind w:right="578"/>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7F7F7F"/>
            </w:tcBorders>
          </w:tcPr>
          <w:p>
            <w:pPr>
              <w:jc w:val="right"/>
              <w:ind w:right="358"/>
              <w:spacing w:after="0"/>
              <w:rPr>
                <w:sz w:val="20"/>
                <w:szCs w:val="20"/>
                <w:color w:val="auto"/>
              </w:rPr>
            </w:pPr>
            <w:r>
              <w:rPr>
                <w:rFonts w:ascii="Arial" w:cs="Arial" w:eastAsia="Arial" w:hAnsi="Arial"/>
                <w:sz w:val="12"/>
                <w:szCs w:val="12"/>
                <w:color w:val="auto"/>
              </w:rPr>
              <w:t>$140,042</w:t>
            </w:r>
          </w:p>
        </w:tc>
        <w:tc>
          <w:tcPr>
            <w:tcW w:w="9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$190,042</w:t>
            </w:r>
          </w:p>
        </w:tc>
        <w:tc>
          <w:tcPr>
            <w:tcW w:w="0" w:type="dxa"/>
            <w:vAlign w:val="bottom"/>
          </w:tcPr>
          <w:p>
            <w:pPr>
              <w:spacing w:after="0"/>
              <w:rPr>
                <w:sz w:val="1"/>
                <w:szCs w:val="1"/>
                <w:color w:val="auto"/>
              </w:rPr>
            </w:pPr>
          </w:p>
        </w:tc>
      </w:tr>
      <w:tr>
        <w:trPr>
          <w:trHeight w:val="252"/>
        </w:trPr>
        <w:tc>
          <w:tcPr>
            <w:tcW w:w="36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Pablo A. Ferrero</w:t>
            </w:r>
          </w:p>
        </w:tc>
        <w:tc>
          <w:tcPr>
            <w:tcW w:w="14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$50,000</w:t>
            </w:r>
          </w:p>
        </w:tc>
        <w:tc>
          <w:tcPr>
            <w:tcW w:w="2300" w:type="dxa"/>
            <w:vAlign w:val="bottom"/>
            <w:tcBorders>
              <w:bottom w:val="single" w:sz="8" w:color="F2F2F2"/>
            </w:tcBorders>
            <w:shd w:val="clear" w:color="auto" w:fill="F2F2F2"/>
          </w:tcPr>
          <w:p>
            <w:pPr>
              <w:jc w:val="right"/>
              <w:ind w:right="578"/>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$140,042</w:t>
            </w:r>
          </w:p>
        </w:tc>
        <w:tc>
          <w:tcPr>
            <w:tcW w:w="9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$190,042</w:t>
            </w:r>
          </w:p>
        </w:tc>
        <w:tc>
          <w:tcPr>
            <w:tcW w:w="0" w:type="dxa"/>
            <w:vAlign w:val="bottom"/>
          </w:tcPr>
          <w:p>
            <w:pPr>
              <w:spacing w:after="0"/>
              <w:rPr>
                <w:sz w:val="1"/>
                <w:szCs w:val="1"/>
                <w:color w:val="auto"/>
              </w:rPr>
            </w:pPr>
          </w:p>
        </w:tc>
      </w:tr>
      <w:tr>
        <w:trPr>
          <w:trHeight w:val="194"/>
        </w:trPr>
        <w:tc>
          <w:tcPr>
            <w:tcW w:w="362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Jennifer M. Kirk</w:t>
            </w:r>
          </w:p>
        </w:tc>
        <w:tc>
          <w:tcPr>
            <w:tcW w:w="14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$50,000</w:t>
            </w:r>
          </w:p>
        </w:tc>
        <w:tc>
          <w:tcPr>
            <w:tcW w:w="2300" w:type="dxa"/>
            <w:vAlign w:val="bottom"/>
            <w:tcBorders>
              <w:top w:val="single" w:sz="8" w:color="7F7F7F"/>
            </w:tcBorders>
          </w:tcPr>
          <w:p>
            <w:pPr>
              <w:jc w:val="right"/>
              <w:ind w:right="578"/>
              <w:spacing w:after="0"/>
              <w:rPr>
                <w:sz w:val="20"/>
                <w:szCs w:val="20"/>
                <w:color w:val="auto"/>
              </w:rPr>
            </w:pPr>
            <w:r>
              <w:rPr>
                <w:rFonts w:ascii="Arial" w:cs="Arial" w:eastAsia="Arial" w:hAnsi="Arial"/>
                <w:sz w:val="12"/>
                <w:szCs w:val="12"/>
                <w:color w:val="auto"/>
              </w:rPr>
              <w:t>$140,000</w:t>
            </w:r>
          </w:p>
        </w:tc>
        <w:tc>
          <w:tcPr>
            <w:tcW w:w="1780" w:type="dxa"/>
            <w:vAlign w:val="bottom"/>
            <w:tcBorders>
              <w:top w:val="single" w:sz="8" w:color="7F7F7F"/>
            </w:tcBorders>
          </w:tcPr>
          <w:p>
            <w:pPr>
              <w:jc w:val="right"/>
              <w:ind w:right="358"/>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$190,000</w:t>
            </w:r>
          </w:p>
        </w:tc>
        <w:tc>
          <w:tcPr>
            <w:tcW w:w="0" w:type="dxa"/>
            <w:vAlign w:val="bottom"/>
          </w:tcPr>
          <w:p>
            <w:pPr>
              <w:spacing w:after="0"/>
              <w:rPr>
                <w:sz w:val="1"/>
                <w:szCs w:val="1"/>
                <w:color w:val="auto"/>
              </w:rPr>
            </w:pPr>
          </w:p>
        </w:tc>
      </w:tr>
      <w:tr>
        <w:trPr>
          <w:trHeight w:val="54"/>
        </w:trPr>
        <w:tc>
          <w:tcPr>
            <w:tcW w:w="3620" w:type="dxa"/>
            <w:vAlign w:val="bottom"/>
            <w:tcBorders>
              <w:bottom w:val="single" w:sz="8" w:color="7F7F7F"/>
            </w:tcBorders>
          </w:tcPr>
          <w:p>
            <w:pPr>
              <w:spacing w:after="0"/>
              <w:rPr>
                <w:sz w:val="4"/>
                <w:szCs w:val="4"/>
                <w:color w:val="auto"/>
              </w:rPr>
            </w:pPr>
          </w:p>
        </w:tc>
        <w:tc>
          <w:tcPr>
            <w:tcW w:w="1420" w:type="dxa"/>
            <w:vAlign w:val="bottom"/>
            <w:tcBorders>
              <w:bottom w:val="single" w:sz="8" w:color="7F7F7F"/>
            </w:tcBorders>
          </w:tcPr>
          <w:p>
            <w:pPr>
              <w:spacing w:after="0"/>
              <w:rPr>
                <w:sz w:val="4"/>
                <w:szCs w:val="4"/>
                <w:color w:val="auto"/>
              </w:rPr>
            </w:pPr>
          </w:p>
        </w:tc>
        <w:tc>
          <w:tcPr>
            <w:tcW w:w="2300" w:type="dxa"/>
            <w:vAlign w:val="bottom"/>
            <w:tcBorders>
              <w:bottom w:val="single" w:sz="8" w:color="7F7F7F"/>
            </w:tcBorders>
          </w:tcPr>
          <w:p>
            <w:pPr>
              <w:spacing w:after="0"/>
              <w:rPr>
                <w:sz w:val="4"/>
                <w:szCs w:val="4"/>
                <w:color w:val="auto"/>
              </w:rPr>
            </w:pPr>
          </w:p>
        </w:tc>
        <w:tc>
          <w:tcPr>
            <w:tcW w:w="178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6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Richard J. Mark</w:t>
            </w:r>
          </w:p>
        </w:tc>
        <w:tc>
          <w:tcPr>
            <w:tcW w:w="14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$50,000</w:t>
            </w:r>
          </w:p>
        </w:tc>
        <w:tc>
          <w:tcPr>
            <w:tcW w:w="2300" w:type="dxa"/>
            <w:vAlign w:val="bottom"/>
            <w:tcBorders>
              <w:bottom w:val="single" w:sz="8" w:color="F2F2F2"/>
            </w:tcBorders>
            <w:shd w:val="clear" w:color="auto" w:fill="F2F2F2"/>
          </w:tcPr>
          <w:p>
            <w:pPr>
              <w:jc w:val="right"/>
              <w:ind w:right="578"/>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$140,042</w:t>
            </w:r>
          </w:p>
        </w:tc>
        <w:tc>
          <w:tcPr>
            <w:tcW w:w="9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$190,042</w:t>
            </w:r>
          </w:p>
        </w:tc>
        <w:tc>
          <w:tcPr>
            <w:tcW w:w="0" w:type="dxa"/>
            <w:vAlign w:val="bottom"/>
          </w:tcPr>
          <w:p>
            <w:pPr>
              <w:spacing w:after="0"/>
              <w:rPr>
                <w:sz w:val="1"/>
                <w:szCs w:val="1"/>
                <w:color w:val="auto"/>
              </w:rPr>
            </w:pPr>
          </w:p>
        </w:tc>
      </w:tr>
      <w:tr>
        <w:trPr>
          <w:trHeight w:val="194"/>
        </w:trPr>
        <w:tc>
          <w:tcPr>
            <w:tcW w:w="362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Michael N. Mears</w:t>
            </w:r>
          </w:p>
        </w:tc>
        <w:tc>
          <w:tcPr>
            <w:tcW w:w="14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$50,000</w:t>
            </w:r>
          </w:p>
        </w:tc>
        <w:tc>
          <w:tcPr>
            <w:tcW w:w="2300" w:type="dxa"/>
            <w:vAlign w:val="bottom"/>
            <w:tcBorders>
              <w:top w:val="single" w:sz="8" w:color="7F7F7F"/>
            </w:tcBorders>
          </w:tcPr>
          <w:p>
            <w:pPr>
              <w:jc w:val="right"/>
              <w:ind w:right="578"/>
              <w:spacing w:after="0"/>
              <w:rPr>
                <w:sz w:val="20"/>
                <w:szCs w:val="20"/>
                <w:color w:val="auto"/>
              </w:rPr>
            </w:pPr>
            <w:r>
              <w:rPr>
                <w:rFonts w:ascii="Arial" w:cs="Arial" w:eastAsia="Arial" w:hAnsi="Arial"/>
                <w:sz w:val="12"/>
                <w:szCs w:val="12"/>
                <w:color w:val="auto"/>
              </w:rPr>
              <w:t>$140,000</w:t>
            </w:r>
          </w:p>
        </w:tc>
        <w:tc>
          <w:tcPr>
            <w:tcW w:w="1780" w:type="dxa"/>
            <w:vAlign w:val="bottom"/>
            <w:tcBorders>
              <w:top w:val="single" w:sz="8" w:color="7F7F7F"/>
            </w:tcBorders>
          </w:tcPr>
          <w:p>
            <w:pPr>
              <w:jc w:val="right"/>
              <w:ind w:right="358"/>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$190,000</w:t>
            </w:r>
          </w:p>
        </w:tc>
        <w:tc>
          <w:tcPr>
            <w:tcW w:w="0" w:type="dxa"/>
            <w:vAlign w:val="bottom"/>
          </w:tcPr>
          <w:p>
            <w:pPr>
              <w:spacing w:after="0"/>
              <w:rPr>
                <w:sz w:val="1"/>
                <w:szCs w:val="1"/>
                <w:color w:val="auto"/>
              </w:rPr>
            </w:pPr>
          </w:p>
        </w:tc>
      </w:tr>
      <w:tr>
        <w:trPr>
          <w:trHeight w:val="54"/>
        </w:trPr>
        <w:tc>
          <w:tcPr>
            <w:tcW w:w="3620" w:type="dxa"/>
            <w:vAlign w:val="bottom"/>
            <w:tcBorders>
              <w:bottom w:val="single" w:sz="8" w:color="7F7F7F"/>
            </w:tcBorders>
          </w:tcPr>
          <w:p>
            <w:pPr>
              <w:spacing w:after="0"/>
              <w:rPr>
                <w:sz w:val="4"/>
                <w:szCs w:val="4"/>
                <w:color w:val="auto"/>
              </w:rPr>
            </w:pPr>
          </w:p>
        </w:tc>
        <w:tc>
          <w:tcPr>
            <w:tcW w:w="1420" w:type="dxa"/>
            <w:vAlign w:val="bottom"/>
            <w:tcBorders>
              <w:bottom w:val="single" w:sz="8" w:color="7F7F7F"/>
            </w:tcBorders>
          </w:tcPr>
          <w:p>
            <w:pPr>
              <w:spacing w:after="0"/>
              <w:rPr>
                <w:sz w:val="4"/>
                <w:szCs w:val="4"/>
                <w:color w:val="auto"/>
              </w:rPr>
            </w:pPr>
          </w:p>
        </w:tc>
        <w:tc>
          <w:tcPr>
            <w:tcW w:w="2300" w:type="dxa"/>
            <w:vAlign w:val="bottom"/>
            <w:tcBorders>
              <w:bottom w:val="single" w:sz="8" w:color="7F7F7F"/>
            </w:tcBorders>
          </w:tcPr>
          <w:p>
            <w:pPr>
              <w:spacing w:after="0"/>
              <w:rPr>
                <w:sz w:val="4"/>
                <w:szCs w:val="4"/>
                <w:color w:val="auto"/>
              </w:rPr>
            </w:pPr>
          </w:p>
        </w:tc>
        <w:tc>
          <w:tcPr>
            <w:tcW w:w="178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3620" w:type="dxa"/>
            <w:vAlign w:val="bottom"/>
            <w:tcBorders>
              <w:bottom w:val="single" w:sz="8" w:color="7F7F7F"/>
            </w:tcBorders>
            <w:shd w:val="clear" w:color="auto" w:fill="F2F2F2"/>
          </w:tcPr>
          <w:p>
            <w:pPr>
              <w:ind w:left="60"/>
              <w:spacing w:after="0"/>
              <w:rPr>
                <w:sz w:val="20"/>
                <w:szCs w:val="20"/>
                <w:color w:val="auto"/>
              </w:rPr>
            </w:pPr>
            <w:r>
              <w:rPr>
                <w:rFonts w:ascii="Arial" w:cs="Arial" w:eastAsia="Arial" w:hAnsi="Arial"/>
                <w:sz w:val="12"/>
                <w:szCs w:val="12"/>
                <w:color w:val="auto"/>
              </w:rPr>
              <w:t>Kevin C. Sagara</w:t>
            </w:r>
            <w:r>
              <w:rPr>
                <w:rFonts w:ascii="Arial" w:cs="Arial" w:eastAsia="Arial" w:hAnsi="Arial"/>
                <w:sz w:val="18"/>
                <w:szCs w:val="18"/>
                <w:color w:val="auto"/>
                <w:vertAlign w:val="superscript"/>
              </w:rPr>
              <w:t>(1)</w:t>
            </w:r>
          </w:p>
        </w:tc>
        <w:tc>
          <w:tcPr>
            <w:tcW w:w="1420" w:type="dxa"/>
            <w:vAlign w:val="bottom"/>
            <w:tcBorders>
              <w:bottom w:val="single" w:sz="8" w:color="7F7F7F"/>
            </w:tcBorders>
            <w:shd w:val="clear" w:color="auto" w:fill="F2F2F2"/>
          </w:tcPr>
          <w:p>
            <w:pPr>
              <w:jc w:val="right"/>
              <w:ind w:right="18"/>
              <w:spacing w:after="0"/>
              <w:rPr>
                <w:sz w:val="20"/>
                <w:szCs w:val="20"/>
                <w:color w:val="auto"/>
              </w:rPr>
            </w:pPr>
            <w:r>
              <w:rPr>
                <w:rFonts w:ascii="Arial" w:cs="Arial" w:eastAsia="Arial" w:hAnsi="Arial"/>
                <w:sz w:val="12"/>
                <w:szCs w:val="12"/>
                <w:color w:val="auto"/>
              </w:rPr>
              <w:t>$40,000</w:t>
            </w:r>
          </w:p>
        </w:tc>
        <w:tc>
          <w:tcPr>
            <w:tcW w:w="2300" w:type="dxa"/>
            <w:vAlign w:val="bottom"/>
            <w:tcBorders>
              <w:bottom w:val="single" w:sz="8" w:color="7F7F7F"/>
            </w:tcBorders>
            <w:shd w:val="clear" w:color="auto" w:fill="F2F2F2"/>
          </w:tcPr>
          <w:p>
            <w:pPr>
              <w:jc w:val="right"/>
              <w:ind w:right="578"/>
              <w:spacing w:after="0"/>
              <w:rPr>
                <w:sz w:val="20"/>
                <w:szCs w:val="20"/>
                <w:color w:val="auto"/>
              </w:rPr>
            </w:pPr>
            <w:r>
              <w:rPr>
                <w:rFonts w:ascii="Arial" w:cs="Arial" w:eastAsia="Arial" w:hAnsi="Arial"/>
                <w:sz w:val="12"/>
                <w:szCs w:val="12"/>
                <w:color w:val="auto"/>
              </w:rPr>
              <w:t>$140,000</w:t>
            </w:r>
          </w:p>
        </w:tc>
        <w:tc>
          <w:tcPr>
            <w:tcW w:w="1780" w:type="dxa"/>
            <w:vAlign w:val="bottom"/>
            <w:tcBorders>
              <w:bottom w:val="single" w:sz="8" w:color="7F7F7F"/>
            </w:tcBorders>
            <w:shd w:val="clear" w:color="auto" w:fill="F2F2F2"/>
          </w:tcPr>
          <w:p>
            <w:pPr>
              <w:jc w:val="right"/>
              <w:ind w:right="35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$180,000</w:t>
            </w:r>
          </w:p>
        </w:tc>
        <w:tc>
          <w:tcPr>
            <w:tcW w:w="0" w:type="dxa"/>
            <w:vAlign w:val="bottom"/>
          </w:tcPr>
          <w:p>
            <w:pPr>
              <w:spacing w:after="0"/>
              <w:rPr>
                <w:sz w:val="1"/>
                <w:szCs w:val="1"/>
                <w:color w:val="auto"/>
              </w:rPr>
            </w:pPr>
          </w:p>
        </w:tc>
      </w:tr>
      <w:tr>
        <w:trPr>
          <w:trHeight w:val="194"/>
        </w:trPr>
        <w:tc>
          <w:tcPr>
            <w:tcW w:w="3620" w:type="dxa"/>
            <w:vAlign w:val="bottom"/>
          </w:tcPr>
          <w:p>
            <w:pPr>
              <w:ind w:left="60"/>
              <w:spacing w:after="0"/>
              <w:rPr>
                <w:sz w:val="20"/>
                <w:szCs w:val="20"/>
                <w:color w:val="auto"/>
              </w:rPr>
            </w:pPr>
            <w:r>
              <w:rPr>
                <w:rFonts w:ascii="Arial" w:cs="Arial" w:eastAsia="Arial" w:hAnsi="Arial"/>
                <w:sz w:val="12"/>
                <w:szCs w:val="12"/>
                <w:color w:val="auto"/>
              </w:rPr>
              <w:t>Jack T. Taylor</w:t>
            </w:r>
          </w:p>
        </w:tc>
        <w:tc>
          <w:tcPr>
            <w:tcW w:w="1420" w:type="dxa"/>
            <w:vAlign w:val="bottom"/>
          </w:tcPr>
          <w:p>
            <w:pPr>
              <w:jc w:val="right"/>
              <w:ind w:right="18"/>
              <w:spacing w:after="0"/>
              <w:rPr>
                <w:sz w:val="20"/>
                <w:szCs w:val="20"/>
                <w:color w:val="auto"/>
              </w:rPr>
            </w:pPr>
            <w:r>
              <w:rPr>
                <w:rFonts w:ascii="Arial" w:cs="Arial" w:eastAsia="Arial" w:hAnsi="Arial"/>
                <w:sz w:val="12"/>
                <w:szCs w:val="12"/>
                <w:color w:val="auto"/>
              </w:rPr>
              <w:t>$50,000</w:t>
            </w:r>
          </w:p>
        </w:tc>
        <w:tc>
          <w:tcPr>
            <w:tcW w:w="2300" w:type="dxa"/>
            <w:vAlign w:val="bottom"/>
          </w:tcPr>
          <w:p>
            <w:pPr>
              <w:jc w:val="right"/>
              <w:ind w:right="578"/>
              <w:spacing w:after="0"/>
              <w:rPr>
                <w:sz w:val="20"/>
                <w:szCs w:val="20"/>
                <w:color w:val="auto"/>
              </w:rPr>
            </w:pPr>
            <w:r>
              <w:rPr>
                <w:rFonts w:ascii="Arial" w:cs="Arial" w:eastAsia="Arial" w:hAnsi="Arial"/>
                <w:sz w:val="12"/>
                <w:szCs w:val="12"/>
                <w:color w:val="auto"/>
              </w:rPr>
              <w:t>$140,000</w:t>
            </w:r>
          </w:p>
        </w:tc>
        <w:tc>
          <w:tcPr>
            <w:tcW w:w="1780" w:type="dxa"/>
            <w:vAlign w:val="bottom"/>
          </w:tcPr>
          <w:p>
            <w:pPr>
              <w:jc w:val="right"/>
              <w:ind w:right="358"/>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$190,000</w:t>
            </w:r>
          </w:p>
        </w:tc>
        <w:tc>
          <w:tcPr>
            <w:tcW w:w="0" w:type="dxa"/>
            <w:vAlign w:val="bottom"/>
          </w:tcPr>
          <w:p>
            <w:pPr>
              <w:spacing w:after="0"/>
              <w:rPr>
                <w:sz w:val="1"/>
                <w:szCs w:val="1"/>
                <w:color w:val="auto"/>
              </w:rPr>
            </w:pPr>
          </w:p>
        </w:tc>
      </w:tr>
      <w:tr>
        <w:trPr>
          <w:trHeight w:val="54"/>
        </w:trPr>
        <w:tc>
          <w:tcPr>
            <w:tcW w:w="3620" w:type="dxa"/>
            <w:vAlign w:val="bottom"/>
            <w:tcBorders>
              <w:bottom w:val="single" w:sz="8" w:color="7F7F7F"/>
            </w:tcBorders>
          </w:tcPr>
          <w:p>
            <w:pPr>
              <w:spacing w:after="0"/>
              <w:rPr>
                <w:sz w:val="4"/>
                <w:szCs w:val="4"/>
                <w:color w:val="auto"/>
              </w:rPr>
            </w:pPr>
          </w:p>
        </w:tc>
        <w:tc>
          <w:tcPr>
            <w:tcW w:w="1420" w:type="dxa"/>
            <w:vAlign w:val="bottom"/>
            <w:tcBorders>
              <w:bottom w:val="single" w:sz="8" w:color="7F7F7F"/>
            </w:tcBorders>
          </w:tcPr>
          <w:p>
            <w:pPr>
              <w:spacing w:after="0"/>
              <w:rPr>
                <w:sz w:val="4"/>
                <w:szCs w:val="4"/>
                <w:color w:val="auto"/>
              </w:rPr>
            </w:pPr>
          </w:p>
        </w:tc>
        <w:tc>
          <w:tcPr>
            <w:tcW w:w="2300" w:type="dxa"/>
            <w:vAlign w:val="bottom"/>
            <w:tcBorders>
              <w:bottom w:val="single" w:sz="8" w:color="7F7F7F"/>
            </w:tcBorders>
          </w:tcPr>
          <w:p>
            <w:pPr>
              <w:spacing w:after="0"/>
              <w:rPr>
                <w:sz w:val="4"/>
                <w:szCs w:val="4"/>
                <w:color w:val="auto"/>
              </w:rPr>
            </w:pPr>
          </w:p>
        </w:tc>
        <w:tc>
          <w:tcPr>
            <w:tcW w:w="178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36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Cynthia J. Warner</w:t>
            </w:r>
          </w:p>
        </w:tc>
        <w:tc>
          <w:tcPr>
            <w:tcW w:w="14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$50,000</w:t>
            </w:r>
          </w:p>
        </w:tc>
        <w:tc>
          <w:tcPr>
            <w:tcW w:w="2300" w:type="dxa"/>
            <w:vAlign w:val="bottom"/>
            <w:tcBorders>
              <w:bottom w:val="single" w:sz="8" w:color="F2F2F2"/>
            </w:tcBorders>
            <w:shd w:val="clear" w:color="auto" w:fill="F2F2F2"/>
          </w:tcPr>
          <w:p>
            <w:pPr>
              <w:jc w:val="right"/>
              <w:ind w:right="578"/>
              <w:spacing w:after="0"/>
              <w:rPr>
                <w:sz w:val="20"/>
                <w:szCs w:val="20"/>
                <w:color w:val="auto"/>
              </w:rPr>
            </w:pPr>
            <w:r>
              <w:rPr>
                <w:rFonts w:ascii="Arial" w:cs="Arial" w:eastAsia="Arial" w:hAnsi="Arial"/>
                <w:sz w:val="12"/>
                <w:szCs w:val="12"/>
                <w:color w:val="auto"/>
              </w:rPr>
              <w:t>$140,000</w:t>
            </w:r>
          </w:p>
        </w:tc>
        <w:tc>
          <w:tcPr>
            <w:tcW w:w="178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$190,000</w:t>
            </w:r>
          </w:p>
        </w:tc>
        <w:tc>
          <w:tcPr>
            <w:tcW w:w="0" w:type="dxa"/>
            <w:vAlign w:val="bottom"/>
          </w:tcPr>
          <w:p>
            <w:pPr>
              <w:spacing w:after="0"/>
              <w:rPr>
                <w:sz w:val="1"/>
                <w:szCs w:val="1"/>
                <w:color w:val="auto"/>
              </w:rPr>
            </w:pPr>
          </w:p>
        </w:tc>
      </w:tr>
      <w:tr>
        <w:trPr>
          <w:trHeight w:val="247"/>
        </w:trPr>
        <w:tc>
          <w:tcPr>
            <w:tcW w:w="3620" w:type="dxa"/>
            <w:vAlign w:val="bottom"/>
            <w:tcBorders>
              <w:top w:val="single" w:sz="8" w:color="7F7F7F"/>
              <w:bottom w:val="single" w:sz="8" w:color="7F7F7F"/>
            </w:tcBorders>
          </w:tcPr>
          <w:p>
            <w:pPr>
              <w:ind w:left="60"/>
              <w:spacing w:after="0"/>
              <w:rPr>
                <w:sz w:val="20"/>
                <w:szCs w:val="20"/>
                <w:color w:val="auto"/>
              </w:rPr>
            </w:pPr>
            <w:r>
              <w:rPr>
                <w:rFonts w:ascii="Arial" w:cs="Arial" w:eastAsia="Arial" w:hAnsi="Arial"/>
                <w:sz w:val="12"/>
                <w:szCs w:val="12"/>
                <w:color w:val="auto"/>
              </w:rPr>
              <w:t>Anya Weaving</w:t>
            </w:r>
            <w:r>
              <w:rPr>
                <w:rFonts w:ascii="Arial" w:cs="Arial" w:eastAsia="Arial" w:hAnsi="Arial"/>
                <w:sz w:val="18"/>
                <w:szCs w:val="18"/>
                <w:color w:val="auto"/>
                <w:vertAlign w:val="superscript"/>
              </w:rPr>
              <w:t>(1)</w:t>
            </w:r>
          </w:p>
        </w:tc>
        <w:tc>
          <w:tcPr>
            <w:tcW w:w="1420" w:type="dxa"/>
            <w:vAlign w:val="bottom"/>
            <w:tcBorders>
              <w:top w:val="single" w:sz="8" w:color="7F7F7F"/>
              <w:bottom w:val="single" w:sz="8" w:color="7F7F7F"/>
            </w:tcBorders>
          </w:tcPr>
          <w:p>
            <w:pPr>
              <w:jc w:val="right"/>
              <w:ind w:right="18"/>
              <w:spacing w:after="0"/>
              <w:rPr>
                <w:sz w:val="20"/>
                <w:szCs w:val="20"/>
                <w:color w:val="auto"/>
              </w:rPr>
            </w:pPr>
            <w:r>
              <w:rPr>
                <w:rFonts w:ascii="Arial" w:cs="Arial" w:eastAsia="Arial" w:hAnsi="Arial"/>
                <w:sz w:val="12"/>
                <w:szCs w:val="12"/>
                <w:color w:val="auto"/>
              </w:rPr>
              <w:t>$40,000</w:t>
            </w:r>
          </w:p>
        </w:tc>
        <w:tc>
          <w:tcPr>
            <w:tcW w:w="2300" w:type="dxa"/>
            <w:vAlign w:val="bottom"/>
            <w:tcBorders>
              <w:top w:val="single" w:sz="8" w:color="7F7F7F"/>
              <w:bottom w:val="single" w:sz="8" w:color="7F7F7F"/>
            </w:tcBorders>
          </w:tcPr>
          <w:p>
            <w:pPr>
              <w:jc w:val="right"/>
              <w:ind w:right="578"/>
              <w:spacing w:after="0"/>
              <w:rPr>
                <w:sz w:val="20"/>
                <w:szCs w:val="20"/>
                <w:color w:val="auto"/>
              </w:rPr>
            </w:pPr>
            <w:r>
              <w:rPr>
                <w:rFonts w:ascii="Arial" w:cs="Arial" w:eastAsia="Arial" w:hAnsi="Arial"/>
                <w:sz w:val="12"/>
                <w:szCs w:val="12"/>
                <w:color w:val="auto"/>
              </w:rPr>
              <w:t>—</w:t>
            </w:r>
          </w:p>
        </w:tc>
        <w:tc>
          <w:tcPr>
            <w:tcW w:w="1780" w:type="dxa"/>
            <w:vAlign w:val="bottom"/>
            <w:tcBorders>
              <w:top w:val="single" w:sz="8" w:color="7F7F7F"/>
              <w:bottom w:val="single" w:sz="8" w:color="7F7F7F"/>
            </w:tcBorders>
          </w:tcPr>
          <w:p>
            <w:pPr>
              <w:jc w:val="right"/>
              <w:ind w:right="358"/>
              <w:spacing w:after="0"/>
              <w:rPr>
                <w:sz w:val="20"/>
                <w:szCs w:val="20"/>
                <w:color w:val="auto"/>
              </w:rPr>
            </w:pPr>
            <w:r>
              <w:rPr>
                <w:rFonts w:ascii="Arial" w:cs="Arial" w:eastAsia="Arial" w:hAnsi="Arial"/>
                <w:sz w:val="12"/>
                <w:szCs w:val="12"/>
                <w:color w:val="auto"/>
              </w:rPr>
              <w:t>$140,069</w:t>
            </w:r>
          </w:p>
        </w:tc>
        <w:tc>
          <w:tcPr>
            <w:tcW w:w="90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2"/>
                <w:szCs w:val="12"/>
                <w:color w:val="auto"/>
              </w:rPr>
              <w:t>$180,069</w:t>
            </w:r>
          </w:p>
        </w:tc>
        <w:tc>
          <w:tcPr>
            <w:tcW w:w="0" w:type="dxa"/>
            <w:vAlign w:val="bottom"/>
          </w:tcPr>
          <w:p>
            <w:pPr>
              <w:spacing w:after="0"/>
              <w:rPr>
                <w:sz w:val="1"/>
                <w:szCs w:val="1"/>
                <w:color w:val="auto"/>
              </w:rPr>
            </w:pPr>
          </w:p>
        </w:tc>
      </w:tr>
      <w:tr>
        <w:trPr>
          <w:trHeight w:val="227"/>
        </w:trPr>
        <w:tc>
          <w:tcPr>
            <w:tcW w:w="36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James C. Yardley</w:t>
            </w:r>
          </w:p>
        </w:tc>
        <w:tc>
          <w:tcPr>
            <w:tcW w:w="14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$50,000</w:t>
            </w:r>
          </w:p>
        </w:tc>
        <w:tc>
          <w:tcPr>
            <w:tcW w:w="2300" w:type="dxa"/>
            <w:vAlign w:val="bottom"/>
            <w:tcBorders>
              <w:bottom w:val="single" w:sz="8" w:color="F2F2F2"/>
            </w:tcBorders>
            <w:shd w:val="clear" w:color="auto" w:fill="F2F2F2"/>
          </w:tcPr>
          <w:p>
            <w:pPr>
              <w:jc w:val="right"/>
              <w:ind w:right="578"/>
              <w:spacing w:after="0"/>
              <w:rPr>
                <w:sz w:val="20"/>
                <w:szCs w:val="20"/>
                <w:color w:val="auto"/>
              </w:rPr>
            </w:pPr>
            <w:r>
              <w:rPr>
                <w:rFonts w:ascii="Arial" w:cs="Arial" w:eastAsia="Arial" w:hAnsi="Arial"/>
                <w:sz w:val="12"/>
                <w:szCs w:val="12"/>
                <w:color w:val="auto"/>
              </w:rPr>
              <w:t>$140,000</w:t>
            </w:r>
          </w:p>
        </w:tc>
        <w:tc>
          <w:tcPr>
            <w:tcW w:w="178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$190,000</w:t>
            </w:r>
          </w:p>
        </w:tc>
        <w:tc>
          <w:tcPr>
            <w:tcW w:w="0" w:type="dxa"/>
            <w:vAlign w:val="bottom"/>
          </w:tcPr>
          <w:p>
            <w:pPr>
              <w:spacing w:after="0"/>
              <w:rPr>
                <w:sz w:val="1"/>
                <w:szCs w:val="1"/>
                <w:color w:val="auto"/>
              </w:rPr>
            </w:pPr>
          </w:p>
        </w:tc>
      </w:tr>
      <w:tr>
        <w:trPr>
          <w:trHeight w:val="20"/>
        </w:trPr>
        <w:tc>
          <w:tcPr>
            <w:tcW w:w="3620" w:type="dxa"/>
            <w:vAlign w:val="bottom"/>
            <w:shd w:val="clear" w:color="auto" w:fill="7F7F7F"/>
          </w:tcPr>
          <w:p>
            <w:pPr>
              <w:spacing w:after="0" w:line="20" w:lineRule="exact"/>
              <w:rPr>
                <w:sz w:val="1"/>
                <w:szCs w:val="1"/>
                <w:color w:val="auto"/>
              </w:rPr>
            </w:pPr>
          </w:p>
        </w:tc>
        <w:tc>
          <w:tcPr>
            <w:tcW w:w="1420" w:type="dxa"/>
            <w:vAlign w:val="bottom"/>
            <w:shd w:val="clear" w:color="auto" w:fill="7F7F7F"/>
          </w:tcPr>
          <w:p>
            <w:pPr>
              <w:spacing w:after="0" w:line="20" w:lineRule="exact"/>
              <w:rPr>
                <w:sz w:val="1"/>
                <w:szCs w:val="1"/>
                <w:color w:val="auto"/>
              </w:rPr>
            </w:pPr>
          </w:p>
        </w:tc>
        <w:tc>
          <w:tcPr>
            <w:tcW w:w="2300" w:type="dxa"/>
            <w:vAlign w:val="bottom"/>
            <w:shd w:val="clear" w:color="auto" w:fill="7F7F7F"/>
          </w:tcPr>
          <w:p>
            <w:pPr>
              <w:spacing w:after="0" w:line="20" w:lineRule="exact"/>
              <w:rPr>
                <w:sz w:val="1"/>
                <w:szCs w:val="1"/>
                <w:color w:val="auto"/>
              </w:rPr>
            </w:pPr>
          </w:p>
        </w:tc>
        <w:tc>
          <w:tcPr>
            <w:tcW w:w="1780" w:type="dxa"/>
            <w:vAlign w:val="bottom"/>
            <w:shd w:val="clear" w:color="auto" w:fill="7F7F7F"/>
          </w:tcPr>
          <w:p>
            <w:pPr>
              <w:spacing w:after="0" w:line="20" w:lineRule="exact"/>
              <w:rPr>
                <w:sz w:val="1"/>
                <w:szCs w:val="1"/>
                <w:color w:val="auto"/>
              </w:rPr>
            </w:pPr>
          </w:p>
        </w:tc>
        <w:tc>
          <w:tcPr>
            <w:tcW w:w="90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-1918335</wp:posOffset>
            </wp:positionV>
            <wp:extent cx="19869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86915" cy="8255"/>
                    </a:xfrm>
                    <a:prstGeom prst="rect">
                      <a:avLst/>
                    </a:prstGeom>
                    <a:noFill/>
                  </pic:spPr>
                </pic:pic>
              </a:graphicData>
            </a:graphic>
          </wp:anchor>
        </w:drawing>
      </w:r>
    </w:p>
    <w:p>
      <w:pPr>
        <w:spacing w:after="0" w:line="42" w:lineRule="exact"/>
        <w:rPr>
          <w:sz w:val="20"/>
          <w:szCs w:val="20"/>
          <w:color w:val="auto"/>
        </w:rPr>
      </w:pPr>
    </w:p>
    <w:p>
      <w:pPr>
        <w:ind w:left="1360" w:hanging="323"/>
        <w:spacing w:after="0"/>
        <w:tabs>
          <w:tab w:leader="none" w:pos="13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Mandatory deferred equity was prorated for Mr. Sagara and Ms. Weaving, who joined the board on March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238125</wp:posOffset>
            </wp:positionV>
            <wp:extent cx="739140" cy="144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77"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21</w:t>
      </w:r>
    </w:p>
    <w:p>
      <w:pPr>
        <w:sectPr>
          <w:pgSz w:w="11900" w:h="16838" w:orient="portrait"/>
          <w:cols w:equalWidth="0" w:num="1">
            <w:col w:w="11080"/>
          </w:cols>
          <w:pgMar w:left="320" w:top="478"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Corporate Governance</w:t>
      </w:r>
    </w:p>
    <w:p>
      <w:pPr>
        <w:spacing w:after="0" w:line="136" w:lineRule="exact"/>
        <w:rPr>
          <w:sz w:val="20"/>
          <w:szCs w:val="20"/>
          <w:color w:val="auto"/>
        </w:rPr>
      </w:pPr>
    </w:p>
    <w:p>
      <w:pPr>
        <w:ind w:left="480" w:hanging="313"/>
        <w:spacing w:after="0"/>
        <w:tabs>
          <w:tab w:leader="none" w:pos="48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following table summarizes outstanding equity balances for each non-employee director at December 31, 2025:</w:t>
      </w:r>
    </w:p>
    <w:p>
      <w:pPr>
        <w:spacing w:after="0" w:line="228" w:lineRule="exact"/>
        <w:rPr>
          <w:sz w:val="20"/>
          <w:szCs w:val="20"/>
          <w:color w:val="auto"/>
        </w:rPr>
      </w:pPr>
    </w:p>
    <w:tbl>
      <w:tblPr>
        <w:tblLayout w:type="fixed"/>
        <w:tblInd w:w="1060" w:type="dxa"/>
        <w:tblCellMar>
          <w:top w:w="0" w:type="dxa"/>
          <w:left w:w="0" w:type="dxa"/>
          <w:bottom w:w="0" w:type="dxa"/>
          <w:right w:w="0" w:type="dxa"/>
        </w:tblCellMar>
      </w:tblPr>
      <w:tr>
        <w:trPr>
          <w:trHeight w:val="220"/>
        </w:trPr>
        <w:tc>
          <w:tcPr>
            <w:tcW w:w="5020" w:type="dxa"/>
            <w:vAlign w:val="bottom"/>
            <w:shd w:val="clear" w:color="auto" w:fill="005CB9"/>
          </w:tcPr>
          <w:p>
            <w:pPr>
              <w:spacing w:after="0"/>
              <w:rPr>
                <w:sz w:val="19"/>
                <w:szCs w:val="19"/>
                <w:color w:val="auto"/>
              </w:rPr>
            </w:pPr>
          </w:p>
        </w:tc>
        <w:tc>
          <w:tcPr>
            <w:tcW w:w="1060" w:type="dxa"/>
            <w:vAlign w:val="bottom"/>
            <w:shd w:val="clear" w:color="auto" w:fill="005CB9"/>
          </w:tcPr>
          <w:p>
            <w:pPr>
              <w:spacing w:after="0"/>
              <w:rPr>
                <w:sz w:val="19"/>
                <w:szCs w:val="19"/>
                <w:color w:val="auto"/>
              </w:rPr>
            </w:pPr>
          </w:p>
        </w:tc>
        <w:tc>
          <w:tcPr>
            <w:tcW w:w="1900" w:type="dxa"/>
            <w:vAlign w:val="bottom"/>
            <w:shd w:val="clear" w:color="auto" w:fill="005CB9"/>
          </w:tcPr>
          <w:p>
            <w:pPr>
              <w:jc w:val="right"/>
              <w:ind w:right="958"/>
              <w:spacing w:after="0"/>
              <w:rPr>
                <w:sz w:val="20"/>
                <w:szCs w:val="20"/>
                <w:color w:val="auto"/>
              </w:rPr>
            </w:pPr>
            <w:r>
              <w:rPr>
                <w:rFonts w:ascii="Arial" w:cs="Arial" w:eastAsia="Arial" w:hAnsi="Arial"/>
                <w:sz w:val="12"/>
                <w:szCs w:val="12"/>
                <w:b w:val="1"/>
                <w:bCs w:val="1"/>
                <w:color w:val="FFFFFF"/>
              </w:rPr>
              <w:t>Stock Awards</w:t>
            </w:r>
          </w:p>
        </w:tc>
        <w:tc>
          <w:tcPr>
            <w:tcW w:w="1200" w:type="dxa"/>
            <w:vAlign w:val="bottom"/>
            <w:shd w:val="clear" w:color="auto" w:fill="005CB9"/>
          </w:tcPr>
          <w:p>
            <w:pPr>
              <w:spacing w:after="0"/>
              <w:rPr>
                <w:sz w:val="19"/>
                <w:szCs w:val="19"/>
                <w:color w:val="auto"/>
              </w:rPr>
            </w:pPr>
          </w:p>
        </w:tc>
        <w:tc>
          <w:tcPr>
            <w:tcW w:w="840" w:type="dxa"/>
            <w:vAlign w:val="bottom"/>
            <w:shd w:val="clear" w:color="auto" w:fill="005CB9"/>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020" w:type="dxa"/>
            <w:vAlign w:val="bottom"/>
            <w:vMerge w:val="restart"/>
            <w:shd w:val="clear" w:color="auto" w:fill="005CB9"/>
          </w:tcPr>
          <w:p>
            <w:pPr>
              <w:ind w:left="60"/>
              <w:spacing w:after="0"/>
              <w:rPr>
                <w:sz w:val="20"/>
                <w:szCs w:val="20"/>
                <w:color w:val="auto"/>
              </w:rPr>
            </w:pPr>
            <w:r>
              <w:rPr>
                <w:rFonts w:ascii="Arial" w:cs="Arial" w:eastAsia="Arial" w:hAnsi="Arial"/>
                <w:sz w:val="12"/>
                <w:szCs w:val="12"/>
                <w:b w:val="1"/>
                <w:bCs w:val="1"/>
                <w:color w:val="FFFFFF"/>
              </w:rPr>
              <w:t>Name</w:t>
            </w:r>
          </w:p>
        </w:tc>
        <w:tc>
          <w:tcPr>
            <w:tcW w:w="1060" w:type="dxa"/>
            <w:vAlign w:val="bottom"/>
            <w:shd w:val="clear" w:color="auto" w:fill="005CB9"/>
          </w:tcPr>
          <w:p>
            <w:pPr>
              <w:jc w:val="right"/>
              <w:ind w:right="18"/>
              <w:spacing w:after="0"/>
              <w:rPr>
                <w:sz w:val="20"/>
                <w:szCs w:val="20"/>
                <w:color w:val="auto"/>
              </w:rPr>
            </w:pPr>
            <w:r>
              <w:rPr>
                <w:rFonts w:ascii="Arial" w:cs="Arial" w:eastAsia="Arial" w:hAnsi="Arial"/>
                <w:sz w:val="12"/>
                <w:szCs w:val="12"/>
                <w:b w:val="1"/>
                <w:bCs w:val="1"/>
                <w:color w:val="FFFFFF"/>
              </w:rPr>
              <w:t>Phantom</w:t>
            </w:r>
          </w:p>
        </w:tc>
        <w:tc>
          <w:tcPr>
            <w:tcW w:w="1900" w:type="dxa"/>
            <w:vAlign w:val="bottom"/>
            <w:shd w:val="clear" w:color="auto" w:fill="005CB9"/>
          </w:tcPr>
          <w:p>
            <w:pPr>
              <w:jc w:val="right"/>
              <w:ind w:right="278"/>
              <w:spacing w:after="0"/>
              <w:rPr>
                <w:sz w:val="20"/>
                <w:szCs w:val="20"/>
                <w:color w:val="auto"/>
              </w:rPr>
            </w:pPr>
            <w:r>
              <w:rPr>
                <w:rFonts w:ascii="Arial" w:cs="Arial" w:eastAsia="Arial" w:hAnsi="Arial"/>
                <w:sz w:val="12"/>
                <w:szCs w:val="12"/>
                <w:b w:val="1"/>
                <w:bCs w:val="1"/>
                <w:color w:val="FFFFFF"/>
              </w:rPr>
              <w:t>Restricted Stock</w:t>
            </w:r>
          </w:p>
        </w:tc>
        <w:tc>
          <w:tcPr>
            <w:tcW w:w="1200" w:type="dxa"/>
            <w:vAlign w:val="bottom"/>
            <w:shd w:val="clear" w:color="auto" w:fill="005CB9"/>
          </w:tcPr>
          <w:p>
            <w:pPr>
              <w:jc w:val="right"/>
              <w:ind w:right="418"/>
              <w:spacing w:after="0"/>
              <w:rPr>
                <w:sz w:val="20"/>
                <w:szCs w:val="20"/>
                <w:color w:val="auto"/>
              </w:rPr>
            </w:pPr>
            <w:r>
              <w:rPr>
                <w:rFonts w:ascii="Arial" w:cs="Arial" w:eastAsia="Arial" w:hAnsi="Arial"/>
                <w:sz w:val="12"/>
                <w:szCs w:val="12"/>
                <w:b w:val="1"/>
                <w:bCs w:val="1"/>
                <w:color w:val="FFFFFF"/>
              </w:rPr>
              <w:t>Stock</w:t>
            </w:r>
          </w:p>
        </w:tc>
        <w:tc>
          <w:tcPr>
            <w:tcW w:w="840" w:type="dxa"/>
            <w:vAlign w:val="bottom"/>
            <w:vMerge w:val="restart"/>
            <w:shd w:val="clear" w:color="auto" w:fill="005CB9"/>
          </w:tcPr>
          <w:p>
            <w:pPr>
              <w:jc w:val="right"/>
              <w:ind w:right="78"/>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199"/>
        </w:trPr>
        <w:tc>
          <w:tcPr>
            <w:tcW w:w="5020" w:type="dxa"/>
            <w:vAlign w:val="bottom"/>
            <w:tcBorders>
              <w:bottom w:val="single" w:sz="8" w:color="005CB9"/>
            </w:tcBorders>
            <w:vMerge w:val="continue"/>
            <w:shd w:val="clear" w:color="auto" w:fill="005CB9"/>
          </w:tcPr>
          <w:p>
            <w:pPr>
              <w:spacing w:after="0"/>
              <w:rPr>
                <w:sz w:val="17"/>
                <w:szCs w:val="17"/>
                <w:color w:val="auto"/>
              </w:rPr>
            </w:pPr>
          </w:p>
        </w:tc>
        <w:tc>
          <w:tcPr>
            <w:tcW w:w="1060" w:type="dxa"/>
            <w:vAlign w:val="bottom"/>
            <w:tcBorders>
              <w:bottom w:val="single" w:sz="8" w:color="005CB9"/>
            </w:tcBorders>
            <w:shd w:val="clear" w:color="auto" w:fill="005CB9"/>
          </w:tcPr>
          <w:p>
            <w:pPr>
              <w:jc w:val="right"/>
              <w:ind w:right="78"/>
              <w:spacing w:after="0"/>
              <w:rPr>
                <w:sz w:val="20"/>
                <w:szCs w:val="20"/>
                <w:color w:val="auto"/>
              </w:rPr>
            </w:pPr>
            <w:r>
              <w:rPr>
                <w:rFonts w:ascii="Arial" w:cs="Arial" w:eastAsia="Arial" w:hAnsi="Arial"/>
                <w:sz w:val="12"/>
                <w:szCs w:val="12"/>
                <w:b w:val="1"/>
                <w:bCs w:val="1"/>
                <w:color w:val="FFFFFF"/>
              </w:rPr>
              <w:t>Shares</w:t>
            </w:r>
          </w:p>
        </w:tc>
        <w:tc>
          <w:tcPr>
            <w:tcW w:w="1900" w:type="dxa"/>
            <w:vAlign w:val="bottom"/>
            <w:tcBorders>
              <w:bottom w:val="single" w:sz="8" w:color="005CB9"/>
            </w:tcBorders>
            <w:shd w:val="clear" w:color="auto" w:fill="005CB9"/>
          </w:tcPr>
          <w:p>
            <w:pPr>
              <w:jc w:val="right"/>
              <w:ind w:right="618"/>
              <w:spacing w:after="0"/>
              <w:rPr>
                <w:sz w:val="20"/>
                <w:szCs w:val="20"/>
                <w:color w:val="auto"/>
              </w:rPr>
            </w:pPr>
            <w:r>
              <w:rPr>
                <w:rFonts w:ascii="Arial" w:cs="Arial" w:eastAsia="Arial" w:hAnsi="Arial"/>
                <w:sz w:val="12"/>
                <w:szCs w:val="12"/>
                <w:b w:val="1"/>
                <w:bCs w:val="1"/>
                <w:color w:val="FFFFFF"/>
              </w:rPr>
              <w:t>Units</w:t>
            </w:r>
          </w:p>
        </w:tc>
        <w:tc>
          <w:tcPr>
            <w:tcW w:w="1200" w:type="dxa"/>
            <w:vAlign w:val="bottom"/>
            <w:tcBorders>
              <w:bottom w:val="single" w:sz="8" w:color="005CB9"/>
            </w:tcBorders>
            <w:shd w:val="clear" w:color="auto" w:fill="005CB9"/>
          </w:tcPr>
          <w:p>
            <w:pPr>
              <w:jc w:val="right"/>
              <w:ind w:right="338"/>
              <w:spacing w:after="0"/>
              <w:rPr>
                <w:sz w:val="20"/>
                <w:szCs w:val="20"/>
                <w:color w:val="auto"/>
              </w:rPr>
            </w:pPr>
            <w:r>
              <w:rPr>
                <w:rFonts w:ascii="Arial" w:cs="Arial" w:eastAsia="Arial" w:hAnsi="Arial"/>
                <w:sz w:val="12"/>
                <w:szCs w:val="12"/>
                <w:b w:val="1"/>
                <w:bCs w:val="1"/>
                <w:color w:val="FFFFFF"/>
              </w:rPr>
              <w:t>Options</w:t>
            </w:r>
          </w:p>
        </w:tc>
        <w:tc>
          <w:tcPr>
            <w:tcW w:w="840" w:type="dxa"/>
            <w:vAlign w:val="bottom"/>
            <w:tcBorders>
              <w:bottom w:val="single" w:sz="8" w:color="005CB9"/>
            </w:tcBorders>
            <w:vMerge w:val="continue"/>
            <w:shd w:val="clear" w:color="auto" w:fill="005CB9"/>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20" w:type="dxa"/>
            <w:vAlign w:val="bottom"/>
            <w:tcBorders>
              <w:bottom w:val="single" w:sz="8" w:color="7F7F7F"/>
            </w:tcBorders>
          </w:tcPr>
          <w:p>
            <w:pPr>
              <w:ind w:left="60"/>
              <w:spacing w:after="0"/>
              <w:rPr>
                <w:sz w:val="20"/>
                <w:szCs w:val="20"/>
                <w:color w:val="auto"/>
              </w:rPr>
            </w:pPr>
            <w:r>
              <w:rPr>
                <w:rFonts w:ascii="Arial" w:cs="Arial" w:eastAsia="Arial" w:hAnsi="Arial"/>
                <w:sz w:val="12"/>
                <w:szCs w:val="12"/>
                <w:color w:val="auto"/>
              </w:rPr>
              <w:t>Andrés Conesa</w:t>
            </w:r>
          </w:p>
        </w:tc>
        <w:tc>
          <w:tcPr>
            <w:tcW w:w="1060" w:type="dxa"/>
            <w:vAlign w:val="bottom"/>
            <w:tcBorders>
              <w:bottom w:val="single" w:sz="8" w:color="7F7F7F"/>
            </w:tcBorders>
          </w:tcPr>
          <w:p>
            <w:pPr>
              <w:jc w:val="right"/>
              <w:ind w:right="18"/>
              <w:spacing w:after="0"/>
              <w:rPr>
                <w:sz w:val="20"/>
                <w:szCs w:val="20"/>
                <w:color w:val="auto"/>
              </w:rPr>
            </w:pPr>
            <w:r>
              <w:rPr>
                <w:rFonts w:ascii="Arial" w:cs="Arial" w:eastAsia="Arial" w:hAnsi="Arial"/>
                <w:sz w:val="12"/>
                <w:szCs w:val="12"/>
                <w:color w:val="auto"/>
              </w:rPr>
              <w:t>11,171</w:t>
            </w:r>
          </w:p>
        </w:tc>
        <w:tc>
          <w:tcPr>
            <w:tcW w:w="1900" w:type="dxa"/>
            <w:vAlign w:val="bottom"/>
            <w:tcBorders>
              <w:bottom w:val="single" w:sz="8" w:color="7F7F7F"/>
            </w:tcBorders>
          </w:tcPr>
          <w:p>
            <w:pPr>
              <w:jc w:val="right"/>
              <w:ind w:right="458"/>
              <w:spacing w:after="0"/>
              <w:rPr>
                <w:sz w:val="20"/>
                <w:szCs w:val="20"/>
                <w:color w:val="auto"/>
              </w:rPr>
            </w:pPr>
            <w:r>
              <w:rPr>
                <w:rFonts w:ascii="Arial" w:cs="Arial" w:eastAsia="Arial" w:hAnsi="Arial"/>
                <w:sz w:val="12"/>
                <w:szCs w:val="12"/>
                <w:color w:val="auto"/>
              </w:rPr>
              <w:t>1,893</w:t>
            </w:r>
          </w:p>
        </w:tc>
        <w:tc>
          <w:tcPr>
            <w:tcW w:w="1200" w:type="dxa"/>
            <w:vAlign w:val="bottom"/>
            <w:tcBorders>
              <w:bottom w:val="single" w:sz="8" w:color="7F7F7F"/>
            </w:tcBorders>
          </w:tcPr>
          <w:p>
            <w:pPr>
              <w:jc w:val="right"/>
              <w:ind w:right="29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13,064</w:t>
            </w:r>
          </w:p>
        </w:tc>
        <w:tc>
          <w:tcPr>
            <w:tcW w:w="0" w:type="dxa"/>
            <w:vAlign w:val="bottom"/>
          </w:tcPr>
          <w:p>
            <w:pPr>
              <w:spacing w:after="0"/>
              <w:rPr>
                <w:sz w:val="1"/>
                <w:szCs w:val="1"/>
                <w:color w:val="auto"/>
              </w:rPr>
            </w:pPr>
          </w:p>
        </w:tc>
      </w:tr>
      <w:tr>
        <w:trPr>
          <w:trHeight w:val="252"/>
        </w:trPr>
        <w:tc>
          <w:tcPr>
            <w:tcW w:w="5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Pablo A. Ferrero</w:t>
            </w:r>
          </w:p>
        </w:tc>
        <w:tc>
          <w:tcPr>
            <w:tcW w:w="106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15,635</w:t>
            </w:r>
          </w:p>
        </w:tc>
        <w:tc>
          <w:tcPr>
            <w:tcW w:w="1900" w:type="dxa"/>
            <w:vAlign w:val="bottom"/>
            <w:tcBorders>
              <w:bottom w:val="single" w:sz="8" w:color="F2F2F2"/>
            </w:tcBorders>
            <w:shd w:val="clear" w:color="auto" w:fill="F2F2F2"/>
          </w:tcPr>
          <w:p>
            <w:pPr>
              <w:jc w:val="right"/>
              <w:ind w:right="458"/>
              <w:spacing w:after="0"/>
              <w:rPr>
                <w:sz w:val="20"/>
                <w:szCs w:val="20"/>
                <w:color w:val="auto"/>
              </w:rPr>
            </w:pPr>
            <w:r>
              <w:rPr>
                <w:rFonts w:ascii="Arial" w:cs="Arial" w:eastAsia="Arial" w:hAnsi="Arial"/>
                <w:sz w:val="12"/>
                <w:szCs w:val="12"/>
                <w:color w:val="auto"/>
              </w:rPr>
              <w:t>1,893</w:t>
            </w:r>
          </w:p>
        </w:tc>
        <w:tc>
          <w:tcPr>
            <w:tcW w:w="120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17,528</w:t>
            </w:r>
          </w:p>
        </w:tc>
        <w:tc>
          <w:tcPr>
            <w:tcW w:w="0" w:type="dxa"/>
            <w:vAlign w:val="bottom"/>
          </w:tcPr>
          <w:p>
            <w:pPr>
              <w:spacing w:after="0"/>
              <w:rPr>
                <w:sz w:val="1"/>
                <w:szCs w:val="1"/>
                <w:color w:val="auto"/>
              </w:rPr>
            </w:pPr>
          </w:p>
        </w:tc>
      </w:tr>
      <w:tr>
        <w:trPr>
          <w:trHeight w:val="194"/>
        </w:trPr>
        <w:tc>
          <w:tcPr>
            <w:tcW w:w="502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Jennifer M. Kirk</w:t>
            </w:r>
          </w:p>
        </w:tc>
        <w:tc>
          <w:tcPr>
            <w:tcW w:w="106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4,533</w:t>
            </w:r>
          </w:p>
        </w:tc>
        <w:tc>
          <w:tcPr>
            <w:tcW w:w="1900" w:type="dxa"/>
            <w:vAlign w:val="bottom"/>
            <w:tcBorders>
              <w:top w:val="single" w:sz="8" w:color="7F7F7F"/>
            </w:tcBorders>
          </w:tcPr>
          <w:p>
            <w:pPr>
              <w:jc w:val="right"/>
              <w:ind w:right="458"/>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7F7F7F"/>
            </w:tcBorders>
          </w:tcPr>
          <w:p>
            <w:pPr>
              <w:jc w:val="right"/>
              <w:ind w:right="29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4,533</w:t>
            </w:r>
          </w:p>
        </w:tc>
        <w:tc>
          <w:tcPr>
            <w:tcW w:w="0" w:type="dxa"/>
            <w:vAlign w:val="bottom"/>
          </w:tcPr>
          <w:p>
            <w:pPr>
              <w:spacing w:after="0"/>
              <w:rPr>
                <w:sz w:val="1"/>
                <w:szCs w:val="1"/>
                <w:color w:val="auto"/>
              </w:rPr>
            </w:pPr>
          </w:p>
        </w:tc>
      </w:tr>
      <w:tr>
        <w:trPr>
          <w:trHeight w:val="54"/>
        </w:trPr>
        <w:tc>
          <w:tcPr>
            <w:tcW w:w="50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90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5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Richard J. Mark</w:t>
            </w:r>
          </w:p>
        </w:tc>
        <w:tc>
          <w:tcPr>
            <w:tcW w:w="106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1,578</w:t>
            </w:r>
          </w:p>
        </w:tc>
        <w:tc>
          <w:tcPr>
            <w:tcW w:w="1900" w:type="dxa"/>
            <w:vAlign w:val="bottom"/>
            <w:tcBorders>
              <w:bottom w:val="single" w:sz="8" w:color="F2F2F2"/>
            </w:tcBorders>
            <w:shd w:val="clear" w:color="auto" w:fill="F2F2F2"/>
          </w:tcPr>
          <w:p>
            <w:pPr>
              <w:jc w:val="right"/>
              <w:ind w:right="458"/>
              <w:spacing w:after="0"/>
              <w:rPr>
                <w:sz w:val="20"/>
                <w:szCs w:val="20"/>
                <w:color w:val="auto"/>
              </w:rPr>
            </w:pPr>
            <w:r>
              <w:rPr>
                <w:rFonts w:ascii="Arial" w:cs="Arial" w:eastAsia="Arial" w:hAnsi="Arial"/>
                <w:sz w:val="12"/>
                <w:szCs w:val="12"/>
                <w:color w:val="auto"/>
              </w:rPr>
              <w:t>1,893</w:t>
            </w:r>
          </w:p>
        </w:tc>
        <w:tc>
          <w:tcPr>
            <w:tcW w:w="120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3,471</w:t>
            </w:r>
          </w:p>
        </w:tc>
        <w:tc>
          <w:tcPr>
            <w:tcW w:w="0" w:type="dxa"/>
            <w:vAlign w:val="bottom"/>
          </w:tcPr>
          <w:p>
            <w:pPr>
              <w:spacing w:after="0"/>
              <w:rPr>
                <w:sz w:val="1"/>
                <w:szCs w:val="1"/>
                <w:color w:val="auto"/>
              </w:rPr>
            </w:pPr>
          </w:p>
        </w:tc>
      </w:tr>
      <w:tr>
        <w:trPr>
          <w:trHeight w:val="194"/>
        </w:trPr>
        <w:tc>
          <w:tcPr>
            <w:tcW w:w="502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Michael N. Mears</w:t>
            </w:r>
          </w:p>
        </w:tc>
        <w:tc>
          <w:tcPr>
            <w:tcW w:w="106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20,378</w:t>
            </w:r>
          </w:p>
        </w:tc>
        <w:tc>
          <w:tcPr>
            <w:tcW w:w="1900" w:type="dxa"/>
            <w:vAlign w:val="bottom"/>
            <w:tcBorders>
              <w:top w:val="single" w:sz="8" w:color="7F7F7F"/>
            </w:tcBorders>
          </w:tcPr>
          <w:p>
            <w:pPr>
              <w:jc w:val="right"/>
              <w:ind w:right="458"/>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7F7F7F"/>
            </w:tcBorders>
          </w:tcPr>
          <w:p>
            <w:pPr>
              <w:jc w:val="right"/>
              <w:ind w:right="29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20,378</w:t>
            </w:r>
          </w:p>
        </w:tc>
        <w:tc>
          <w:tcPr>
            <w:tcW w:w="0" w:type="dxa"/>
            <w:vAlign w:val="bottom"/>
          </w:tcPr>
          <w:p>
            <w:pPr>
              <w:spacing w:after="0"/>
              <w:rPr>
                <w:sz w:val="1"/>
                <w:szCs w:val="1"/>
                <w:color w:val="auto"/>
              </w:rPr>
            </w:pPr>
          </w:p>
        </w:tc>
      </w:tr>
      <w:tr>
        <w:trPr>
          <w:trHeight w:val="54"/>
        </w:trPr>
        <w:tc>
          <w:tcPr>
            <w:tcW w:w="50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90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5020" w:type="dxa"/>
            <w:vAlign w:val="bottom"/>
            <w:tcBorders>
              <w:bottom w:val="single" w:sz="8" w:color="7F7F7F"/>
            </w:tcBorders>
            <w:shd w:val="clear" w:color="auto" w:fill="F2F2F2"/>
          </w:tcPr>
          <w:p>
            <w:pPr>
              <w:ind w:left="60"/>
              <w:spacing w:after="0"/>
              <w:rPr>
                <w:sz w:val="20"/>
                <w:szCs w:val="20"/>
                <w:color w:val="auto"/>
              </w:rPr>
            </w:pPr>
            <w:r>
              <w:rPr>
                <w:rFonts w:ascii="Arial" w:cs="Arial" w:eastAsia="Arial" w:hAnsi="Arial"/>
                <w:sz w:val="12"/>
                <w:szCs w:val="12"/>
                <w:color w:val="auto"/>
              </w:rPr>
              <w:t>Kevin C. Sagara</w:t>
            </w:r>
            <w:r>
              <w:rPr>
                <w:rFonts w:ascii="Arial" w:cs="Arial" w:eastAsia="Arial" w:hAnsi="Arial"/>
                <w:sz w:val="18"/>
                <w:szCs w:val="18"/>
                <w:color w:val="auto"/>
                <w:vertAlign w:val="superscript"/>
              </w:rPr>
              <w:t>(1)</w:t>
            </w:r>
          </w:p>
        </w:tc>
        <w:tc>
          <w:tcPr>
            <w:tcW w:w="1060" w:type="dxa"/>
            <w:vAlign w:val="bottom"/>
            <w:tcBorders>
              <w:bottom w:val="single" w:sz="8" w:color="7F7F7F"/>
            </w:tcBorders>
            <w:shd w:val="clear" w:color="auto" w:fill="F2F2F2"/>
          </w:tcPr>
          <w:p>
            <w:pPr>
              <w:jc w:val="right"/>
              <w:ind w:right="18"/>
              <w:spacing w:after="0"/>
              <w:rPr>
                <w:sz w:val="20"/>
                <w:szCs w:val="20"/>
                <w:color w:val="auto"/>
              </w:rPr>
            </w:pPr>
            <w:r>
              <w:rPr>
                <w:rFonts w:ascii="Arial" w:cs="Arial" w:eastAsia="Arial" w:hAnsi="Arial"/>
                <w:sz w:val="12"/>
                <w:szCs w:val="12"/>
                <w:color w:val="auto"/>
              </w:rPr>
              <w:t>3,941</w:t>
            </w:r>
          </w:p>
        </w:tc>
        <w:tc>
          <w:tcPr>
            <w:tcW w:w="1900" w:type="dxa"/>
            <w:vAlign w:val="bottom"/>
            <w:tcBorders>
              <w:bottom w:val="single" w:sz="8" w:color="7F7F7F"/>
            </w:tcBorders>
            <w:shd w:val="clear" w:color="auto" w:fill="F2F2F2"/>
          </w:tcPr>
          <w:p>
            <w:pPr>
              <w:jc w:val="right"/>
              <w:ind w:right="458"/>
              <w:spacing w:after="0"/>
              <w:rPr>
                <w:sz w:val="20"/>
                <w:szCs w:val="20"/>
                <w:color w:val="auto"/>
              </w:rPr>
            </w:pPr>
            <w:r>
              <w:rPr>
                <w:rFonts w:ascii="Arial" w:cs="Arial" w:eastAsia="Arial" w:hAnsi="Arial"/>
                <w:sz w:val="12"/>
                <w:szCs w:val="12"/>
                <w:color w:val="auto"/>
              </w:rPr>
              <w:t>21,238</w:t>
            </w:r>
          </w:p>
        </w:tc>
        <w:tc>
          <w:tcPr>
            <w:tcW w:w="1200" w:type="dxa"/>
            <w:vAlign w:val="bottom"/>
            <w:tcBorders>
              <w:bottom w:val="single" w:sz="8" w:color="7F7F7F"/>
            </w:tcBorders>
            <w:shd w:val="clear" w:color="auto" w:fill="F2F2F2"/>
          </w:tcPr>
          <w:p>
            <w:pPr>
              <w:jc w:val="right"/>
              <w:ind w:right="298"/>
              <w:spacing w:after="0"/>
              <w:rPr>
                <w:sz w:val="20"/>
                <w:szCs w:val="20"/>
                <w:color w:val="auto"/>
              </w:rPr>
            </w:pPr>
            <w:r>
              <w:rPr>
                <w:rFonts w:ascii="Arial" w:cs="Arial" w:eastAsia="Arial" w:hAnsi="Arial"/>
                <w:sz w:val="12"/>
                <w:szCs w:val="12"/>
                <w:color w:val="auto"/>
              </w:rPr>
              <w:t>182,526</w:t>
            </w:r>
          </w:p>
        </w:tc>
        <w:tc>
          <w:tcPr>
            <w:tcW w:w="8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207,705</w:t>
            </w:r>
          </w:p>
        </w:tc>
        <w:tc>
          <w:tcPr>
            <w:tcW w:w="0" w:type="dxa"/>
            <w:vAlign w:val="bottom"/>
          </w:tcPr>
          <w:p>
            <w:pPr>
              <w:spacing w:after="0"/>
              <w:rPr>
                <w:sz w:val="1"/>
                <w:szCs w:val="1"/>
                <w:color w:val="auto"/>
              </w:rPr>
            </w:pPr>
          </w:p>
        </w:tc>
      </w:tr>
      <w:tr>
        <w:trPr>
          <w:trHeight w:val="194"/>
        </w:trPr>
        <w:tc>
          <w:tcPr>
            <w:tcW w:w="5020" w:type="dxa"/>
            <w:vAlign w:val="bottom"/>
          </w:tcPr>
          <w:p>
            <w:pPr>
              <w:ind w:left="60"/>
              <w:spacing w:after="0"/>
              <w:rPr>
                <w:sz w:val="20"/>
                <w:szCs w:val="20"/>
                <w:color w:val="auto"/>
              </w:rPr>
            </w:pPr>
            <w:r>
              <w:rPr>
                <w:rFonts w:ascii="Arial" w:cs="Arial" w:eastAsia="Arial" w:hAnsi="Arial"/>
                <w:sz w:val="12"/>
                <w:szCs w:val="12"/>
                <w:color w:val="auto"/>
              </w:rPr>
              <w:t>Jack T. Taylor</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41,097</w:t>
            </w:r>
          </w:p>
        </w:tc>
        <w:tc>
          <w:tcPr>
            <w:tcW w:w="1900" w:type="dxa"/>
            <w:vAlign w:val="bottom"/>
          </w:tcPr>
          <w:p>
            <w:pPr>
              <w:jc w:val="right"/>
              <w:ind w:right="458"/>
              <w:spacing w:after="0"/>
              <w:rPr>
                <w:sz w:val="20"/>
                <w:szCs w:val="20"/>
                <w:color w:val="auto"/>
              </w:rPr>
            </w:pPr>
            <w:r>
              <w:rPr>
                <w:rFonts w:ascii="Arial" w:cs="Arial" w:eastAsia="Arial" w:hAnsi="Arial"/>
                <w:sz w:val="12"/>
                <w:szCs w:val="12"/>
                <w:color w:val="auto"/>
              </w:rPr>
              <w:t>—</w:t>
            </w:r>
          </w:p>
        </w:tc>
        <w:tc>
          <w:tcPr>
            <w:tcW w:w="120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41,097</w:t>
            </w:r>
          </w:p>
        </w:tc>
        <w:tc>
          <w:tcPr>
            <w:tcW w:w="0" w:type="dxa"/>
            <w:vAlign w:val="bottom"/>
          </w:tcPr>
          <w:p>
            <w:pPr>
              <w:spacing w:after="0"/>
              <w:rPr>
                <w:sz w:val="1"/>
                <w:szCs w:val="1"/>
                <w:color w:val="auto"/>
              </w:rPr>
            </w:pPr>
          </w:p>
        </w:tc>
      </w:tr>
      <w:tr>
        <w:trPr>
          <w:trHeight w:val="54"/>
        </w:trPr>
        <w:tc>
          <w:tcPr>
            <w:tcW w:w="50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90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5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Cynthia J. Warner</w:t>
            </w:r>
          </w:p>
        </w:tc>
        <w:tc>
          <w:tcPr>
            <w:tcW w:w="106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12,817</w:t>
            </w:r>
          </w:p>
        </w:tc>
        <w:tc>
          <w:tcPr>
            <w:tcW w:w="1900" w:type="dxa"/>
            <w:vAlign w:val="bottom"/>
            <w:tcBorders>
              <w:bottom w:val="single" w:sz="8" w:color="F2F2F2"/>
            </w:tcBorders>
            <w:shd w:val="clear" w:color="auto" w:fill="F2F2F2"/>
          </w:tcPr>
          <w:p>
            <w:pPr>
              <w:jc w:val="right"/>
              <w:ind w:right="45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12,817</w:t>
            </w:r>
          </w:p>
        </w:tc>
        <w:tc>
          <w:tcPr>
            <w:tcW w:w="0" w:type="dxa"/>
            <w:vAlign w:val="bottom"/>
          </w:tcPr>
          <w:p>
            <w:pPr>
              <w:spacing w:after="0"/>
              <w:rPr>
                <w:sz w:val="1"/>
                <w:szCs w:val="1"/>
                <w:color w:val="auto"/>
              </w:rPr>
            </w:pPr>
          </w:p>
        </w:tc>
      </w:tr>
      <w:tr>
        <w:trPr>
          <w:trHeight w:val="194"/>
        </w:trPr>
        <w:tc>
          <w:tcPr>
            <w:tcW w:w="502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Anya Weaving</w:t>
            </w:r>
          </w:p>
        </w:tc>
        <w:tc>
          <w:tcPr>
            <w:tcW w:w="106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519</w:t>
            </w:r>
          </w:p>
        </w:tc>
        <w:tc>
          <w:tcPr>
            <w:tcW w:w="1900" w:type="dxa"/>
            <w:vAlign w:val="bottom"/>
            <w:tcBorders>
              <w:top w:val="single" w:sz="8" w:color="7F7F7F"/>
            </w:tcBorders>
          </w:tcPr>
          <w:p>
            <w:pPr>
              <w:jc w:val="right"/>
              <w:ind w:right="458"/>
              <w:spacing w:after="0"/>
              <w:rPr>
                <w:sz w:val="20"/>
                <w:szCs w:val="20"/>
                <w:color w:val="auto"/>
              </w:rPr>
            </w:pPr>
            <w:r>
              <w:rPr>
                <w:rFonts w:ascii="Arial" w:cs="Arial" w:eastAsia="Arial" w:hAnsi="Arial"/>
                <w:sz w:val="12"/>
                <w:szCs w:val="12"/>
                <w:color w:val="auto"/>
              </w:rPr>
              <w:t>2,045</w:t>
            </w:r>
          </w:p>
        </w:tc>
        <w:tc>
          <w:tcPr>
            <w:tcW w:w="1200" w:type="dxa"/>
            <w:vAlign w:val="bottom"/>
            <w:tcBorders>
              <w:top w:val="single" w:sz="8" w:color="7F7F7F"/>
            </w:tcBorders>
          </w:tcPr>
          <w:p>
            <w:pPr>
              <w:jc w:val="right"/>
              <w:ind w:right="298"/>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2,564</w:t>
            </w:r>
          </w:p>
        </w:tc>
        <w:tc>
          <w:tcPr>
            <w:tcW w:w="0" w:type="dxa"/>
            <w:vAlign w:val="bottom"/>
          </w:tcPr>
          <w:p>
            <w:pPr>
              <w:spacing w:after="0"/>
              <w:rPr>
                <w:sz w:val="1"/>
                <w:szCs w:val="1"/>
                <w:color w:val="auto"/>
              </w:rPr>
            </w:pPr>
          </w:p>
        </w:tc>
      </w:tr>
      <w:tr>
        <w:trPr>
          <w:trHeight w:val="54"/>
        </w:trPr>
        <w:tc>
          <w:tcPr>
            <w:tcW w:w="502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c>
          <w:tcPr>
            <w:tcW w:w="1900" w:type="dxa"/>
            <w:vAlign w:val="bottom"/>
            <w:tcBorders>
              <w:bottom w:val="single" w:sz="8" w:color="7F7F7F"/>
            </w:tcBorders>
          </w:tcPr>
          <w:p>
            <w:pPr>
              <w:spacing w:after="0"/>
              <w:rPr>
                <w:sz w:val="4"/>
                <w:szCs w:val="4"/>
                <w:color w:val="auto"/>
              </w:rPr>
            </w:pPr>
          </w:p>
        </w:tc>
        <w:tc>
          <w:tcPr>
            <w:tcW w:w="120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0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James C. Yardley</w:t>
            </w:r>
          </w:p>
        </w:tc>
        <w:tc>
          <w:tcPr>
            <w:tcW w:w="106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40,517</w:t>
            </w:r>
          </w:p>
        </w:tc>
        <w:tc>
          <w:tcPr>
            <w:tcW w:w="1900" w:type="dxa"/>
            <w:vAlign w:val="bottom"/>
            <w:tcBorders>
              <w:bottom w:val="single" w:sz="8" w:color="F2F2F2"/>
            </w:tcBorders>
            <w:shd w:val="clear" w:color="auto" w:fill="F2F2F2"/>
          </w:tcPr>
          <w:p>
            <w:pPr>
              <w:jc w:val="right"/>
              <w:ind w:right="45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40,517</w:t>
            </w:r>
          </w:p>
        </w:tc>
        <w:tc>
          <w:tcPr>
            <w:tcW w:w="0" w:type="dxa"/>
            <w:vAlign w:val="bottom"/>
          </w:tcPr>
          <w:p>
            <w:pPr>
              <w:spacing w:after="0"/>
              <w:rPr>
                <w:sz w:val="1"/>
                <w:szCs w:val="1"/>
                <w:color w:val="auto"/>
              </w:rPr>
            </w:pPr>
          </w:p>
        </w:tc>
      </w:tr>
      <w:tr>
        <w:trPr>
          <w:trHeight w:val="20"/>
        </w:trPr>
        <w:tc>
          <w:tcPr>
            <w:tcW w:w="5020" w:type="dxa"/>
            <w:vAlign w:val="bottom"/>
            <w:shd w:val="clear" w:color="auto" w:fill="7F7F7F"/>
          </w:tcPr>
          <w:p>
            <w:pPr>
              <w:spacing w:after="0" w:line="20" w:lineRule="exact"/>
              <w:rPr>
                <w:sz w:val="1"/>
                <w:szCs w:val="1"/>
                <w:color w:val="auto"/>
              </w:rPr>
            </w:pPr>
          </w:p>
        </w:tc>
        <w:tc>
          <w:tcPr>
            <w:tcW w:w="1060" w:type="dxa"/>
            <w:vAlign w:val="bottom"/>
            <w:shd w:val="clear" w:color="auto" w:fill="7F7F7F"/>
          </w:tcPr>
          <w:p>
            <w:pPr>
              <w:spacing w:after="0" w:line="20" w:lineRule="exact"/>
              <w:rPr>
                <w:sz w:val="1"/>
                <w:szCs w:val="1"/>
                <w:color w:val="auto"/>
              </w:rPr>
            </w:pPr>
          </w:p>
        </w:tc>
        <w:tc>
          <w:tcPr>
            <w:tcW w:w="1900" w:type="dxa"/>
            <w:vAlign w:val="bottom"/>
            <w:shd w:val="clear" w:color="auto" w:fill="7F7F7F"/>
          </w:tcPr>
          <w:p>
            <w:pPr>
              <w:spacing w:after="0" w:line="20" w:lineRule="exact"/>
              <w:rPr>
                <w:sz w:val="1"/>
                <w:szCs w:val="1"/>
                <w:color w:val="auto"/>
              </w:rPr>
            </w:pPr>
          </w:p>
        </w:tc>
        <w:tc>
          <w:tcPr>
            <w:tcW w:w="1200" w:type="dxa"/>
            <w:vAlign w:val="bottom"/>
            <w:shd w:val="clear" w:color="auto" w:fill="7F7F7F"/>
          </w:tcPr>
          <w:p>
            <w:pPr>
              <w:spacing w:after="0" w:line="20" w:lineRule="exact"/>
              <w:rPr>
                <w:sz w:val="1"/>
                <w:szCs w:val="1"/>
                <w:color w:val="auto"/>
              </w:rPr>
            </w:pPr>
          </w:p>
        </w:tc>
        <w:tc>
          <w:tcPr>
            <w:tcW w:w="84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-1918335</wp:posOffset>
            </wp:positionV>
            <wp:extent cx="13760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6045" cy="8255"/>
                    </a:xfrm>
                    <a:prstGeom prst="rect">
                      <a:avLst/>
                    </a:prstGeom>
                    <a:noFill/>
                  </pic:spPr>
                </pic:pic>
              </a:graphicData>
            </a:graphic>
          </wp:anchor>
        </w:drawing>
      </w:r>
    </w:p>
    <w:p>
      <w:pPr>
        <w:spacing w:after="0" w:line="42" w:lineRule="exact"/>
        <w:rPr>
          <w:sz w:val="20"/>
          <w:szCs w:val="20"/>
          <w:color w:val="auto"/>
        </w:rPr>
      </w:pPr>
    </w:p>
    <w:p>
      <w:pPr>
        <w:ind w:left="1360" w:right="20" w:hanging="323"/>
        <w:spacing w:after="0" w:line="241" w:lineRule="auto"/>
        <w:tabs>
          <w:tab w:leader="none" w:pos="1360" w:val="left"/>
        </w:tabs>
        <w:numPr>
          <w:ilvl w:val="1"/>
          <w:numId w:val="47"/>
        </w:numPr>
        <w:rPr>
          <w:rFonts w:ascii="Arial" w:cs="Arial" w:eastAsia="Arial" w:hAnsi="Arial"/>
          <w:sz w:val="12"/>
          <w:szCs w:val="12"/>
          <w:color w:val="auto"/>
        </w:rPr>
      </w:pPr>
      <w:r>
        <w:rPr>
          <w:rFonts w:ascii="Arial" w:cs="Arial" w:eastAsia="Arial" w:hAnsi="Arial"/>
          <w:sz w:val="12"/>
          <w:szCs w:val="12"/>
          <w:color w:val="auto"/>
        </w:rPr>
        <w:t>Mr. Sagara’s phantom shares include 1,378 phantom shares acquired under Sempra’s nonqualified deferred compensation plan during his prior service as an employee of the company and 2,563 phantom shares earned for his service as a non-employee director. All of Mr. Sagara’s outstanding stock options were granted during his prior service as an employee of the company and consist of three option awards, all of which are fully exercisable for (i) 67,052 shares with an exercise price per share of $61.90 and an expiration date of January 3, 2031, (ii) 72,794 shares with an exercise price per share of $66.00 and an expiration date of January 2, 2032, and (iii) 42,680 shares with an exercise price per share of $76.86 and an expiration date of January 2, 2033. All of Mr. Sagara’s restricted stock units shown in this table were granted during his prior service as an employee of the company and have vested or been forfeited subsequent to December 31, 2025.</w:t>
      </w:r>
    </w:p>
    <w:p>
      <w:pPr>
        <w:spacing w:after="0" w:line="51" w:lineRule="exact"/>
        <w:rPr>
          <w:rFonts w:ascii="Arial" w:cs="Arial" w:eastAsia="Arial" w:hAnsi="Arial"/>
          <w:sz w:val="12"/>
          <w:szCs w:val="12"/>
          <w:color w:val="auto"/>
        </w:rPr>
      </w:pPr>
    </w:p>
    <w:p>
      <w:pPr>
        <w:ind w:left="480" w:right="40" w:hanging="313"/>
        <w:spacing w:after="0" w:line="255" w:lineRule="auto"/>
        <w:tabs>
          <w:tab w:leader="none" w:pos="4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Consists of above-market interest (interest in excess of 120% of the federal long-term rate) on deferred compensation for 2025, including, for Mr. Sagara, deferred compensation earned during his prior service as an employee of the company. None of our directors are eligible for pension benefits based on their service as directors so there was no aggregate change in the actuarial value of accumulated benefits under any defined benefit pension plan for any directors in 2025.</w:t>
      </w:r>
    </w:p>
    <w:p>
      <w:pPr>
        <w:spacing w:after="0" w:line="1" w:lineRule="exact"/>
        <w:rPr>
          <w:rFonts w:ascii="Arial" w:cs="Arial" w:eastAsia="Arial" w:hAnsi="Arial"/>
          <w:sz w:val="12"/>
          <w:szCs w:val="12"/>
          <w:color w:val="auto"/>
        </w:rPr>
      </w:pPr>
    </w:p>
    <w:p>
      <w:pPr>
        <w:ind w:left="480" w:right="340" w:hanging="313"/>
        <w:spacing w:after="0" w:line="279" w:lineRule="auto"/>
        <w:tabs>
          <w:tab w:leader="none" w:pos="4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Consists of contributions to charitable, educational and other non-profit organizations to match the personal contributions of directors on a dollar-for-dollar basis up to an annual maximum match of $25,000 for each director. All matching contributions are made by the Sempra Foundation, which was founded and is solely funded by Sempra.</w:t>
      </w:r>
    </w:p>
    <w:p>
      <w:pPr>
        <w:spacing w:after="0" w:line="62" w:lineRule="exact"/>
        <w:rPr>
          <w:sz w:val="20"/>
          <w:szCs w:val="20"/>
          <w:color w:val="auto"/>
        </w:rPr>
      </w:pPr>
    </w:p>
    <w:p>
      <w:pPr>
        <w:jc w:val="both"/>
        <w:ind w:left="160" w:right="480"/>
        <w:spacing w:after="0" w:line="260" w:lineRule="auto"/>
        <w:rPr>
          <w:sz w:val="20"/>
          <w:szCs w:val="20"/>
          <w:color w:val="auto"/>
        </w:rPr>
      </w:pPr>
      <w:r>
        <w:rPr>
          <w:rFonts w:ascii="Arial" w:cs="Arial" w:eastAsia="Arial" w:hAnsi="Arial"/>
          <w:sz w:val="14"/>
          <w:szCs w:val="14"/>
          <w:color w:val="auto"/>
        </w:rPr>
        <w:t>In addition to the compensation for non-employee directors set forth above, Sempra has agreements with these directors that provide for indemnification for monetary damages to the fullest extent permissible under California law, which are intended to help mitigate concerns about personal liability in connection with their service as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69297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22               </w:t>
      </w:r>
      <w:r>
        <w:rPr>
          <w:sz w:val="1"/>
          <w:szCs w:val="1"/>
          <w:color w:val="auto"/>
        </w:rPr>
        <w:drawing>
          <wp:inline distT="0" distB="0" distL="0" distR="0">
            <wp:extent cx="739140" cy="14414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Audit Committee Report</w:t>
      </w:r>
    </w:p>
    <w:p>
      <w:pPr>
        <w:spacing w:after="0" w:line="349" w:lineRule="exact"/>
        <w:rPr>
          <w:sz w:val="20"/>
          <w:szCs w:val="20"/>
          <w:color w:val="auto"/>
        </w:rPr>
      </w:pPr>
    </w:p>
    <w:p>
      <w:pPr>
        <w:ind w:left="160" w:right="20"/>
        <w:spacing w:after="0" w:line="253" w:lineRule="auto"/>
        <w:rPr>
          <w:sz w:val="20"/>
          <w:szCs w:val="20"/>
          <w:color w:val="auto"/>
        </w:rPr>
      </w:pPr>
      <w:r>
        <w:rPr>
          <w:rFonts w:ascii="Arial" w:cs="Arial" w:eastAsia="Arial" w:hAnsi="Arial"/>
          <w:sz w:val="14"/>
          <w:szCs w:val="14"/>
          <w:color w:val="auto"/>
        </w:rPr>
        <w:t>The Audit Committee of the Board of Directors is composed of the five directors named below. The board has determined that all members of the committee are independent directors and are financially literate and that each of Mr. Taylor, the Chair of the committee, and Mss. Kirk and Weaving is an audit committee financial expert as defined by the rules of the U.S. Securities and Exchange Commission. The committee’s charter, adopted by the board, is posted on the company’s website at www.sempra.com under the “Corporate governance” tab of the “Investors” tab.</w:t>
      </w:r>
    </w:p>
    <w:p>
      <w:pPr>
        <w:spacing w:after="0" w:line="70" w:lineRule="exact"/>
        <w:rPr>
          <w:sz w:val="20"/>
          <w:szCs w:val="20"/>
          <w:color w:val="auto"/>
        </w:rPr>
      </w:pPr>
    </w:p>
    <w:p>
      <w:pPr>
        <w:ind w:left="160" w:right="60"/>
        <w:spacing w:after="0" w:line="253" w:lineRule="auto"/>
        <w:rPr>
          <w:sz w:val="20"/>
          <w:szCs w:val="20"/>
          <w:color w:val="auto"/>
        </w:rPr>
      </w:pPr>
      <w:r>
        <w:rPr>
          <w:rFonts w:ascii="Arial" w:cs="Arial" w:eastAsia="Arial" w:hAnsi="Arial"/>
          <w:sz w:val="14"/>
          <w:szCs w:val="14"/>
          <w:color w:val="auto"/>
        </w:rPr>
        <w:t>The committee’s responsibilities include appointing the company’s independent registered public accounting firm, pre-approving both audit and non-audit services to be provided by the firm and assisting the board in providing oversight of the company’s financial reporting process. In fulfilling its oversight responsibilities, the committee meets with the company’s independent registered public accounting firm, internal auditors and management to review accounting, auditing, internal control and financial reporting matters.</w:t>
      </w:r>
    </w:p>
    <w:p>
      <w:pPr>
        <w:spacing w:after="0" w:line="70" w:lineRule="exact"/>
        <w:rPr>
          <w:sz w:val="20"/>
          <w:szCs w:val="20"/>
          <w:color w:val="auto"/>
        </w:rPr>
      </w:pPr>
    </w:p>
    <w:p>
      <w:pPr>
        <w:ind w:left="160"/>
        <w:spacing w:after="0" w:line="246" w:lineRule="auto"/>
        <w:rPr>
          <w:sz w:val="20"/>
          <w:szCs w:val="20"/>
          <w:color w:val="auto"/>
        </w:rPr>
      </w:pPr>
      <w:r>
        <w:rPr>
          <w:rFonts w:ascii="Arial" w:cs="Arial" w:eastAsia="Arial" w:hAnsi="Arial"/>
          <w:sz w:val="14"/>
          <w:szCs w:val="14"/>
          <w:color w:val="auto"/>
        </w:rPr>
        <w:t>It is not the committee’s responsibility to plan or conduct audits or to determine that the company’s financial statements and disclosures are complete, accurate and in accordance with accounting principles generally accepted in the United States of America and applicable laws, rules and regulations. Management is responsible for the company’s financial statements, including the estimates and judgments on which they are based, as well as the company’s financial reporting process, accounting policies, internal audit function, internal accounting controls, disclosure controls and procedures, and risk management. The company’s independent registered public accounting firm, Deloitte &amp; Touche LLP, is responsible for performing an audit of the company’s annual financial statements, expressing an opinion as to the conformity, in all material respects, of the annual financial statements with accounting principles generally accepted in the United States of America, expressing an opinion as to the effectiveness of the company’s internal control over financial reporting and performing reviews of the company’s quarterly financial statements.</w:t>
      </w:r>
    </w:p>
    <w:p>
      <w:pPr>
        <w:spacing w:after="0" w:line="75" w:lineRule="exact"/>
        <w:rPr>
          <w:sz w:val="20"/>
          <w:szCs w:val="20"/>
          <w:color w:val="auto"/>
        </w:rPr>
      </w:pPr>
    </w:p>
    <w:p>
      <w:pPr>
        <w:ind w:left="160" w:right="100"/>
        <w:spacing w:after="0" w:line="247" w:lineRule="auto"/>
        <w:rPr>
          <w:sz w:val="20"/>
          <w:szCs w:val="20"/>
          <w:color w:val="auto"/>
        </w:rPr>
      </w:pPr>
      <w:r>
        <w:rPr>
          <w:rFonts w:ascii="Arial" w:cs="Arial" w:eastAsia="Arial" w:hAnsi="Arial"/>
          <w:sz w:val="14"/>
          <w:szCs w:val="14"/>
          <w:color w:val="auto"/>
        </w:rPr>
        <w:t>The committee has discussed with Deloitte &amp; Touche LLP the matters required to be discussed by the applicable requirements of the Public Company Accounting Oversight Board and the U.S. Securities and Exchange Commission, which require the independent registered public accounting firm to communicate information to the committee regarding the scope and results of its audit of the company’s financial statements, including information with respect to the firm’s responsibilities under auditing standards generally accepted in the United States of America, significant accounting policies, management judgments and estimates, any significant unusual transactions or audit adjustments, any disagreements with management and any difficulties encountered in performing the audit and other similar matters required to be discussed with the committee by those standards.</w:t>
      </w:r>
    </w:p>
    <w:p>
      <w:pPr>
        <w:spacing w:after="0" w:line="76" w:lineRule="exact"/>
        <w:rPr>
          <w:sz w:val="20"/>
          <w:szCs w:val="20"/>
          <w:color w:val="auto"/>
        </w:rPr>
      </w:pPr>
    </w:p>
    <w:p>
      <w:pPr>
        <w:ind w:left="160" w:right="60"/>
        <w:spacing w:after="0" w:line="253" w:lineRule="auto"/>
        <w:rPr>
          <w:sz w:val="20"/>
          <w:szCs w:val="20"/>
          <w:color w:val="auto"/>
        </w:rPr>
      </w:pPr>
      <w:r>
        <w:rPr>
          <w:rFonts w:ascii="Arial" w:cs="Arial" w:eastAsia="Arial" w:hAnsi="Arial"/>
          <w:sz w:val="14"/>
          <w:szCs w:val="14"/>
          <w:color w:val="auto"/>
        </w:rPr>
        <w:t>The committee also has received from Deloitte &amp; Touche LLP a report providing the disclosures required by the applicable requirements of the Public Company Accounting Oversight Board regarding the independent accountant’s communications with the Audit Committee concerning independence. Deloitte &amp; Touche LLP also has discussed its independence with the committee and confirmed in the report that, in its professional judgment, it is independent of the company within the meaning of the federal securities laws. The committee also considered whether Deloitte &amp; Touche LLP’s provision of non-audit services to the company and its affiliates is compatible with its independence.</w:t>
      </w:r>
    </w:p>
    <w:p>
      <w:pPr>
        <w:spacing w:after="0" w:line="70" w:lineRule="exact"/>
        <w:rPr>
          <w:sz w:val="20"/>
          <w:szCs w:val="20"/>
          <w:color w:val="auto"/>
        </w:rPr>
      </w:pPr>
    </w:p>
    <w:p>
      <w:pPr>
        <w:ind w:left="160" w:right="140"/>
        <w:spacing w:after="0" w:line="281" w:lineRule="auto"/>
        <w:rPr>
          <w:sz w:val="20"/>
          <w:szCs w:val="20"/>
          <w:color w:val="auto"/>
        </w:rPr>
      </w:pPr>
      <w:r>
        <w:rPr>
          <w:rFonts w:ascii="Arial" w:cs="Arial" w:eastAsia="Arial" w:hAnsi="Arial"/>
          <w:sz w:val="14"/>
          <w:szCs w:val="14"/>
          <w:color w:val="auto"/>
        </w:rPr>
        <w:t>The committee also has reviewed and discussed with the company’s management the audited financial statements included in the company’s Annual Report on Form 10-K for the year ended December 31, 2025, and management’s report on internal control over financial reporting.</w:t>
      </w:r>
    </w:p>
    <w:p>
      <w:pPr>
        <w:spacing w:after="0" w:line="51" w:lineRule="exact"/>
        <w:rPr>
          <w:sz w:val="20"/>
          <w:szCs w:val="20"/>
          <w:color w:val="auto"/>
        </w:rPr>
      </w:pPr>
    </w:p>
    <w:p>
      <w:pPr>
        <w:ind w:left="160" w:right="60"/>
        <w:spacing w:after="0" w:line="247" w:lineRule="auto"/>
        <w:rPr>
          <w:sz w:val="20"/>
          <w:szCs w:val="20"/>
          <w:color w:val="auto"/>
        </w:rPr>
      </w:pPr>
      <w:r>
        <w:rPr>
          <w:rFonts w:ascii="Arial" w:cs="Arial" w:eastAsia="Arial" w:hAnsi="Arial"/>
          <w:sz w:val="14"/>
          <w:szCs w:val="14"/>
          <w:color w:val="auto"/>
        </w:rPr>
        <w:t>Management has confirmed to the committee that the financial statements have been prepared with integrity and objectivity and that management has maintained an effective system of internal control over financial reporting. Deloitte &amp; Touche LLP has expressed its professional opinions that the financial statements present fairly, in all material respects, the financial position and results of operations of the company in conformity with accounting principles generally accepted in the United States of America, and that management has maintained, in all material respects, an effective system of internal control over financial reporting. In addition, the company’s Chief Executive Officer and Chief Financial Officer have reviewed with the committee the certifications that each will file with the U.S. Securities and Exchange Commission pursuant to the requirements of the Sarbanes-Oxley Act of 2002 and the policies and procedures management has adopted to support the certifications.</w:t>
      </w:r>
    </w:p>
    <w:p>
      <w:pPr>
        <w:spacing w:after="0" w:line="76" w:lineRule="exact"/>
        <w:rPr>
          <w:sz w:val="20"/>
          <w:szCs w:val="20"/>
          <w:color w:val="auto"/>
        </w:rPr>
      </w:pPr>
    </w:p>
    <w:p>
      <w:pPr>
        <w:ind w:left="160" w:right="600"/>
        <w:spacing w:after="0" w:line="281" w:lineRule="auto"/>
        <w:rPr>
          <w:sz w:val="20"/>
          <w:szCs w:val="20"/>
          <w:color w:val="auto"/>
        </w:rPr>
      </w:pPr>
      <w:r>
        <w:rPr>
          <w:rFonts w:ascii="Arial" w:cs="Arial" w:eastAsia="Arial" w:hAnsi="Arial"/>
          <w:sz w:val="14"/>
          <w:szCs w:val="14"/>
          <w:color w:val="auto"/>
        </w:rPr>
        <w:t>Based on these considerations, the Audit Committee has recommended to the Board of Directors that the company’s audited financial statements be included in the company’s Annual Report on Form 10-K for the year ended December 31, 2025, for filing with the U.S. Securities and Exchange Commission.</w:t>
      </w:r>
    </w:p>
    <w:p>
      <w:pPr>
        <w:spacing w:after="0" w:line="158"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Audit Committee</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Jack T. Taylor, Chair</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Andrés Conesa</w:t>
      </w:r>
    </w:p>
    <w:p>
      <w:pPr>
        <w:jc w:val="right"/>
        <w:spacing w:after="0"/>
        <w:rPr>
          <w:sz w:val="20"/>
          <w:szCs w:val="20"/>
          <w:color w:val="auto"/>
        </w:rPr>
      </w:pPr>
      <w:r>
        <w:rPr>
          <w:rFonts w:ascii="Arial" w:cs="Arial" w:eastAsia="Arial" w:hAnsi="Arial"/>
          <w:sz w:val="14"/>
          <w:szCs w:val="14"/>
          <w:color w:val="auto"/>
        </w:rPr>
        <w:t>Jennifer M. Kirk</w:t>
      </w:r>
    </w:p>
    <w:p>
      <w:pPr>
        <w:jc w:val="right"/>
        <w:spacing w:after="0"/>
        <w:rPr>
          <w:sz w:val="20"/>
          <w:szCs w:val="20"/>
          <w:color w:val="auto"/>
        </w:rPr>
      </w:pPr>
      <w:r>
        <w:rPr>
          <w:rFonts w:ascii="Arial" w:cs="Arial" w:eastAsia="Arial" w:hAnsi="Arial"/>
          <w:sz w:val="14"/>
          <w:szCs w:val="14"/>
          <w:color w:val="auto"/>
        </w:rPr>
        <w:t>Richard J. Mark</w:t>
      </w:r>
    </w:p>
    <w:p>
      <w:pPr>
        <w:jc w:val="right"/>
        <w:spacing w:after="0"/>
        <w:rPr>
          <w:sz w:val="20"/>
          <w:szCs w:val="20"/>
          <w:color w:val="auto"/>
        </w:rPr>
      </w:pPr>
      <w:r>
        <w:rPr>
          <w:rFonts w:ascii="Arial" w:cs="Arial" w:eastAsia="Arial" w:hAnsi="Arial"/>
          <w:sz w:val="14"/>
          <w:szCs w:val="14"/>
          <w:color w:val="auto"/>
        </w:rPr>
        <w:t>Anya Weaving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98425</wp:posOffset>
            </wp:positionV>
            <wp:extent cx="69297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208915</wp:posOffset>
            </wp:positionV>
            <wp:extent cx="739140" cy="144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58"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23</w:t>
      </w:r>
    </w:p>
    <w:p>
      <w:pPr>
        <w:sectPr>
          <w:pgSz w:w="11900" w:h="16838" w:orient="portrait"/>
          <w:cols w:equalWidth="0" w:num="1">
            <w:col w:w="11080"/>
          </w:cols>
          <w:pgMar w:left="320" w:top="478"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Share Ownership</w:t>
      </w:r>
    </w:p>
    <w:p>
      <w:pPr>
        <w:spacing w:after="0" w:line="349" w:lineRule="exact"/>
        <w:rPr>
          <w:sz w:val="20"/>
          <w:szCs w:val="20"/>
          <w:color w:val="auto"/>
        </w:rPr>
      </w:pPr>
    </w:p>
    <w:p>
      <w:pPr>
        <w:ind w:left="160" w:right="60"/>
        <w:spacing w:after="0" w:line="247" w:lineRule="auto"/>
        <w:rPr>
          <w:sz w:val="20"/>
          <w:szCs w:val="20"/>
          <w:color w:val="auto"/>
        </w:rPr>
      </w:pPr>
      <w:r>
        <w:rPr>
          <w:rFonts w:ascii="Arial" w:cs="Arial" w:eastAsia="Arial" w:hAnsi="Arial"/>
          <w:sz w:val="14"/>
          <w:szCs w:val="14"/>
          <w:color w:val="auto"/>
        </w:rPr>
        <w:t>The following table shows the number of shares of our common stock (rounded down to the nearest whole share where applicable) beneficially owned as of March 20, 2026, by each of our directors, by each of our executive officers named in the executive compensation tables in this proxy statement (named executive officers), and by all of our directors and executive officers as of the date of this proxy statement as a group. The shares of common stock beneficially owned by each of our directors and named executive officers and by our directors and executive officers as a group in each case total less than 1% of our outstanding shares of common stock. In calculating these percentages, shares under the heading “Phantom Shares” are not included because these phantom shares (i) cannot be voted and (ii) may only be settled for cash or cannot be settled for shares of our common stock within 60 days after March 20, 2026. As of March 20, 2026, 653,332,556 shares of our common stock were outstanding.</w:t>
      </w: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6380" w:type="dxa"/>
            <w:vAlign w:val="bottom"/>
            <w:shd w:val="clear" w:color="auto" w:fill="005CB9"/>
          </w:tcPr>
          <w:p>
            <w:pPr>
              <w:spacing w:after="0"/>
              <w:rPr>
                <w:sz w:val="18"/>
                <w:szCs w:val="18"/>
                <w:color w:val="auto"/>
              </w:rPr>
            </w:pPr>
          </w:p>
        </w:tc>
        <w:tc>
          <w:tcPr>
            <w:tcW w:w="800" w:type="dxa"/>
            <w:vAlign w:val="bottom"/>
            <w:shd w:val="clear" w:color="auto" w:fill="005CB9"/>
          </w:tcPr>
          <w:p>
            <w:pPr>
              <w:spacing w:after="0"/>
              <w:rPr>
                <w:sz w:val="18"/>
                <w:szCs w:val="18"/>
                <w:color w:val="auto"/>
              </w:rPr>
            </w:pPr>
          </w:p>
        </w:tc>
        <w:tc>
          <w:tcPr>
            <w:tcW w:w="1120" w:type="dxa"/>
            <w:vAlign w:val="bottom"/>
            <w:shd w:val="clear" w:color="auto" w:fill="005CB9"/>
          </w:tcPr>
          <w:p>
            <w:pPr>
              <w:spacing w:after="0"/>
              <w:rPr>
                <w:sz w:val="18"/>
                <w:szCs w:val="18"/>
                <w:color w:val="auto"/>
              </w:rPr>
            </w:pPr>
          </w:p>
        </w:tc>
        <w:tc>
          <w:tcPr>
            <w:tcW w:w="960" w:type="dxa"/>
            <w:vAlign w:val="bottom"/>
            <w:shd w:val="clear" w:color="auto" w:fill="005CB9"/>
          </w:tcPr>
          <w:p>
            <w:pPr>
              <w:spacing w:after="0"/>
              <w:rPr>
                <w:sz w:val="18"/>
                <w:szCs w:val="18"/>
                <w:color w:val="auto"/>
              </w:rPr>
            </w:pPr>
          </w:p>
        </w:tc>
        <w:tc>
          <w:tcPr>
            <w:tcW w:w="720" w:type="dxa"/>
            <w:vAlign w:val="bottom"/>
            <w:shd w:val="clear" w:color="auto" w:fill="005CB9"/>
          </w:tcPr>
          <w:p>
            <w:pPr>
              <w:spacing w:after="0"/>
              <w:rPr>
                <w:sz w:val="18"/>
                <w:szCs w:val="18"/>
                <w:color w:val="auto"/>
              </w:rPr>
            </w:pPr>
          </w:p>
        </w:tc>
        <w:tc>
          <w:tcPr>
            <w:tcW w:w="940" w:type="dxa"/>
            <w:vAlign w:val="bottom"/>
            <w:shd w:val="clear" w:color="auto" w:fill="005CB9"/>
          </w:tcPr>
          <w:p>
            <w:pPr>
              <w:jc w:val="right"/>
              <w:ind w:right="349"/>
              <w:spacing w:after="0"/>
              <w:rPr>
                <w:sz w:val="20"/>
                <w:szCs w:val="20"/>
                <w:color w:val="auto"/>
              </w:rPr>
            </w:pPr>
            <w:r>
              <w:rPr>
                <w:rFonts w:ascii="Arial" w:cs="Arial" w:eastAsia="Arial" w:hAnsi="Arial"/>
                <w:sz w:val="14"/>
                <w:szCs w:val="14"/>
                <w:b w:val="1"/>
                <w:bCs w:val="1"/>
                <w:color w:val="FFFFFF"/>
              </w:rPr>
              <w:t>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0"/>
        </w:trPr>
        <w:tc>
          <w:tcPr>
            <w:tcW w:w="6380" w:type="dxa"/>
            <w:vAlign w:val="bottom"/>
            <w:shd w:val="clear" w:color="auto" w:fill="005CB9"/>
          </w:tcPr>
          <w:p>
            <w:pPr>
              <w:spacing w:after="0"/>
              <w:rPr>
                <w:sz w:val="13"/>
                <w:szCs w:val="13"/>
                <w:color w:val="auto"/>
              </w:rPr>
            </w:pPr>
          </w:p>
        </w:tc>
        <w:tc>
          <w:tcPr>
            <w:tcW w:w="800" w:type="dxa"/>
            <w:vAlign w:val="bottom"/>
            <w:shd w:val="clear" w:color="auto" w:fill="005CB9"/>
          </w:tcPr>
          <w:p>
            <w:pPr>
              <w:spacing w:after="0"/>
              <w:rPr>
                <w:sz w:val="13"/>
                <w:szCs w:val="13"/>
                <w:color w:val="auto"/>
              </w:rPr>
            </w:pPr>
          </w:p>
        </w:tc>
        <w:tc>
          <w:tcPr>
            <w:tcW w:w="1120" w:type="dxa"/>
            <w:vAlign w:val="bottom"/>
            <w:shd w:val="clear" w:color="auto" w:fill="005CB9"/>
          </w:tcPr>
          <w:p>
            <w:pPr>
              <w:spacing w:after="0"/>
              <w:rPr>
                <w:sz w:val="13"/>
                <w:szCs w:val="13"/>
                <w:color w:val="auto"/>
              </w:rPr>
            </w:pPr>
          </w:p>
        </w:tc>
        <w:tc>
          <w:tcPr>
            <w:tcW w:w="960" w:type="dxa"/>
            <w:vAlign w:val="bottom"/>
            <w:shd w:val="clear" w:color="auto" w:fill="005CB9"/>
          </w:tcPr>
          <w:p>
            <w:pPr>
              <w:spacing w:after="0"/>
              <w:rPr>
                <w:sz w:val="13"/>
                <w:szCs w:val="13"/>
                <w:color w:val="auto"/>
              </w:rPr>
            </w:pPr>
          </w:p>
        </w:tc>
        <w:tc>
          <w:tcPr>
            <w:tcW w:w="720" w:type="dxa"/>
            <w:vAlign w:val="bottom"/>
            <w:shd w:val="clear" w:color="auto" w:fill="005CB9"/>
          </w:tcPr>
          <w:p>
            <w:pPr>
              <w:spacing w:after="0"/>
              <w:rPr>
                <w:sz w:val="13"/>
                <w:szCs w:val="13"/>
                <w:color w:val="auto"/>
              </w:rPr>
            </w:pPr>
          </w:p>
        </w:tc>
        <w:tc>
          <w:tcPr>
            <w:tcW w:w="9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Total Shares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6380" w:type="dxa"/>
            <w:vAlign w:val="bottom"/>
            <w:shd w:val="clear" w:color="auto" w:fill="005CB9"/>
          </w:tcPr>
          <w:p>
            <w:pPr>
              <w:spacing w:after="0"/>
              <w:rPr>
                <w:sz w:val="13"/>
                <w:szCs w:val="13"/>
                <w:color w:val="auto"/>
              </w:rPr>
            </w:pPr>
          </w:p>
        </w:tc>
        <w:tc>
          <w:tcPr>
            <w:tcW w:w="80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Shares of</w:t>
            </w:r>
          </w:p>
        </w:tc>
        <w:tc>
          <w:tcPr>
            <w:tcW w:w="1120" w:type="dxa"/>
            <w:vAlign w:val="bottom"/>
            <w:shd w:val="clear" w:color="auto" w:fill="005CB9"/>
          </w:tcPr>
          <w:p>
            <w:pPr>
              <w:spacing w:after="0"/>
              <w:rPr>
                <w:sz w:val="13"/>
                <w:szCs w:val="13"/>
                <w:color w:val="auto"/>
              </w:rPr>
            </w:pPr>
          </w:p>
        </w:tc>
        <w:tc>
          <w:tcPr>
            <w:tcW w:w="960" w:type="dxa"/>
            <w:vAlign w:val="bottom"/>
            <w:shd w:val="clear" w:color="auto" w:fill="005CB9"/>
          </w:tcPr>
          <w:p>
            <w:pPr>
              <w:spacing w:after="0"/>
              <w:rPr>
                <w:sz w:val="13"/>
                <w:szCs w:val="13"/>
                <w:color w:val="auto"/>
              </w:rPr>
            </w:pPr>
          </w:p>
        </w:tc>
        <w:tc>
          <w:tcPr>
            <w:tcW w:w="720" w:type="dxa"/>
            <w:vAlign w:val="bottom"/>
            <w:shd w:val="clear" w:color="auto" w:fill="005CB9"/>
          </w:tcPr>
          <w:p>
            <w:pPr>
              <w:spacing w:after="0"/>
              <w:rPr>
                <w:sz w:val="13"/>
                <w:szCs w:val="13"/>
                <w:color w:val="auto"/>
              </w:rPr>
            </w:pPr>
          </w:p>
        </w:tc>
        <w:tc>
          <w:tcPr>
            <w:tcW w:w="9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Beneficially</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6380" w:type="dxa"/>
            <w:vAlign w:val="bottom"/>
            <w:shd w:val="clear" w:color="auto" w:fill="005CB9"/>
          </w:tcPr>
          <w:p>
            <w:pPr>
              <w:spacing w:after="0"/>
              <w:rPr>
                <w:sz w:val="13"/>
                <w:szCs w:val="13"/>
                <w:color w:val="auto"/>
              </w:rPr>
            </w:pPr>
          </w:p>
        </w:tc>
        <w:tc>
          <w:tcPr>
            <w:tcW w:w="800" w:type="dxa"/>
            <w:vAlign w:val="bottom"/>
            <w:shd w:val="clear" w:color="auto" w:fill="005CB9"/>
          </w:tcPr>
          <w:p>
            <w:pPr>
              <w:jc w:val="right"/>
              <w:ind w:right="69"/>
              <w:spacing w:after="0"/>
              <w:rPr>
                <w:sz w:val="20"/>
                <w:szCs w:val="20"/>
                <w:color w:val="auto"/>
              </w:rPr>
            </w:pPr>
            <w:r>
              <w:rPr>
                <w:rFonts w:ascii="Arial" w:cs="Arial" w:eastAsia="Arial" w:hAnsi="Arial"/>
                <w:sz w:val="14"/>
                <w:szCs w:val="14"/>
                <w:b w:val="1"/>
                <w:bCs w:val="1"/>
                <w:color w:val="FFFFFF"/>
              </w:rPr>
              <w:t>Sempra</w:t>
            </w:r>
          </w:p>
        </w:tc>
        <w:tc>
          <w:tcPr>
            <w:tcW w:w="112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Shares Subject</w:t>
            </w:r>
          </w:p>
        </w:tc>
        <w:tc>
          <w:tcPr>
            <w:tcW w:w="9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Total Shares</w:t>
            </w:r>
          </w:p>
        </w:tc>
        <w:tc>
          <w:tcPr>
            <w:tcW w:w="720" w:type="dxa"/>
            <w:vAlign w:val="bottom"/>
            <w:shd w:val="clear" w:color="auto" w:fill="005CB9"/>
          </w:tcPr>
          <w:p>
            <w:pPr>
              <w:spacing w:after="0"/>
              <w:rPr>
                <w:sz w:val="13"/>
                <w:szCs w:val="13"/>
                <w:color w:val="auto"/>
              </w:rPr>
            </w:pPr>
          </w:p>
        </w:tc>
        <w:tc>
          <w:tcPr>
            <w:tcW w:w="9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8"/>
              </w:rPr>
              <w:t>Owned Plus </w:t>
            </w:r>
          </w:p>
        </w:tc>
        <w:tc>
          <w:tcPr>
            <w:tcW w:w="40" w:type="dxa"/>
            <w:vAlign w:val="bottom"/>
            <w:gridSpan w:val="2"/>
          </w:tcPr>
          <w:p>
            <w:pPr>
              <w:spacing w:after="0"/>
              <w:rPr>
                <w:sz w:val="20"/>
                <w:szCs w:val="20"/>
                <w:color w:val="auto"/>
              </w:rPr>
            </w:pPr>
            <w:r>
              <w:rPr>
                <w:rFonts w:ascii="Arial" w:cs="Arial" w:eastAsia="Arial" w:hAnsi="Arial"/>
                <w:sz w:val="14"/>
                <w:szCs w:val="14"/>
                <w:b w:val="1"/>
                <w:bCs w:val="1"/>
                <w:color w:val="FFFFFF"/>
              </w:rPr>
              <w:t> </w:t>
            </w:r>
          </w:p>
        </w:tc>
      </w:tr>
      <w:tr>
        <w:trPr>
          <w:trHeight w:val="157"/>
        </w:trPr>
        <w:tc>
          <w:tcPr>
            <w:tcW w:w="6380" w:type="dxa"/>
            <w:vAlign w:val="bottom"/>
            <w:shd w:val="clear" w:color="auto" w:fill="005CB9"/>
          </w:tcPr>
          <w:p>
            <w:pPr>
              <w:spacing w:after="0"/>
              <w:rPr>
                <w:sz w:val="13"/>
                <w:szCs w:val="13"/>
                <w:color w:val="auto"/>
              </w:rPr>
            </w:pPr>
          </w:p>
        </w:tc>
        <w:tc>
          <w:tcPr>
            <w:tcW w:w="800" w:type="dxa"/>
            <w:vAlign w:val="bottom"/>
            <w:shd w:val="clear" w:color="auto" w:fill="005CB9"/>
          </w:tcPr>
          <w:p>
            <w:pPr>
              <w:jc w:val="center"/>
              <w:spacing w:after="0" w:line="157" w:lineRule="exact"/>
              <w:rPr>
                <w:sz w:val="20"/>
                <w:szCs w:val="20"/>
                <w:color w:val="auto"/>
              </w:rPr>
            </w:pPr>
            <w:r>
              <w:rPr>
                <w:rFonts w:ascii="Arial" w:cs="Arial" w:eastAsia="Arial" w:hAnsi="Arial"/>
                <w:sz w:val="14"/>
                <w:szCs w:val="14"/>
                <w:b w:val="1"/>
                <w:bCs w:val="1"/>
                <w:color w:val="FFFFFF"/>
              </w:rPr>
              <w:t>Common</w:t>
            </w:r>
          </w:p>
        </w:tc>
        <w:tc>
          <w:tcPr>
            <w:tcW w:w="1120" w:type="dxa"/>
            <w:vAlign w:val="bottom"/>
            <w:shd w:val="clear" w:color="auto" w:fill="005CB9"/>
          </w:tcPr>
          <w:p>
            <w:pPr>
              <w:jc w:val="center"/>
              <w:spacing w:after="0" w:line="157" w:lineRule="exact"/>
              <w:rPr>
                <w:sz w:val="20"/>
                <w:szCs w:val="20"/>
                <w:color w:val="auto"/>
              </w:rPr>
            </w:pPr>
            <w:r>
              <w:rPr>
                <w:rFonts w:ascii="Arial" w:cs="Arial" w:eastAsia="Arial" w:hAnsi="Arial"/>
                <w:sz w:val="14"/>
                <w:szCs w:val="14"/>
                <w:b w:val="1"/>
                <w:bCs w:val="1"/>
                <w:color w:val="FFFFFF"/>
              </w:rPr>
              <w:t>to Exercisable</w:t>
            </w:r>
          </w:p>
        </w:tc>
        <w:tc>
          <w:tcPr>
            <w:tcW w:w="960" w:type="dxa"/>
            <w:vAlign w:val="bottom"/>
            <w:shd w:val="clear" w:color="auto" w:fill="005CB9"/>
          </w:tcPr>
          <w:p>
            <w:pPr>
              <w:jc w:val="center"/>
              <w:spacing w:after="0" w:line="157" w:lineRule="exact"/>
              <w:rPr>
                <w:sz w:val="20"/>
                <w:szCs w:val="20"/>
                <w:color w:val="auto"/>
              </w:rPr>
            </w:pPr>
            <w:r>
              <w:rPr>
                <w:rFonts w:ascii="Arial" w:cs="Arial" w:eastAsia="Arial" w:hAnsi="Arial"/>
                <w:sz w:val="14"/>
                <w:szCs w:val="14"/>
                <w:b w:val="1"/>
                <w:bCs w:val="1"/>
                <w:color w:val="FFFFFF"/>
              </w:rPr>
              <w:t>Beneficially</w:t>
            </w:r>
          </w:p>
        </w:tc>
        <w:tc>
          <w:tcPr>
            <w:tcW w:w="720" w:type="dxa"/>
            <w:vAlign w:val="bottom"/>
            <w:shd w:val="clear" w:color="auto" w:fill="005CB9"/>
          </w:tcPr>
          <w:p>
            <w:pPr>
              <w:jc w:val="right"/>
              <w:spacing w:after="0" w:line="157" w:lineRule="exact"/>
              <w:rPr>
                <w:sz w:val="20"/>
                <w:szCs w:val="20"/>
                <w:color w:val="auto"/>
              </w:rPr>
            </w:pPr>
            <w:r>
              <w:rPr>
                <w:rFonts w:ascii="Arial" w:cs="Arial" w:eastAsia="Arial" w:hAnsi="Arial"/>
                <w:sz w:val="14"/>
                <w:szCs w:val="14"/>
                <w:b w:val="1"/>
                <w:bCs w:val="1"/>
                <w:color w:val="FFFFFF"/>
              </w:rPr>
              <w:t>Phantom</w:t>
            </w:r>
          </w:p>
        </w:tc>
        <w:tc>
          <w:tcPr>
            <w:tcW w:w="940" w:type="dxa"/>
            <w:vAlign w:val="bottom"/>
            <w:shd w:val="clear" w:color="auto" w:fill="005CB9"/>
          </w:tcPr>
          <w:p>
            <w:pPr>
              <w:jc w:val="center"/>
              <w:spacing w:after="0" w:line="157" w:lineRule="exact"/>
              <w:rPr>
                <w:sz w:val="20"/>
                <w:szCs w:val="20"/>
                <w:color w:val="auto"/>
              </w:rPr>
            </w:pPr>
            <w:r>
              <w:rPr>
                <w:rFonts w:ascii="Arial" w:cs="Arial" w:eastAsia="Arial" w:hAnsi="Arial"/>
                <w:sz w:val="14"/>
                <w:szCs w:val="14"/>
                <w:b w:val="1"/>
                <w:bCs w:val="1"/>
                <w:color w:val="FFFFFF"/>
              </w:rPr>
              <w:t>Phantom</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41"/>
        </w:trPr>
        <w:tc>
          <w:tcPr>
            <w:tcW w:w="638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Name</w:t>
            </w:r>
          </w:p>
        </w:tc>
        <w:tc>
          <w:tcPr>
            <w:tcW w:w="80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Stock</w:t>
            </w:r>
          </w:p>
        </w:tc>
        <w:tc>
          <w:tcPr>
            <w:tcW w:w="112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3"/>
              </w:rPr>
              <w:t>Options</w:t>
            </w:r>
            <w:r>
              <w:rPr>
                <w:rFonts w:ascii="Arial" w:cs="Arial" w:eastAsia="Arial" w:hAnsi="Arial"/>
                <w:sz w:val="21"/>
                <w:szCs w:val="21"/>
                <w:b w:val="1"/>
                <w:bCs w:val="1"/>
                <w:color w:val="FFFFFF"/>
                <w:w w:val="93"/>
                <w:vertAlign w:val="superscript"/>
              </w:rPr>
              <w:t>(C)</w:t>
            </w:r>
          </w:p>
        </w:tc>
        <w:tc>
          <w:tcPr>
            <w:tcW w:w="96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6"/>
              </w:rPr>
              <w:t>Owned</w:t>
            </w:r>
            <w:r>
              <w:rPr>
                <w:rFonts w:ascii="Arial" w:cs="Arial" w:eastAsia="Arial" w:hAnsi="Arial"/>
                <w:sz w:val="21"/>
                <w:szCs w:val="21"/>
                <w:b w:val="1"/>
                <w:bCs w:val="1"/>
                <w:color w:val="FFFFFF"/>
                <w:w w:val="96"/>
                <w:vertAlign w:val="superscript"/>
              </w:rPr>
              <w:t>(D)</w:t>
            </w:r>
          </w:p>
        </w:tc>
        <w:tc>
          <w:tcPr>
            <w:tcW w:w="720" w:type="dxa"/>
            <w:vAlign w:val="bottom"/>
            <w:shd w:val="clear" w:color="auto" w:fill="005CB9"/>
          </w:tcPr>
          <w:p>
            <w:pPr>
              <w:jc w:val="right"/>
              <w:spacing w:after="0"/>
              <w:rPr>
                <w:sz w:val="20"/>
                <w:szCs w:val="20"/>
                <w:color w:val="auto"/>
              </w:rPr>
            </w:pPr>
            <w:r>
              <w:rPr>
                <w:rFonts w:ascii="Arial" w:cs="Arial" w:eastAsia="Arial" w:hAnsi="Arial"/>
                <w:sz w:val="14"/>
                <w:szCs w:val="14"/>
                <w:b w:val="1"/>
                <w:bCs w:val="1"/>
                <w:color w:val="FFFFFF"/>
                <w:w w:val="97"/>
              </w:rPr>
              <w:t>Shares</w:t>
            </w:r>
            <w:r>
              <w:rPr>
                <w:rFonts w:ascii="Arial" w:cs="Arial" w:eastAsia="Arial" w:hAnsi="Arial"/>
                <w:sz w:val="21"/>
                <w:szCs w:val="21"/>
                <w:b w:val="1"/>
                <w:bCs w:val="1"/>
                <w:color w:val="FFFFFF"/>
                <w:w w:val="97"/>
                <w:vertAlign w:val="superscript"/>
              </w:rPr>
              <w:t>(E)</w:t>
            </w:r>
          </w:p>
        </w:tc>
        <w:tc>
          <w:tcPr>
            <w:tcW w:w="9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w w:val="95"/>
              </w:rPr>
              <w:t>Shares</w:t>
            </w:r>
            <w:r>
              <w:rPr>
                <w:rFonts w:ascii="Arial" w:cs="Arial" w:eastAsia="Arial" w:hAnsi="Arial"/>
                <w:sz w:val="21"/>
                <w:szCs w:val="21"/>
                <w:b w:val="1"/>
                <w:bCs w:val="1"/>
                <w:color w:val="FFFFFF"/>
                <w:w w:val="95"/>
                <w:vertAlign w:val="superscript"/>
              </w:rPr>
              <w:t>(F)</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7"/>
        </w:trPr>
        <w:tc>
          <w:tcPr>
            <w:tcW w:w="6380" w:type="dxa"/>
            <w:vAlign w:val="bottom"/>
          </w:tcPr>
          <w:p>
            <w:pPr>
              <w:ind w:left="80"/>
              <w:spacing w:after="0"/>
              <w:rPr>
                <w:sz w:val="20"/>
                <w:szCs w:val="20"/>
                <w:color w:val="auto"/>
              </w:rPr>
            </w:pPr>
            <w:r>
              <w:rPr>
                <w:rFonts w:ascii="Arial" w:cs="Arial" w:eastAsia="Arial" w:hAnsi="Arial"/>
                <w:sz w:val="14"/>
                <w:szCs w:val="14"/>
                <w:color w:val="auto"/>
              </w:rPr>
              <w:t>Justin C. Bird</w:t>
            </w:r>
          </w:p>
        </w:tc>
        <w:tc>
          <w:tcPr>
            <w:tcW w:w="800" w:type="dxa"/>
            <w:vAlign w:val="bottom"/>
          </w:tcPr>
          <w:p>
            <w:pPr>
              <w:jc w:val="right"/>
              <w:spacing w:after="0"/>
              <w:rPr>
                <w:sz w:val="20"/>
                <w:szCs w:val="20"/>
                <w:color w:val="auto"/>
              </w:rPr>
            </w:pPr>
            <w:r>
              <w:rPr>
                <w:rFonts w:ascii="Arial" w:cs="Arial" w:eastAsia="Arial" w:hAnsi="Arial"/>
                <w:sz w:val="14"/>
                <w:szCs w:val="14"/>
                <w:color w:val="auto"/>
              </w:rPr>
              <w:t>27,481</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39,359</w:t>
            </w:r>
          </w:p>
        </w:tc>
        <w:tc>
          <w:tcPr>
            <w:tcW w:w="960" w:type="dxa"/>
            <w:vAlign w:val="bottom"/>
          </w:tcPr>
          <w:p>
            <w:pPr>
              <w:jc w:val="right"/>
              <w:spacing w:after="0"/>
              <w:rPr>
                <w:sz w:val="20"/>
                <w:szCs w:val="20"/>
                <w:color w:val="auto"/>
              </w:rPr>
            </w:pPr>
            <w:r>
              <w:rPr>
                <w:rFonts w:ascii="Arial" w:cs="Arial" w:eastAsia="Arial" w:hAnsi="Arial"/>
                <w:sz w:val="14"/>
                <w:szCs w:val="14"/>
                <w:color w:val="auto"/>
              </w:rPr>
              <w:t>66,840</w:t>
            </w:r>
          </w:p>
        </w:tc>
        <w:tc>
          <w:tcPr>
            <w:tcW w:w="720" w:type="dxa"/>
            <w:vAlign w:val="bottom"/>
          </w:tcPr>
          <w:p>
            <w:pPr>
              <w:jc w:val="right"/>
              <w:spacing w:after="0"/>
              <w:rPr>
                <w:sz w:val="20"/>
                <w:szCs w:val="20"/>
                <w:color w:val="auto"/>
              </w:rPr>
            </w:pPr>
            <w:r>
              <w:rPr>
                <w:rFonts w:ascii="Arial" w:cs="Arial" w:eastAsia="Arial" w:hAnsi="Arial"/>
                <w:sz w:val="14"/>
                <w:szCs w:val="14"/>
                <w:color w:val="auto"/>
              </w:rPr>
              <w:t>21,651</w:t>
            </w:r>
          </w:p>
        </w:tc>
        <w:tc>
          <w:tcPr>
            <w:tcW w:w="980" w:type="dxa"/>
            <w:vAlign w:val="bottom"/>
            <w:gridSpan w:val="3"/>
          </w:tcPr>
          <w:p>
            <w:pPr>
              <w:jc w:val="right"/>
              <w:ind w:right="40"/>
              <w:spacing w:after="0"/>
              <w:rPr>
                <w:sz w:val="20"/>
                <w:szCs w:val="20"/>
                <w:color w:val="auto"/>
              </w:rPr>
            </w:pPr>
            <w:r>
              <w:rPr>
                <w:rFonts w:ascii="Arial" w:cs="Arial" w:eastAsia="Arial" w:hAnsi="Arial"/>
                <w:sz w:val="14"/>
                <w:szCs w:val="14"/>
                <w:color w:val="auto"/>
              </w:rPr>
              <w:t>88,491</w:t>
            </w:r>
          </w:p>
        </w:tc>
      </w:tr>
      <w:tr>
        <w:trPr>
          <w:trHeight w:val="94"/>
        </w:trPr>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20" w:type="dxa"/>
            <w:vAlign w:val="bottom"/>
          </w:tcPr>
          <w:p>
            <w:pPr>
              <w:spacing w:after="0"/>
              <w:rPr>
                <w:sz w:val="8"/>
                <w:szCs w:val="8"/>
                <w:color w:val="auto"/>
              </w:rPr>
            </w:pPr>
          </w:p>
        </w:tc>
      </w:tr>
      <w:tr>
        <w:trPr>
          <w:trHeight w:val="232"/>
        </w:trPr>
        <w:tc>
          <w:tcPr>
            <w:tcW w:w="6380" w:type="dxa"/>
            <w:vAlign w:val="bottom"/>
            <w:tcBorders>
              <w:top w:val="single" w:sz="8" w:color="7F7F7F"/>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Andrés Conesa</w:t>
            </w:r>
          </w:p>
        </w:tc>
        <w:tc>
          <w:tcPr>
            <w:tcW w:w="80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21,174</w:t>
            </w:r>
          </w:p>
        </w:tc>
        <w:tc>
          <w:tcPr>
            <w:tcW w:w="1120" w:type="dxa"/>
            <w:vAlign w:val="bottom"/>
            <w:tcBorders>
              <w:top w:val="single" w:sz="8" w:color="7F7F7F"/>
              <w:bottom w:val="single" w:sz="8" w:color="F2F2F2"/>
            </w:tcBorders>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21,174</w:t>
            </w:r>
          </w:p>
        </w:tc>
        <w:tc>
          <w:tcPr>
            <w:tcW w:w="72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11,388</w:t>
            </w:r>
          </w:p>
        </w:tc>
        <w:tc>
          <w:tcPr>
            <w:tcW w:w="94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32,562</w:t>
            </w:r>
          </w:p>
        </w:tc>
        <w:tc>
          <w:tcPr>
            <w:tcW w:w="20" w:type="dxa"/>
            <w:vAlign w:val="bottom"/>
            <w:tcBorders>
              <w:top w:val="single" w:sz="8" w:color="F2F2F2"/>
            </w:tcBorders>
          </w:tcPr>
          <w:p>
            <w:pPr>
              <w:spacing w:after="0"/>
              <w:rPr>
                <w:sz w:val="19"/>
                <w:szCs w:val="19"/>
                <w:color w:val="auto"/>
              </w:rPr>
            </w:pPr>
          </w:p>
        </w:tc>
        <w:tc>
          <w:tcPr>
            <w:tcW w:w="20" w:type="dxa"/>
            <w:vAlign w:val="bottom"/>
            <w:tcBorders>
              <w:top w:val="single" w:sz="8" w:color="F2F2F2"/>
            </w:tcBorders>
          </w:tcPr>
          <w:p>
            <w:pPr>
              <w:spacing w:after="0"/>
              <w:rPr>
                <w:sz w:val="19"/>
                <w:szCs w:val="19"/>
                <w:color w:val="auto"/>
              </w:rPr>
            </w:pPr>
          </w:p>
        </w:tc>
      </w:tr>
      <w:tr>
        <w:trPr>
          <w:trHeight w:val="227"/>
        </w:trPr>
        <w:tc>
          <w:tcPr>
            <w:tcW w:w="63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Diana L. Day</w:t>
            </w: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12,009</w:t>
            </w:r>
          </w:p>
        </w:tc>
        <w:tc>
          <w:tcPr>
            <w:tcW w:w="1120" w:type="dxa"/>
            <w:vAlign w:val="bottom"/>
            <w:tcBorders>
              <w:top w:val="single" w:sz="8" w:color="7F7F7F"/>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12,009</w:t>
            </w: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1,995</w:t>
            </w:r>
          </w:p>
        </w:tc>
        <w:tc>
          <w:tcPr>
            <w:tcW w:w="9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14,004</w:t>
            </w:r>
          </w:p>
        </w:tc>
        <w:tc>
          <w:tcPr>
            <w:tcW w:w="40" w:type="dxa"/>
            <w:vAlign w:val="bottom"/>
            <w:gridSpan w:val="2"/>
          </w:tcPr>
          <w:p>
            <w:pPr>
              <w:spacing w:after="0"/>
              <w:rPr>
                <w:sz w:val="19"/>
                <w:szCs w:val="19"/>
                <w:color w:val="auto"/>
              </w:rPr>
            </w:pPr>
          </w:p>
        </w:tc>
      </w:tr>
      <w:tr>
        <w:trPr>
          <w:trHeight w:val="94"/>
        </w:trPr>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20" w:type="dxa"/>
            <w:vAlign w:val="bottom"/>
          </w:tcPr>
          <w:p>
            <w:pPr>
              <w:spacing w:after="0"/>
              <w:rPr>
                <w:sz w:val="8"/>
                <w:szCs w:val="8"/>
                <w:color w:val="auto"/>
              </w:rPr>
            </w:pPr>
          </w:p>
        </w:tc>
      </w:tr>
      <w:tr>
        <w:trPr>
          <w:trHeight w:val="232"/>
        </w:trPr>
        <w:tc>
          <w:tcPr>
            <w:tcW w:w="6380" w:type="dxa"/>
            <w:vAlign w:val="bottom"/>
            <w:tcBorders>
              <w:top w:val="single" w:sz="8" w:color="7F7F7F"/>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Pablo A. Ferrero</w:t>
            </w:r>
          </w:p>
        </w:tc>
        <w:tc>
          <w:tcPr>
            <w:tcW w:w="80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15,174</w:t>
            </w:r>
          </w:p>
        </w:tc>
        <w:tc>
          <w:tcPr>
            <w:tcW w:w="1120" w:type="dxa"/>
            <w:vAlign w:val="bottom"/>
            <w:tcBorders>
              <w:top w:val="single" w:sz="8" w:color="7F7F7F"/>
              <w:bottom w:val="single" w:sz="8" w:color="F2F2F2"/>
            </w:tcBorders>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15,174</w:t>
            </w:r>
          </w:p>
        </w:tc>
        <w:tc>
          <w:tcPr>
            <w:tcW w:w="72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15,883</w:t>
            </w:r>
          </w:p>
        </w:tc>
        <w:tc>
          <w:tcPr>
            <w:tcW w:w="94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31,057</w:t>
            </w:r>
          </w:p>
        </w:tc>
        <w:tc>
          <w:tcPr>
            <w:tcW w:w="20" w:type="dxa"/>
            <w:vAlign w:val="bottom"/>
            <w:tcBorders>
              <w:top w:val="single" w:sz="8" w:color="F2F2F2"/>
            </w:tcBorders>
          </w:tcPr>
          <w:p>
            <w:pPr>
              <w:spacing w:after="0"/>
              <w:rPr>
                <w:sz w:val="19"/>
                <w:szCs w:val="19"/>
                <w:color w:val="auto"/>
              </w:rPr>
            </w:pPr>
          </w:p>
        </w:tc>
        <w:tc>
          <w:tcPr>
            <w:tcW w:w="20" w:type="dxa"/>
            <w:vAlign w:val="bottom"/>
            <w:tcBorders>
              <w:top w:val="single" w:sz="8" w:color="F2F2F2"/>
            </w:tcBorders>
          </w:tcPr>
          <w:p>
            <w:pPr>
              <w:spacing w:after="0"/>
              <w:rPr>
                <w:sz w:val="19"/>
                <w:szCs w:val="19"/>
                <w:color w:val="auto"/>
              </w:rPr>
            </w:pPr>
          </w:p>
        </w:tc>
      </w:tr>
      <w:tr>
        <w:trPr>
          <w:trHeight w:val="227"/>
        </w:trPr>
        <w:tc>
          <w:tcPr>
            <w:tcW w:w="63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Jennifer M. Kirk</w:t>
            </w: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1,000</w:t>
            </w:r>
          </w:p>
        </w:tc>
        <w:tc>
          <w:tcPr>
            <w:tcW w:w="1120" w:type="dxa"/>
            <w:vAlign w:val="bottom"/>
            <w:tcBorders>
              <w:top w:val="single" w:sz="8" w:color="7F7F7F"/>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1,000</w:t>
            </w: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2,798</w:t>
            </w:r>
          </w:p>
        </w:tc>
        <w:tc>
          <w:tcPr>
            <w:tcW w:w="9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3,798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94"/>
        </w:trPr>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gridSpan w:val="3"/>
          </w:tcPr>
          <w:p>
            <w:pPr>
              <w:spacing w:after="0"/>
              <w:rPr>
                <w:sz w:val="8"/>
                <w:szCs w:val="8"/>
                <w:color w:val="auto"/>
              </w:rPr>
            </w:pPr>
          </w:p>
        </w:tc>
      </w:tr>
      <w:tr>
        <w:trPr>
          <w:trHeight w:val="232"/>
        </w:trPr>
        <w:tc>
          <w:tcPr>
            <w:tcW w:w="6380" w:type="dxa"/>
            <w:vAlign w:val="bottom"/>
            <w:tcBorders>
              <w:top w:val="single" w:sz="8" w:color="7F7F7F"/>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Richard J. Mark</w:t>
            </w:r>
          </w:p>
        </w:tc>
        <w:tc>
          <w:tcPr>
            <w:tcW w:w="80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15,469</w:t>
            </w:r>
          </w:p>
        </w:tc>
        <w:tc>
          <w:tcPr>
            <w:tcW w:w="1120" w:type="dxa"/>
            <w:vAlign w:val="bottom"/>
            <w:tcBorders>
              <w:top w:val="single" w:sz="8" w:color="7F7F7F"/>
              <w:bottom w:val="single" w:sz="8" w:color="F2F2F2"/>
            </w:tcBorders>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15,469</w:t>
            </w:r>
          </w:p>
        </w:tc>
        <w:tc>
          <w:tcPr>
            <w:tcW w:w="72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1,728</w:t>
            </w:r>
          </w:p>
        </w:tc>
        <w:tc>
          <w:tcPr>
            <w:tcW w:w="94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17,197</w:t>
            </w:r>
          </w:p>
        </w:tc>
        <w:tc>
          <w:tcPr>
            <w:tcW w:w="20" w:type="dxa"/>
            <w:vAlign w:val="bottom"/>
            <w:tcBorders>
              <w:top w:val="single" w:sz="8" w:color="F2F2F2"/>
            </w:tcBorders>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63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Jeffrey W. Martin</w:t>
            </w: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41,872</w:t>
            </w:r>
          </w:p>
        </w:tc>
        <w:tc>
          <w:tcPr>
            <w:tcW w:w="1120" w:type="dxa"/>
            <w:vAlign w:val="bottom"/>
            <w:tcBorders>
              <w:top w:val="single" w:sz="8" w:color="7F7F7F"/>
            </w:tcBorders>
          </w:tcPr>
          <w:p>
            <w:pPr>
              <w:jc w:val="right"/>
              <w:ind w:right="9"/>
              <w:spacing w:after="0"/>
              <w:rPr>
                <w:sz w:val="20"/>
                <w:szCs w:val="20"/>
                <w:color w:val="auto"/>
              </w:rPr>
            </w:pPr>
            <w:r>
              <w:rPr>
                <w:rFonts w:ascii="Arial" w:cs="Arial" w:eastAsia="Arial" w:hAnsi="Arial"/>
                <w:sz w:val="14"/>
                <w:szCs w:val="14"/>
                <w:color w:val="auto"/>
              </w:rPr>
              <w:t>1,535,980</w:t>
            </w:r>
          </w:p>
        </w:tc>
        <w:tc>
          <w:tcPr>
            <w:tcW w:w="9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1,577,852</w:t>
            </w: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212,992</w:t>
            </w:r>
          </w:p>
        </w:tc>
        <w:tc>
          <w:tcPr>
            <w:tcW w:w="9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1,790,844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94"/>
        </w:trPr>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gridSpan w:val="3"/>
          </w:tcPr>
          <w:p>
            <w:pPr>
              <w:spacing w:after="0"/>
              <w:rPr>
                <w:sz w:val="8"/>
                <w:szCs w:val="8"/>
                <w:color w:val="auto"/>
              </w:rPr>
            </w:pPr>
          </w:p>
        </w:tc>
      </w:tr>
      <w:tr>
        <w:trPr>
          <w:trHeight w:val="232"/>
        </w:trPr>
        <w:tc>
          <w:tcPr>
            <w:tcW w:w="6380" w:type="dxa"/>
            <w:vAlign w:val="bottom"/>
            <w:tcBorders>
              <w:top w:val="single" w:sz="8" w:color="7F7F7F"/>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Michael N. Mears</w:t>
            </w:r>
          </w:p>
        </w:tc>
        <w:tc>
          <w:tcPr>
            <w:tcW w:w="80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5,000</w:t>
            </w:r>
          </w:p>
        </w:tc>
        <w:tc>
          <w:tcPr>
            <w:tcW w:w="1120" w:type="dxa"/>
            <w:vAlign w:val="bottom"/>
            <w:tcBorders>
              <w:top w:val="single" w:sz="8" w:color="7F7F7F"/>
              <w:bottom w:val="single" w:sz="8" w:color="F2F2F2"/>
            </w:tcBorders>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5,000</w:t>
            </w:r>
          </w:p>
        </w:tc>
        <w:tc>
          <w:tcPr>
            <w:tcW w:w="72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18,753</w:t>
            </w:r>
          </w:p>
        </w:tc>
        <w:tc>
          <w:tcPr>
            <w:tcW w:w="94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23,753</w:t>
            </w:r>
          </w:p>
        </w:tc>
        <w:tc>
          <w:tcPr>
            <w:tcW w:w="20" w:type="dxa"/>
            <w:vAlign w:val="bottom"/>
            <w:tcBorders>
              <w:top w:val="single" w:sz="8" w:color="F2F2F2"/>
            </w:tcBorders>
          </w:tcPr>
          <w:p>
            <w:pPr>
              <w:spacing w:after="0"/>
              <w:rPr>
                <w:sz w:val="19"/>
                <w:szCs w:val="19"/>
                <w:color w:val="auto"/>
              </w:rPr>
            </w:pPr>
          </w:p>
        </w:tc>
        <w:tc>
          <w:tcPr>
            <w:tcW w:w="20" w:type="dxa"/>
            <w:vAlign w:val="bottom"/>
          </w:tcPr>
          <w:p>
            <w:pPr>
              <w:spacing w:after="0"/>
              <w:rPr>
                <w:sz w:val="19"/>
                <w:szCs w:val="19"/>
                <w:color w:val="auto"/>
              </w:rPr>
            </w:pPr>
          </w:p>
        </w:tc>
      </w:tr>
      <w:tr>
        <w:trPr>
          <w:trHeight w:val="326"/>
        </w:trPr>
        <w:tc>
          <w:tcPr>
            <w:tcW w:w="638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color w:val="auto"/>
              </w:rPr>
              <w:t>Kevin C. Sagara</w:t>
            </w:r>
            <w:r>
              <w:rPr>
                <w:rFonts w:ascii="Arial" w:cs="Arial" w:eastAsia="Arial" w:hAnsi="Arial"/>
                <w:sz w:val="21"/>
                <w:szCs w:val="21"/>
                <w:color w:val="auto"/>
                <w:vertAlign w:val="superscript"/>
              </w:rPr>
              <w:t>(A)(B)</w:t>
            </w:r>
          </w:p>
        </w:tc>
        <w:tc>
          <w:tcPr>
            <w:tcW w:w="80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7,328</w:t>
            </w:r>
          </w:p>
        </w:tc>
        <w:tc>
          <w:tcPr>
            <w:tcW w:w="1120" w:type="dxa"/>
            <w:vAlign w:val="bottom"/>
            <w:tcBorders>
              <w:top w:val="single" w:sz="8" w:color="7F7F7F"/>
              <w:bottom w:val="single" w:sz="8" w:color="7F7F7F"/>
            </w:tcBorders>
          </w:tcPr>
          <w:p>
            <w:pPr>
              <w:jc w:val="right"/>
              <w:ind w:right="9"/>
              <w:spacing w:after="0"/>
              <w:rPr>
                <w:sz w:val="20"/>
                <w:szCs w:val="20"/>
                <w:color w:val="auto"/>
              </w:rPr>
            </w:pPr>
            <w:r>
              <w:rPr>
                <w:rFonts w:ascii="Arial" w:cs="Arial" w:eastAsia="Arial" w:hAnsi="Arial"/>
                <w:sz w:val="14"/>
                <w:szCs w:val="14"/>
                <w:color w:val="auto"/>
              </w:rPr>
              <w:t>182,526</w:t>
            </w:r>
          </w:p>
        </w:tc>
        <w:tc>
          <w:tcPr>
            <w:tcW w:w="9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189,854</w:t>
            </w:r>
          </w:p>
        </w:tc>
        <w:tc>
          <w:tcPr>
            <w:tcW w:w="7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3,648</w:t>
            </w:r>
          </w:p>
        </w:tc>
        <w:tc>
          <w:tcPr>
            <w:tcW w:w="9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193,502</w:t>
            </w:r>
          </w:p>
        </w:tc>
        <w:tc>
          <w:tcPr>
            <w:tcW w:w="20" w:type="dxa"/>
            <w:vAlign w:val="bottom"/>
            <w:tcBorders>
              <w:bottom w:val="single" w:sz="8" w:color="F2F2F2"/>
            </w:tcBorders>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6380" w:type="dxa"/>
            <w:vAlign w:val="bottom"/>
            <w:tcBorders>
              <w:top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Karen L. Sedgwick</w:t>
            </w:r>
          </w:p>
        </w:tc>
        <w:tc>
          <w:tcPr>
            <w:tcW w:w="80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39,183</w:t>
            </w:r>
          </w:p>
        </w:tc>
        <w:tc>
          <w:tcPr>
            <w:tcW w:w="1120" w:type="dxa"/>
            <w:vAlign w:val="bottom"/>
            <w:tcBorders>
              <w:top w:val="single" w:sz="8" w:color="F2F2F2"/>
              <w:bottom w:val="single" w:sz="8" w:color="F2F2F2"/>
            </w:tcBorders>
            <w:shd w:val="clear" w:color="auto" w:fill="F2F2F2"/>
          </w:tcPr>
          <w:p>
            <w:pPr>
              <w:jc w:val="right"/>
              <w:ind w:right="9"/>
              <w:spacing w:after="0"/>
              <w:rPr>
                <w:sz w:val="20"/>
                <w:szCs w:val="20"/>
                <w:color w:val="auto"/>
              </w:rPr>
            </w:pPr>
            <w:r>
              <w:rPr>
                <w:rFonts w:ascii="Arial" w:cs="Arial" w:eastAsia="Arial" w:hAnsi="Arial"/>
                <w:sz w:val="14"/>
                <w:szCs w:val="14"/>
                <w:color w:val="auto"/>
              </w:rPr>
              <w:t>40,698</w:t>
            </w:r>
          </w:p>
        </w:tc>
        <w:tc>
          <w:tcPr>
            <w:tcW w:w="96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79,881</w:t>
            </w:r>
          </w:p>
        </w:tc>
        <w:tc>
          <w:tcPr>
            <w:tcW w:w="72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9,519</w:t>
            </w:r>
          </w:p>
        </w:tc>
        <w:tc>
          <w:tcPr>
            <w:tcW w:w="94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89,400</w:t>
            </w:r>
          </w:p>
        </w:tc>
        <w:tc>
          <w:tcPr>
            <w:tcW w:w="20" w:type="dxa"/>
            <w:vAlign w:val="bottom"/>
            <w:tcBorders>
              <w:top w:val="single" w:sz="8" w:color="F2F2F2"/>
            </w:tcBorders>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63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Jack T. Taylor</w:t>
            </w: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262</w:t>
            </w:r>
          </w:p>
        </w:tc>
        <w:tc>
          <w:tcPr>
            <w:tcW w:w="1120" w:type="dxa"/>
            <w:vAlign w:val="bottom"/>
            <w:tcBorders>
              <w:top w:val="single" w:sz="8" w:color="7F7F7F"/>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262</w:t>
            </w: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39,618</w:t>
            </w:r>
          </w:p>
        </w:tc>
        <w:tc>
          <w:tcPr>
            <w:tcW w:w="9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39,880</w:t>
            </w:r>
          </w:p>
        </w:tc>
        <w:tc>
          <w:tcPr>
            <w:tcW w:w="40" w:type="dxa"/>
            <w:vAlign w:val="bottom"/>
            <w:gridSpan w:val="2"/>
          </w:tcPr>
          <w:p>
            <w:pPr>
              <w:spacing w:after="0"/>
              <w:rPr>
                <w:sz w:val="19"/>
                <w:szCs w:val="19"/>
                <w:color w:val="auto"/>
              </w:rPr>
            </w:pPr>
          </w:p>
        </w:tc>
      </w:tr>
      <w:tr>
        <w:trPr>
          <w:trHeight w:val="94"/>
        </w:trPr>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gridSpan w:val="3"/>
          </w:tcPr>
          <w:p>
            <w:pPr>
              <w:spacing w:after="0"/>
              <w:rPr>
                <w:sz w:val="8"/>
                <w:szCs w:val="8"/>
                <w:color w:val="auto"/>
              </w:rPr>
            </w:pPr>
          </w:p>
        </w:tc>
      </w:tr>
      <w:tr>
        <w:trPr>
          <w:trHeight w:val="232"/>
        </w:trPr>
        <w:tc>
          <w:tcPr>
            <w:tcW w:w="6380" w:type="dxa"/>
            <w:vAlign w:val="bottom"/>
            <w:tcBorders>
              <w:top w:val="single" w:sz="8" w:color="7F7F7F"/>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Cynthia J. Warner</w:t>
            </w:r>
          </w:p>
        </w:tc>
        <w:tc>
          <w:tcPr>
            <w:tcW w:w="80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11,274</w:t>
            </w:r>
          </w:p>
        </w:tc>
        <w:tc>
          <w:tcPr>
            <w:tcW w:w="1120" w:type="dxa"/>
            <w:vAlign w:val="bottom"/>
            <w:tcBorders>
              <w:top w:val="single" w:sz="8" w:color="7F7F7F"/>
              <w:bottom w:val="single" w:sz="8" w:color="F2F2F2"/>
            </w:tcBorders>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11,274</w:t>
            </w:r>
          </w:p>
        </w:tc>
        <w:tc>
          <w:tcPr>
            <w:tcW w:w="72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11,324</w:t>
            </w:r>
          </w:p>
        </w:tc>
        <w:tc>
          <w:tcPr>
            <w:tcW w:w="94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22,598</w:t>
            </w:r>
          </w:p>
        </w:tc>
        <w:tc>
          <w:tcPr>
            <w:tcW w:w="40" w:type="dxa"/>
            <w:vAlign w:val="bottom"/>
            <w:tcBorders>
              <w:top w:val="single" w:sz="8" w:color="F2F2F2"/>
            </w:tcBorders>
            <w:gridSpan w:val="2"/>
          </w:tcPr>
          <w:p>
            <w:pPr>
              <w:spacing w:after="0"/>
              <w:rPr>
                <w:sz w:val="19"/>
                <w:szCs w:val="19"/>
                <w:color w:val="auto"/>
              </w:rPr>
            </w:pPr>
          </w:p>
        </w:tc>
      </w:tr>
      <w:tr>
        <w:trPr>
          <w:trHeight w:val="326"/>
        </w:trPr>
        <w:tc>
          <w:tcPr>
            <w:tcW w:w="638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color w:val="auto"/>
              </w:rPr>
              <w:t>Anya Weaving</w:t>
            </w:r>
            <w:r>
              <w:rPr>
                <w:rFonts w:ascii="Arial" w:cs="Arial" w:eastAsia="Arial" w:hAnsi="Arial"/>
                <w:sz w:val="21"/>
                <w:szCs w:val="21"/>
                <w:color w:val="auto"/>
                <w:vertAlign w:val="superscript"/>
              </w:rPr>
              <w:t>(A)</w:t>
            </w:r>
          </w:p>
        </w:tc>
        <w:tc>
          <w:tcPr>
            <w:tcW w:w="80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2,059</w:t>
            </w:r>
          </w:p>
        </w:tc>
        <w:tc>
          <w:tcPr>
            <w:tcW w:w="1120" w:type="dxa"/>
            <w:vAlign w:val="bottom"/>
            <w:tcBorders>
              <w:top w:val="single" w:sz="8" w:color="7F7F7F"/>
              <w:bottom w:val="single" w:sz="8" w:color="7F7F7F"/>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2,059</w:t>
            </w:r>
          </w:p>
        </w:tc>
        <w:tc>
          <w:tcPr>
            <w:tcW w:w="7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662</w:t>
            </w:r>
          </w:p>
        </w:tc>
        <w:tc>
          <w:tcPr>
            <w:tcW w:w="9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2,721</w:t>
            </w:r>
          </w:p>
        </w:tc>
        <w:tc>
          <w:tcPr>
            <w:tcW w:w="20" w:type="dxa"/>
            <w:vAlign w:val="bottom"/>
            <w:tcBorders>
              <w:bottom w:val="single" w:sz="8" w:color="F2F2F2"/>
            </w:tcBorders>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6380" w:type="dxa"/>
            <w:vAlign w:val="bottom"/>
            <w:tcBorders>
              <w:top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Caroline A. Winn</w:t>
            </w:r>
          </w:p>
        </w:tc>
        <w:tc>
          <w:tcPr>
            <w:tcW w:w="80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31,308</w:t>
            </w:r>
          </w:p>
        </w:tc>
        <w:tc>
          <w:tcPr>
            <w:tcW w:w="1120" w:type="dxa"/>
            <w:vAlign w:val="bottom"/>
            <w:tcBorders>
              <w:top w:val="single" w:sz="8" w:color="F2F2F2"/>
              <w:bottom w:val="single" w:sz="8" w:color="F2F2F2"/>
            </w:tcBorders>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31,308</w:t>
            </w:r>
          </w:p>
        </w:tc>
        <w:tc>
          <w:tcPr>
            <w:tcW w:w="72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678</w:t>
            </w:r>
          </w:p>
        </w:tc>
        <w:tc>
          <w:tcPr>
            <w:tcW w:w="94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31,986</w:t>
            </w:r>
          </w:p>
        </w:tc>
        <w:tc>
          <w:tcPr>
            <w:tcW w:w="20" w:type="dxa"/>
            <w:vAlign w:val="bottom"/>
            <w:tcBorders>
              <w:top w:val="single" w:sz="8" w:color="F2F2F2"/>
            </w:tcBorders>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63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James C. Yardley</w:t>
            </w: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5,018</w:t>
            </w:r>
          </w:p>
        </w:tc>
        <w:tc>
          <w:tcPr>
            <w:tcW w:w="1120" w:type="dxa"/>
            <w:vAlign w:val="bottom"/>
            <w:tcBorders>
              <w:top w:val="single" w:sz="8" w:color="7F7F7F"/>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5,018</w:t>
            </w: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39,034</w:t>
            </w:r>
          </w:p>
        </w:tc>
        <w:tc>
          <w:tcPr>
            <w:tcW w:w="9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44,052</w:t>
            </w:r>
          </w:p>
        </w:tc>
        <w:tc>
          <w:tcPr>
            <w:tcW w:w="40" w:type="dxa"/>
            <w:vAlign w:val="bottom"/>
            <w:gridSpan w:val="2"/>
          </w:tcPr>
          <w:p>
            <w:pPr>
              <w:spacing w:after="0"/>
              <w:rPr>
                <w:sz w:val="19"/>
                <w:szCs w:val="19"/>
                <w:color w:val="auto"/>
              </w:rPr>
            </w:pPr>
          </w:p>
        </w:tc>
      </w:tr>
      <w:tr>
        <w:trPr>
          <w:trHeight w:val="94"/>
        </w:trPr>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gridSpan w:val="2"/>
          </w:tcPr>
          <w:p>
            <w:pPr>
              <w:spacing w:after="0"/>
              <w:rPr>
                <w:sz w:val="8"/>
                <w:szCs w:val="8"/>
                <w:color w:val="auto"/>
              </w:rPr>
            </w:pPr>
          </w:p>
        </w:tc>
        <w:tc>
          <w:tcPr>
            <w:tcW w:w="20" w:type="dxa"/>
            <w:vAlign w:val="bottom"/>
          </w:tcPr>
          <w:p>
            <w:pPr>
              <w:spacing w:after="0"/>
              <w:rPr>
                <w:sz w:val="8"/>
                <w:szCs w:val="8"/>
                <w:color w:val="auto"/>
              </w:rPr>
            </w:pPr>
          </w:p>
        </w:tc>
      </w:tr>
      <w:tr>
        <w:trPr>
          <w:trHeight w:val="207"/>
        </w:trPr>
        <w:tc>
          <w:tcPr>
            <w:tcW w:w="6380" w:type="dxa"/>
            <w:vAlign w:val="bottom"/>
            <w:tcBorders>
              <w:top w:val="single" w:sz="8" w:color="7F7F7F"/>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Directors and Executive Officers as a Group (17 persons)</w:t>
            </w:r>
          </w:p>
        </w:tc>
        <w:tc>
          <w:tcPr>
            <w:tcW w:w="80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243,769</w:t>
            </w:r>
          </w:p>
        </w:tc>
        <w:tc>
          <w:tcPr>
            <w:tcW w:w="1120" w:type="dxa"/>
            <w:vAlign w:val="bottom"/>
            <w:tcBorders>
              <w:top w:val="single" w:sz="8" w:color="7F7F7F"/>
              <w:bottom w:val="single" w:sz="8" w:color="F2F2F2"/>
            </w:tcBorders>
            <w:shd w:val="clear" w:color="auto" w:fill="F2F2F2"/>
          </w:tcPr>
          <w:p>
            <w:pPr>
              <w:jc w:val="right"/>
              <w:ind w:right="9"/>
              <w:spacing w:after="0"/>
              <w:rPr>
                <w:sz w:val="20"/>
                <w:szCs w:val="20"/>
                <w:color w:val="auto"/>
              </w:rPr>
            </w:pPr>
            <w:r>
              <w:rPr>
                <w:rFonts w:ascii="Arial" w:cs="Arial" w:eastAsia="Arial" w:hAnsi="Arial"/>
                <w:sz w:val="14"/>
                <w:szCs w:val="14"/>
                <w:color w:val="auto"/>
              </w:rPr>
              <w:t>1,798,563</w:t>
            </w:r>
          </w:p>
        </w:tc>
        <w:tc>
          <w:tcPr>
            <w:tcW w:w="96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2,042,332</w:t>
            </w:r>
          </w:p>
        </w:tc>
        <w:tc>
          <w:tcPr>
            <w:tcW w:w="72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393,120</w:t>
            </w:r>
          </w:p>
        </w:tc>
        <w:tc>
          <w:tcPr>
            <w:tcW w:w="940" w:type="dxa"/>
            <w:vAlign w:val="bottom"/>
            <w:tcBorders>
              <w:top w:val="single" w:sz="8" w:color="7F7F7F"/>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2,435,452</w:t>
            </w:r>
          </w:p>
        </w:tc>
        <w:tc>
          <w:tcPr>
            <w:tcW w:w="20" w:type="dxa"/>
            <w:vAlign w:val="bottom"/>
            <w:tcBorders>
              <w:top w:val="single" w:sz="8" w:color="F2F2F2"/>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380" w:type="dxa"/>
            <w:vAlign w:val="bottom"/>
            <w:shd w:val="clear" w:color="auto" w:fill="7F7F7F"/>
          </w:tcPr>
          <w:p>
            <w:pPr>
              <w:spacing w:after="0" w:line="20" w:lineRule="exact"/>
              <w:rPr>
                <w:sz w:val="1"/>
                <w:szCs w:val="1"/>
                <w:color w:val="auto"/>
              </w:rPr>
            </w:pPr>
          </w:p>
        </w:tc>
        <w:tc>
          <w:tcPr>
            <w:tcW w:w="800" w:type="dxa"/>
            <w:vAlign w:val="bottom"/>
            <w:shd w:val="clear" w:color="auto" w:fill="7F7F7F"/>
          </w:tcPr>
          <w:p>
            <w:pPr>
              <w:spacing w:after="0" w:line="20" w:lineRule="exact"/>
              <w:rPr>
                <w:sz w:val="1"/>
                <w:szCs w:val="1"/>
                <w:color w:val="auto"/>
              </w:rPr>
            </w:pPr>
          </w:p>
        </w:tc>
        <w:tc>
          <w:tcPr>
            <w:tcW w:w="1120" w:type="dxa"/>
            <w:vAlign w:val="bottom"/>
            <w:shd w:val="clear" w:color="auto" w:fill="7F7F7F"/>
          </w:tcPr>
          <w:p>
            <w:pPr>
              <w:spacing w:after="0" w:line="20" w:lineRule="exact"/>
              <w:rPr>
                <w:sz w:val="1"/>
                <w:szCs w:val="1"/>
                <w:color w:val="auto"/>
              </w:rPr>
            </w:pPr>
          </w:p>
        </w:tc>
        <w:tc>
          <w:tcPr>
            <w:tcW w:w="960" w:type="dxa"/>
            <w:vAlign w:val="bottom"/>
            <w:shd w:val="clear" w:color="auto" w:fill="7F7F7F"/>
          </w:tcPr>
          <w:p>
            <w:pPr>
              <w:spacing w:after="0" w:line="20" w:lineRule="exact"/>
              <w:rPr>
                <w:sz w:val="1"/>
                <w:szCs w:val="1"/>
                <w:color w:val="auto"/>
              </w:rPr>
            </w:pPr>
          </w:p>
        </w:tc>
        <w:tc>
          <w:tcPr>
            <w:tcW w:w="720" w:type="dxa"/>
            <w:vAlign w:val="bottom"/>
            <w:shd w:val="clear" w:color="auto" w:fill="7F7F7F"/>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2" w:lineRule="exact"/>
        <w:rPr>
          <w:sz w:val="20"/>
          <w:szCs w:val="20"/>
          <w:color w:val="auto"/>
        </w:rPr>
      </w:pPr>
    </w:p>
    <w:p>
      <w:pPr>
        <w:ind w:left="480" w:hanging="313"/>
        <w:spacing w:after="0"/>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Mr. Sagara and Ms. Weaving joined the board effective March 1, 2025.</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Includes shares issued and stock options granted as equity compensation in connection with Mr. Sagara’s prior service as an employee of Sempra and its family of companies.</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Shares that may be acquired through the exercise of stock options that currently are exercisable or will become exercisable within 60 days after March 20, 2026.</w:t>
      </w:r>
    </w:p>
    <w:p>
      <w:pPr>
        <w:spacing w:after="0" w:line="35" w:lineRule="exact"/>
        <w:rPr>
          <w:rFonts w:ascii="Arial" w:cs="Arial" w:eastAsia="Arial" w:hAnsi="Arial"/>
          <w:sz w:val="12"/>
          <w:szCs w:val="12"/>
          <w:color w:val="auto"/>
        </w:rPr>
      </w:pPr>
    </w:p>
    <w:p>
      <w:pPr>
        <w:ind w:left="480" w:right="80" w:hanging="313"/>
        <w:spacing w:after="0" w:line="267" w:lineRule="auto"/>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Except as otherwise indicated, we believe, based on information furnished to us, that the persons named in this table have sole voting and sole investment power with respect to all beneficially owned shares of our common stock, subject to applicable community property laws.</w:t>
      </w:r>
    </w:p>
    <w:p>
      <w:pPr>
        <w:ind w:left="480" w:right="160" w:hanging="313"/>
        <w:spacing w:after="0" w:line="249" w:lineRule="auto"/>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Phantom shares represent deferred compensation deemed invested in shares of our common stock. These phantom shares track the performance of our common stock but cannot be voted and may only be settled for cash, except for 888 phantom shares deferred by Ms. Day in connection with the vesting of certain performance-based restricted stock units, which also cannot be voted but may only be settled for shares of our common stock following separation of service from the company. All phantom shares are either fully vested or will vest within 60 days after March 20, 2026.</w:t>
      </w:r>
    </w:p>
    <w:p>
      <w:pPr>
        <w:spacing w:after="0" w:line="145" w:lineRule="exact"/>
        <w:rPr>
          <w:rFonts w:ascii="Arial" w:cs="Arial" w:eastAsia="Arial" w:hAnsi="Arial"/>
          <w:sz w:val="12"/>
          <w:szCs w:val="12"/>
          <w:color w:val="auto"/>
        </w:rPr>
      </w:pPr>
    </w:p>
    <w:p>
      <w:pPr>
        <w:ind w:left="480" w:right="200" w:hanging="313"/>
        <w:spacing w:after="0" w:line="256" w:lineRule="auto"/>
        <w:tabs>
          <w:tab w:leader="none" w:pos="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Although we are not required to present this total of beneficially owned shares plus phantom shares because phantom shares are not considered beneficially owned by applicable SEC rules, we believe this information provides a more complete picture of the financial stake that our directors and executive officers have in our company, which is why we include these shares when determining compliance with our share ownership guidelines.</w:t>
      </w:r>
    </w:p>
    <w:p>
      <w:pPr>
        <w:spacing w:after="0" w:line="75" w:lineRule="exact"/>
        <w:rPr>
          <w:sz w:val="20"/>
          <w:szCs w:val="20"/>
          <w:color w:val="auto"/>
        </w:rPr>
      </w:pPr>
    </w:p>
    <w:p>
      <w:pPr>
        <w:ind w:left="160" w:right="220"/>
        <w:spacing w:after="0" w:line="281" w:lineRule="auto"/>
        <w:rPr>
          <w:sz w:val="20"/>
          <w:szCs w:val="20"/>
          <w:color w:val="auto"/>
        </w:rPr>
      </w:pPr>
      <w:r>
        <w:rPr>
          <w:rFonts w:ascii="Arial" w:cs="Arial" w:eastAsia="Arial" w:hAnsi="Arial"/>
          <w:sz w:val="14"/>
          <w:szCs w:val="14"/>
          <w:color w:val="auto"/>
        </w:rPr>
        <w:t>For information regarding share ownership guidelines applicable to our directors and officers, see “Corporate Governance—Board of Directors—Director Share Ownership Guideline” and “Executive Compensation—Compensation Discussion and Analysis—Share Ownership Guidelines,”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24               </w:t>
      </w:r>
      <w:r>
        <w:rPr>
          <w:sz w:val="1"/>
          <w:szCs w:val="1"/>
          <w:color w:val="auto"/>
        </w:rPr>
        <w:drawing>
          <wp:inline distT="0" distB="0" distL="0" distR="0">
            <wp:extent cx="739140" cy="14414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120"/>
          </w:cols>
          <w:pgMar w:left="320" w:top="478"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0200"/>
        <w:spacing w:after="0"/>
        <w:rPr>
          <w:sz w:val="20"/>
          <w:szCs w:val="20"/>
          <w:color w:val="auto"/>
        </w:rPr>
      </w:pPr>
      <w:r>
        <w:rPr>
          <w:rFonts w:ascii="Arial" w:cs="Arial" w:eastAsia="Arial" w:hAnsi="Arial"/>
          <w:sz w:val="10"/>
          <w:szCs w:val="10"/>
          <w:b w:val="1"/>
          <w:bCs w:val="1"/>
          <w:color w:val="7F7F7F"/>
        </w:rPr>
        <w:t>Share Ownership</w:t>
      </w:r>
    </w:p>
    <w:p>
      <w:pPr>
        <w:spacing w:after="0" w:line="156" w:lineRule="exact"/>
        <w:rPr>
          <w:sz w:val="20"/>
          <w:szCs w:val="20"/>
          <w:color w:val="auto"/>
        </w:rPr>
      </w:pPr>
    </w:p>
    <w:p>
      <w:pPr>
        <w:ind w:left="160" w:right="220"/>
        <w:spacing w:after="0" w:line="260" w:lineRule="auto"/>
        <w:rPr>
          <w:sz w:val="20"/>
          <w:szCs w:val="20"/>
          <w:color w:val="auto"/>
        </w:rPr>
      </w:pPr>
      <w:r>
        <w:rPr>
          <w:rFonts w:ascii="Arial" w:cs="Arial" w:eastAsia="Arial" w:hAnsi="Arial"/>
          <w:sz w:val="14"/>
          <w:szCs w:val="14"/>
          <w:color w:val="auto"/>
        </w:rPr>
        <w:t>Based on a review through March 20, 2026 of filings made under Sections 13(d) and 13(g) of the Securities Exchange Act of 1934, as amended (Exchange Act), the table below shows each person or entity known by us to be a beneficial owner of more than 5% of our common stock. Due to recent amendments to the reporting rules under Sections 13(d) and 13(g) of the Exchange Act, information is presented as of various dates.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4560" w:type="dxa"/>
            <w:vAlign w:val="bottom"/>
            <w:shd w:val="clear" w:color="auto" w:fill="005CB9"/>
          </w:tcPr>
          <w:p>
            <w:pPr>
              <w:spacing w:after="0"/>
              <w:rPr>
                <w:sz w:val="18"/>
                <w:szCs w:val="18"/>
                <w:color w:val="auto"/>
              </w:rPr>
            </w:pPr>
          </w:p>
        </w:tc>
        <w:tc>
          <w:tcPr>
            <w:tcW w:w="3640" w:type="dxa"/>
            <w:vAlign w:val="bottom"/>
            <w:shd w:val="clear" w:color="auto" w:fill="005CB9"/>
          </w:tcPr>
          <w:p>
            <w:pPr>
              <w:jc w:val="right"/>
              <w:ind w:right="1009"/>
              <w:spacing w:after="0"/>
              <w:rPr>
                <w:sz w:val="20"/>
                <w:szCs w:val="20"/>
                <w:color w:val="auto"/>
              </w:rPr>
            </w:pPr>
            <w:r>
              <w:rPr>
                <w:rFonts w:ascii="Arial" w:cs="Arial" w:eastAsia="Arial" w:hAnsi="Arial"/>
                <w:sz w:val="14"/>
                <w:szCs w:val="14"/>
                <w:b w:val="1"/>
                <w:bCs w:val="1"/>
                <w:color w:val="FFFFFF"/>
              </w:rPr>
              <w:t>Shares of Sempra</w:t>
            </w:r>
          </w:p>
        </w:tc>
        <w:tc>
          <w:tcPr>
            <w:tcW w:w="2720" w:type="dxa"/>
            <w:vAlign w:val="bottom"/>
            <w:vMerge w:val="restart"/>
            <w:shd w:val="clear" w:color="auto" w:fill="005CB9"/>
          </w:tcPr>
          <w:p>
            <w:pPr>
              <w:jc w:val="right"/>
              <w:ind w:right="129"/>
              <w:spacing w:after="0"/>
              <w:rPr>
                <w:sz w:val="20"/>
                <w:szCs w:val="20"/>
                <w:color w:val="auto"/>
              </w:rPr>
            </w:pPr>
            <w:r>
              <w:rPr>
                <w:rFonts w:ascii="Arial" w:cs="Arial" w:eastAsia="Arial" w:hAnsi="Arial"/>
                <w:sz w:val="14"/>
                <w:szCs w:val="14"/>
                <w:b w:val="1"/>
                <w:bCs w:val="1"/>
                <w:color w:val="FFFFFF"/>
              </w:rPr>
              <w:t>  Percent of Class</w:t>
            </w:r>
            <w:r>
              <w:rPr>
                <w:rFonts w:ascii="Arial" w:cs="Arial" w:eastAsia="Arial" w:hAnsi="Arial"/>
                <w:sz w:val="21"/>
                <w:szCs w:val="21"/>
                <w:b w:val="1"/>
                <w:bCs w:val="1"/>
                <w:color w:val="FFFFFF"/>
                <w:vertAlign w:val="superscript"/>
              </w:rPr>
              <w:t>(F)</w:t>
            </w:r>
            <w:r>
              <w:rPr>
                <w:rFonts w:ascii="Arial" w:cs="Arial" w:eastAsia="Arial" w:hAnsi="Arial"/>
                <w:sz w:val="14"/>
                <w:szCs w:val="14"/>
                <w:b w:val="1"/>
                <w:bCs w:val="1"/>
                <w:color w:val="FFFFFF"/>
              </w:rPr>
              <w:t xml:space="preserve">   </w:t>
            </w:r>
          </w:p>
        </w:tc>
        <w:tc>
          <w:tcPr>
            <w:tcW w:w="0" w:type="dxa"/>
            <w:vAlign w:val="bottom"/>
          </w:tcPr>
          <w:p>
            <w:pPr>
              <w:spacing w:after="0"/>
              <w:rPr>
                <w:sz w:val="1"/>
                <w:szCs w:val="1"/>
                <w:color w:val="auto"/>
              </w:rPr>
            </w:pPr>
          </w:p>
        </w:tc>
      </w:tr>
      <w:tr>
        <w:trPr>
          <w:trHeight w:val="237"/>
        </w:trPr>
        <w:tc>
          <w:tcPr>
            <w:tcW w:w="456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Name and Address of Beneficial Owner</w:t>
            </w:r>
          </w:p>
        </w:tc>
        <w:tc>
          <w:tcPr>
            <w:tcW w:w="3640" w:type="dxa"/>
            <w:vAlign w:val="bottom"/>
            <w:shd w:val="clear" w:color="auto" w:fill="005CB9"/>
          </w:tcPr>
          <w:p>
            <w:pPr>
              <w:jc w:val="right"/>
              <w:ind w:right="1089"/>
              <w:spacing w:after="0"/>
              <w:rPr>
                <w:sz w:val="20"/>
                <w:szCs w:val="20"/>
                <w:color w:val="auto"/>
              </w:rPr>
            </w:pPr>
            <w:r>
              <w:rPr>
                <w:rFonts w:ascii="Arial" w:cs="Arial" w:eastAsia="Arial" w:hAnsi="Arial"/>
                <w:sz w:val="14"/>
                <w:szCs w:val="14"/>
                <w:b w:val="1"/>
                <w:bCs w:val="1"/>
                <w:color w:val="FFFFFF"/>
              </w:rPr>
              <w:t>Common Stock</w:t>
            </w:r>
          </w:p>
        </w:tc>
        <w:tc>
          <w:tcPr>
            <w:tcW w:w="2720" w:type="dxa"/>
            <w:vAlign w:val="bottom"/>
            <w:vMerge w:val="continue"/>
            <w:shd w:val="clear" w:color="auto" w:fill="005CB9"/>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60" w:type="dxa"/>
            <w:vAlign w:val="bottom"/>
          </w:tcPr>
          <w:p>
            <w:pPr>
              <w:ind w:left="80"/>
              <w:spacing w:after="0" w:line="218" w:lineRule="exact"/>
              <w:rPr>
                <w:sz w:val="20"/>
                <w:szCs w:val="20"/>
                <w:color w:val="auto"/>
              </w:rPr>
            </w:pPr>
            <w:r>
              <w:rPr>
                <w:rFonts w:ascii="Arial" w:cs="Arial" w:eastAsia="Arial" w:hAnsi="Arial"/>
                <w:sz w:val="14"/>
                <w:szCs w:val="14"/>
                <w:color w:val="auto"/>
              </w:rPr>
              <w:t>The Vanguard Group</w:t>
            </w:r>
            <w:r>
              <w:rPr>
                <w:rFonts w:ascii="Arial" w:cs="Arial" w:eastAsia="Arial" w:hAnsi="Arial"/>
                <w:sz w:val="21"/>
                <w:szCs w:val="21"/>
                <w:color w:val="auto"/>
                <w:vertAlign w:val="superscript"/>
              </w:rPr>
              <w:t>(A)</w:t>
            </w:r>
          </w:p>
        </w:tc>
        <w:tc>
          <w:tcPr>
            <w:tcW w:w="36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560" w:type="dxa"/>
            <w:vAlign w:val="bottom"/>
          </w:tcPr>
          <w:p>
            <w:pPr>
              <w:ind w:left="80"/>
              <w:spacing w:after="0"/>
              <w:rPr>
                <w:sz w:val="20"/>
                <w:szCs w:val="20"/>
                <w:color w:val="auto"/>
              </w:rPr>
            </w:pPr>
            <w:r>
              <w:rPr>
                <w:rFonts w:ascii="Arial" w:cs="Arial" w:eastAsia="Arial" w:hAnsi="Arial"/>
                <w:sz w:val="14"/>
                <w:szCs w:val="14"/>
                <w:color w:val="auto"/>
              </w:rPr>
              <w:t>100 Vanguard Blvd.</w:t>
            </w:r>
          </w:p>
        </w:tc>
        <w:tc>
          <w:tcPr>
            <w:tcW w:w="3640" w:type="dxa"/>
            <w:vAlign w:val="bottom"/>
          </w:tcPr>
          <w:p>
            <w:pPr>
              <w:jc w:val="right"/>
              <w:ind w:right="1009"/>
              <w:spacing w:after="0"/>
              <w:rPr>
                <w:sz w:val="20"/>
                <w:szCs w:val="20"/>
                <w:color w:val="auto"/>
              </w:rPr>
            </w:pPr>
            <w:r>
              <w:rPr>
                <w:rFonts w:ascii="Arial" w:cs="Arial" w:eastAsia="Arial" w:hAnsi="Arial"/>
                <w:sz w:val="14"/>
                <w:szCs w:val="14"/>
                <w:color w:val="auto"/>
              </w:rPr>
              <w:t>75,724,549</w:t>
            </w:r>
          </w:p>
        </w:tc>
        <w:tc>
          <w:tcPr>
            <w:tcW w:w="2720" w:type="dxa"/>
            <w:vAlign w:val="bottom"/>
          </w:tcPr>
          <w:p>
            <w:pPr>
              <w:jc w:val="right"/>
              <w:ind w:right="58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89"/>
        </w:trPr>
        <w:tc>
          <w:tcPr>
            <w:tcW w:w="4560" w:type="dxa"/>
            <w:vAlign w:val="bottom"/>
          </w:tcPr>
          <w:p>
            <w:pPr>
              <w:ind w:left="80"/>
              <w:spacing w:after="0"/>
              <w:rPr>
                <w:sz w:val="20"/>
                <w:szCs w:val="20"/>
                <w:color w:val="auto"/>
              </w:rPr>
            </w:pPr>
            <w:r>
              <w:rPr>
                <w:rFonts w:ascii="Arial" w:cs="Arial" w:eastAsia="Arial" w:hAnsi="Arial"/>
                <w:sz w:val="14"/>
                <w:szCs w:val="14"/>
                <w:color w:val="auto"/>
              </w:rPr>
              <w:t>Malvern, PA 19355</w:t>
            </w:r>
          </w:p>
        </w:tc>
        <w:tc>
          <w:tcPr>
            <w:tcW w:w="3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560" w:type="dxa"/>
            <w:vAlign w:val="bottom"/>
            <w:tcBorders>
              <w:bottom w:val="single" w:sz="8" w:color="7F7F7F"/>
            </w:tcBorders>
          </w:tcPr>
          <w:p>
            <w:pPr>
              <w:spacing w:after="0"/>
              <w:rPr>
                <w:sz w:val="5"/>
                <w:szCs w:val="5"/>
                <w:color w:val="auto"/>
              </w:rPr>
            </w:pPr>
          </w:p>
        </w:tc>
        <w:tc>
          <w:tcPr>
            <w:tcW w:w="3640" w:type="dxa"/>
            <w:vAlign w:val="bottom"/>
            <w:tcBorders>
              <w:bottom w:val="single" w:sz="8" w:color="7F7F7F"/>
            </w:tcBorders>
          </w:tcPr>
          <w:p>
            <w:pPr>
              <w:spacing w:after="0"/>
              <w:rPr>
                <w:sz w:val="5"/>
                <w:szCs w:val="5"/>
                <w:color w:val="auto"/>
              </w:rPr>
            </w:pPr>
          </w:p>
        </w:tc>
        <w:tc>
          <w:tcPr>
            <w:tcW w:w="272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F2F2F2"/>
          </w:tcPr>
          <w:p>
            <w:pPr>
              <w:ind w:left="80"/>
              <w:spacing w:after="0" w:line="198" w:lineRule="exact"/>
              <w:rPr>
                <w:sz w:val="20"/>
                <w:szCs w:val="20"/>
                <w:color w:val="auto"/>
              </w:rPr>
            </w:pPr>
            <w:r>
              <w:rPr>
                <w:rFonts w:ascii="Arial" w:cs="Arial" w:eastAsia="Arial" w:hAnsi="Arial"/>
                <w:sz w:val="14"/>
                <w:szCs w:val="14"/>
                <w:color w:val="auto"/>
              </w:rPr>
              <w:t>BlackRock, Inc.</w:t>
            </w:r>
            <w:r>
              <w:rPr>
                <w:rFonts w:ascii="Arial" w:cs="Arial" w:eastAsia="Arial" w:hAnsi="Arial"/>
                <w:sz w:val="21"/>
                <w:szCs w:val="21"/>
                <w:color w:val="auto"/>
                <w:vertAlign w:val="superscript"/>
              </w:rPr>
              <w:t>(B)</w:t>
            </w:r>
          </w:p>
        </w:tc>
        <w:tc>
          <w:tcPr>
            <w:tcW w:w="3640" w:type="dxa"/>
            <w:vAlign w:val="bottom"/>
            <w:shd w:val="clear" w:color="auto" w:fill="F2F2F2"/>
          </w:tcPr>
          <w:p>
            <w:pPr>
              <w:spacing w:after="0"/>
              <w:rPr>
                <w:sz w:val="17"/>
                <w:szCs w:val="17"/>
                <w:color w:val="auto"/>
              </w:rPr>
            </w:pPr>
          </w:p>
        </w:tc>
        <w:tc>
          <w:tcPr>
            <w:tcW w:w="272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560" w:type="dxa"/>
            <w:vAlign w:val="bottom"/>
            <w:shd w:val="clear" w:color="auto" w:fill="F2F2F2"/>
          </w:tcPr>
          <w:p>
            <w:pPr>
              <w:ind w:left="80"/>
              <w:spacing w:after="0"/>
              <w:rPr>
                <w:sz w:val="20"/>
                <w:szCs w:val="20"/>
                <w:color w:val="auto"/>
              </w:rPr>
            </w:pPr>
            <w:r>
              <w:rPr>
                <w:rFonts w:ascii="Arial" w:cs="Arial" w:eastAsia="Arial" w:hAnsi="Arial"/>
                <w:sz w:val="14"/>
                <w:szCs w:val="14"/>
                <w:color w:val="auto"/>
              </w:rPr>
              <w:t>50 Hudson Yards</w:t>
            </w:r>
          </w:p>
        </w:tc>
        <w:tc>
          <w:tcPr>
            <w:tcW w:w="3640" w:type="dxa"/>
            <w:vAlign w:val="bottom"/>
            <w:shd w:val="clear" w:color="auto" w:fill="F2F2F2"/>
          </w:tcPr>
          <w:p>
            <w:pPr>
              <w:jc w:val="right"/>
              <w:ind w:right="1009"/>
              <w:spacing w:after="0"/>
              <w:rPr>
                <w:sz w:val="20"/>
                <w:szCs w:val="20"/>
                <w:color w:val="auto"/>
              </w:rPr>
            </w:pPr>
            <w:r>
              <w:rPr>
                <w:rFonts w:ascii="Arial" w:cs="Arial" w:eastAsia="Arial" w:hAnsi="Arial"/>
                <w:sz w:val="14"/>
                <w:szCs w:val="14"/>
                <w:color w:val="auto"/>
              </w:rPr>
              <w:t>53,048,491</w:t>
            </w:r>
          </w:p>
        </w:tc>
        <w:tc>
          <w:tcPr>
            <w:tcW w:w="2720" w:type="dxa"/>
            <w:vAlign w:val="bottom"/>
            <w:shd w:val="clear" w:color="auto" w:fill="F2F2F2"/>
          </w:tcPr>
          <w:p>
            <w:pPr>
              <w:jc w:val="right"/>
              <w:ind w:right="589"/>
              <w:spacing w:after="0"/>
              <w:rPr>
                <w:sz w:val="20"/>
                <w:szCs w:val="20"/>
                <w:color w:val="auto"/>
              </w:rPr>
            </w:pPr>
            <w:r>
              <w:rPr>
                <w:rFonts w:ascii="Arial" w:cs="Arial" w:eastAsia="Arial" w:hAnsi="Arial"/>
                <w:sz w:val="14"/>
                <w:szCs w:val="14"/>
                <w:color w:val="auto"/>
              </w:rPr>
              <w:t>  8.1%</w:t>
            </w:r>
          </w:p>
        </w:tc>
        <w:tc>
          <w:tcPr>
            <w:tcW w:w="0" w:type="dxa"/>
            <w:vAlign w:val="bottom"/>
          </w:tcPr>
          <w:p>
            <w:pPr>
              <w:spacing w:after="0"/>
              <w:rPr>
                <w:sz w:val="1"/>
                <w:szCs w:val="1"/>
                <w:color w:val="auto"/>
              </w:rPr>
            </w:pPr>
          </w:p>
        </w:tc>
      </w:tr>
      <w:tr>
        <w:trPr>
          <w:trHeight w:val="189"/>
        </w:trPr>
        <w:tc>
          <w:tcPr>
            <w:tcW w:w="4560" w:type="dxa"/>
            <w:vAlign w:val="bottom"/>
            <w:shd w:val="clear" w:color="auto" w:fill="F2F2F2"/>
          </w:tcPr>
          <w:p>
            <w:pPr>
              <w:ind w:left="80"/>
              <w:spacing w:after="0"/>
              <w:rPr>
                <w:sz w:val="20"/>
                <w:szCs w:val="20"/>
                <w:color w:val="auto"/>
              </w:rPr>
            </w:pPr>
            <w:r>
              <w:rPr>
                <w:rFonts w:ascii="Arial" w:cs="Arial" w:eastAsia="Arial" w:hAnsi="Arial"/>
                <w:sz w:val="14"/>
                <w:szCs w:val="14"/>
                <w:color w:val="auto"/>
              </w:rPr>
              <w:t>New York, NY 10001</w:t>
            </w:r>
          </w:p>
        </w:tc>
        <w:tc>
          <w:tcPr>
            <w:tcW w:w="3640" w:type="dxa"/>
            <w:vAlign w:val="bottom"/>
            <w:shd w:val="clear" w:color="auto" w:fill="F2F2F2"/>
          </w:tcPr>
          <w:p>
            <w:pPr>
              <w:spacing w:after="0"/>
              <w:rPr>
                <w:sz w:val="16"/>
                <w:szCs w:val="16"/>
                <w:color w:val="auto"/>
              </w:rPr>
            </w:pPr>
          </w:p>
        </w:tc>
        <w:tc>
          <w:tcPr>
            <w:tcW w:w="27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560" w:type="dxa"/>
            <w:vAlign w:val="bottom"/>
            <w:tcBorders>
              <w:bottom w:val="single" w:sz="8" w:color="7F7F7F"/>
            </w:tcBorders>
            <w:shd w:val="clear" w:color="auto" w:fill="F2F2F2"/>
          </w:tcPr>
          <w:p>
            <w:pPr>
              <w:spacing w:after="0"/>
              <w:rPr>
                <w:sz w:val="5"/>
                <w:szCs w:val="5"/>
                <w:color w:val="auto"/>
              </w:rPr>
            </w:pPr>
          </w:p>
        </w:tc>
        <w:tc>
          <w:tcPr>
            <w:tcW w:w="3640" w:type="dxa"/>
            <w:vAlign w:val="bottom"/>
            <w:tcBorders>
              <w:bottom w:val="single" w:sz="8" w:color="7F7F7F"/>
            </w:tcBorders>
            <w:shd w:val="clear" w:color="auto" w:fill="F2F2F2"/>
          </w:tcPr>
          <w:p>
            <w:pPr>
              <w:spacing w:after="0"/>
              <w:rPr>
                <w:sz w:val="5"/>
                <w:szCs w:val="5"/>
                <w:color w:val="auto"/>
              </w:rPr>
            </w:pPr>
          </w:p>
        </w:tc>
        <w:tc>
          <w:tcPr>
            <w:tcW w:w="272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80"/>
              <w:spacing w:after="0"/>
              <w:rPr>
                <w:sz w:val="20"/>
                <w:szCs w:val="20"/>
                <w:color w:val="auto"/>
              </w:rPr>
            </w:pPr>
            <w:r>
              <w:rPr>
                <w:rFonts w:ascii="Arial" w:cs="Arial" w:eastAsia="Arial" w:hAnsi="Arial"/>
                <w:sz w:val="14"/>
                <w:szCs w:val="14"/>
                <w:color w:val="auto"/>
              </w:rPr>
              <w:t>Capital International Investors, division of</w:t>
            </w:r>
          </w:p>
        </w:tc>
        <w:tc>
          <w:tcPr>
            <w:tcW w:w="3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560" w:type="dxa"/>
            <w:vAlign w:val="bottom"/>
          </w:tcPr>
          <w:p>
            <w:pPr>
              <w:ind w:left="80"/>
              <w:spacing w:after="0" w:line="161" w:lineRule="exact"/>
              <w:rPr>
                <w:sz w:val="20"/>
                <w:szCs w:val="20"/>
                <w:color w:val="auto"/>
              </w:rPr>
            </w:pPr>
            <w:r>
              <w:rPr>
                <w:rFonts w:ascii="Arial" w:cs="Arial" w:eastAsia="Arial" w:hAnsi="Arial"/>
                <w:sz w:val="12"/>
                <w:szCs w:val="12"/>
                <w:color w:val="auto"/>
              </w:rPr>
              <w:t>Capital Research and Management Company</w:t>
            </w:r>
            <w:r>
              <w:rPr>
                <w:rFonts w:ascii="Arial" w:cs="Arial" w:eastAsia="Arial" w:hAnsi="Arial"/>
                <w:sz w:val="18"/>
                <w:szCs w:val="18"/>
                <w:color w:val="auto"/>
                <w:vertAlign w:val="superscript"/>
              </w:rPr>
              <w:t>(C)</w:t>
            </w:r>
          </w:p>
        </w:tc>
        <w:tc>
          <w:tcPr>
            <w:tcW w:w="3640" w:type="dxa"/>
            <w:vAlign w:val="bottom"/>
            <w:vMerge w:val="restart"/>
          </w:tcPr>
          <w:p>
            <w:pPr>
              <w:jc w:val="right"/>
              <w:ind w:right="1009"/>
              <w:spacing w:after="0"/>
              <w:rPr>
                <w:sz w:val="20"/>
                <w:szCs w:val="20"/>
                <w:color w:val="auto"/>
              </w:rPr>
            </w:pPr>
            <w:r>
              <w:rPr>
                <w:rFonts w:ascii="Arial" w:cs="Arial" w:eastAsia="Arial" w:hAnsi="Arial"/>
                <w:sz w:val="14"/>
                <w:szCs w:val="14"/>
                <w:color w:val="auto"/>
              </w:rPr>
              <w:t>50,986,401</w:t>
            </w:r>
          </w:p>
        </w:tc>
        <w:tc>
          <w:tcPr>
            <w:tcW w:w="2720" w:type="dxa"/>
            <w:vAlign w:val="bottom"/>
            <w:vMerge w:val="restart"/>
          </w:tcPr>
          <w:p>
            <w:pPr>
              <w:jc w:val="right"/>
              <w:ind w:right="589"/>
              <w:spacing w:after="0"/>
              <w:rPr>
                <w:sz w:val="20"/>
                <w:szCs w:val="20"/>
                <w:color w:val="auto"/>
              </w:rPr>
            </w:pPr>
            <w:r>
              <w:rPr>
                <w:rFonts w:ascii="Arial" w:cs="Arial" w:eastAsia="Arial" w:hAnsi="Arial"/>
                <w:sz w:val="14"/>
                <w:szCs w:val="14"/>
                <w:color w:val="auto"/>
              </w:rPr>
              <w:t>  7.8%</w:t>
            </w:r>
          </w:p>
        </w:tc>
        <w:tc>
          <w:tcPr>
            <w:tcW w:w="0" w:type="dxa"/>
            <w:vAlign w:val="bottom"/>
          </w:tcPr>
          <w:p>
            <w:pPr>
              <w:spacing w:after="0"/>
              <w:rPr>
                <w:sz w:val="1"/>
                <w:szCs w:val="1"/>
                <w:color w:val="auto"/>
              </w:rPr>
            </w:pPr>
          </w:p>
        </w:tc>
      </w:tr>
      <w:tr>
        <w:trPr>
          <w:trHeight w:val="113"/>
        </w:trPr>
        <w:tc>
          <w:tcPr>
            <w:tcW w:w="4560" w:type="dxa"/>
            <w:vAlign w:val="bottom"/>
            <w:vMerge w:val="restart"/>
          </w:tcPr>
          <w:p>
            <w:pPr>
              <w:ind w:left="80"/>
              <w:spacing w:after="0" w:line="164" w:lineRule="exact"/>
              <w:rPr>
                <w:sz w:val="20"/>
                <w:szCs w:val="20"/>
                <w:color w:val="auto"/>
              </w:rPr>
            </w:pPr>
            <w:r>
              <w:rPr>
                <w:rFonts w:ascii="Arial" w:cs="Arial" w:eastAsia="Arial" w:hAnsi="Arial"/>
                <w:sz w:val="13"/>
                <w:szCs w:val="13"/>
                <w:color w:val="auto"/>
              </w:rPr>
              <w:t>333 South Hope Street, 55</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Floor</w:t>
            </w:r>
          </w:p>
        </w:tc>
        <w:tc>
          <w:tcPr>
            <w:tcW w:w="364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4560" w:type="dxa"/>
            <w:vAlign w:val="bottom"/>
            <w:vMerge w:val="continue"/>
          </w:tcPr>
          <w:p>
            <w:pPr>
              <w:spacing w:after="0"/>
              <w:rPr>
                <w:sz w:val="4"/>
                <w:szCs w:val="4"/>
                <w:color w:val="auto"/>
              </w:rPr>
            </w:pPr>
          </w:p>
        </w:tc>
        <w:tc>
          <w:tcPr>
            <w:tcW w:w="364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60" w:type="dxa"/>
            <w:vAlign w:val="bottom"/>
          </w:tcPr>
          <w:p>
            <w:pPr>
              <w:ind w:left="80"/>
              <w:spacing w:after="0"/>
              <w:rPr>
                <w:sz w:val="20"/>
                <w:szCs w:val="20"/>
                <w:color w:val="auto"/>
              </w:rPr>
            </w:pPr>
            <w:r>
              <w:rPr>
                <w:rFonts w:ascii="Arial" w:cs="Arial" w:eastAsia="Arial" w:hAnsi="Arial"/>
                <w:sz w:val="14"/>
                <w:szCs w:val="14"/>
                <w:color w:val="auto"/>
              </w:rPr>
              <w:t>Los Angeles, CA 90071</w:t>
            </w:r>
          </w:p>
        </w:tc>
        <w:tc>
          <w:tcPr>
            <w:tcW w:w="3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560" w:type="dxa"/>
            <w:vAlign w:val="bottom"/>
            <w:tcBorders>
              <w:bottom w:val="single" w:sz="8" w:color="7F7F7F"/>
            </w:tcBorders>
          </w:tcPr>
          <w:p>
            <w:pPr>
              <w:spacing w:after="0"/>
              <w:rPr>
                <w:sz w:val="5"/>
                <w:szCs w:val="5"/>
                <w:color w:val="auto"/>
              </w:rPr>
            </w:pPr>
          </w:p>
        </w:tc>
        <w:tc>
          <w:tcPr>
            <w:tcW w:w="3640" w:type="dxa"/>
            <w:vAlign w:val="bottom"/>
            <w:tcBorders>
              <w:bottom w:val="single" w:sz="8" w:color="7F7F7F"/>
            </w:tcBorders>
          </w:tcPr>
          <w:p>
            <w:pPr>
              <w:spacing w:after="0"/>
              <w:rPr>
                <w:sz w:val="5"/>
                <w:szCs w:val="5"/>
                <w:color w:val="auto"/>
              </w:rPr>
            </w:pPr>
          </w:p>
        </w:tc>
        <w:tc>
          <w:tcPr>
            <w:tcW w:w="272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F2F2F2"/>
          </w:tcPr>
          <w:p>
            <w:pPr>
              <w:ind w:left="80"/>
              <w:spacing w:after="0" w:line="198" w:lineRule="exact"/>
              <w:rPr>
                <w:sz w:val="20"/>
                <w:szCs w:val="20"/>
                <w:color w:val="auto"/>
              </w:rPr>
            </w:pPr>
            <w:r>
              <w:rPr>
                <w:rFonts w:ascii="Arial" w:cs="Arial" w:eastAsia="Arial" w:hAnsi="Arial"/>
                <w:sz w:val="14"/>
                <w:szCs w:val="14"/>
                <w:color w:val="auto"/>
              </w:rPr>
              <w:t>Wellington Management Group LLP</w:t>
            </w:r>
            <w:r>
              <w:rPr>
                <w:rFonts w:ascii="Arial" w:cs="Arial" w:eastAsia="Arial" w:hAnsi="Arial"/>
                <w:sz w:val="21"/>
                <w:szCs w:val="21"/>
                <w:color w:val="auto"/>
                <w:vertAlign w:val="superscript"/>
              </w:rPr>
              <w:t>(D)</w:t>
            </w:r>
          </w:p>
        </w:tc>
        <w:tc>
          <w:tcPr>
            <w:tcW w:w="3640" w:type="dxa"/>
            <w:vAlign w:val="bottom"/>
            <w:shd w:val="clear" w:color="auto" w:fill="F2F2F2"/>
          </w:tcPr>
          <w:p>
            <w:pPr>
              <w:spacing w:after="0"/>
              <w:rPr>
                <w:sz w:val="17"/>
                <w:szCs w:val="17"/>
                <w:color w:val="auto"/>
              </w:rPr>
            </w:pPr>
          </w:p>
        </w:tc>
        <w:tc>
          <w:tcPr>
            <w:tcW w:w="272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560" w:type="dxa"/>
            <w:vAlign w:val="bottom"/>
            <w:shd w:val="clear" w:color="auto" w:fill="F2F2F2"/>
          </w:tcPr>
          <w:p>
            <w:pPr>
              <w:ind w:left="80"/>
              <w:spacing w:after="0"/>
              <w:rPr>
                <w:sz w:val="20"/>
                <w:szCs w:val="20"/>
                <w:color w:val="auto"/>
              </w:rPr>
            </w:pPr>
            <w:r>
              <w:rPr>
                <w:rFonts w:ascii="Arial" w:cs="Arial" w:eastAsia="Arial" w:hAnsi="Arial"/>
                <w:sz w:val="14"/>
                <w:szCs w:val="14"/>
                <w:color w:val="auto"/>
              </w:rPr>
              <w:t>280 Congress Street</w:t>
            </w:r>
          </w:p>
        </w:tc>
        <w:tc>
          <w:tcPr>
            <w:tcW w:w="3640" w:type="dxa"/>
            <w:vAlign w:val="bottom"/>
            <w:shd w:val="clear" w:color="auto" w:fill="F2F2F2"/>
          </w:tcPr>
          <w:p>
            <w:pPr>
              <w:jc w:val="right"/>
              <w:ind w:right="1009"/>
              <w:spacing w:after="0"/>
              <w:rPr>
                <w:sz w:val="20"/>
                <w:szCs w:val="20"/>
                <w:color w:val="auto"/>
              </w:rPr>
            </w:pPr>
            <w:r>
              <w:rPr>
                <w:rFonts w:ascii="Arial" w:cs="Arial" w:eastAsia="Arial" w:hAnsi="Arial"/>
                <w:sz w:val="14"/>
                <w:szCs w:val="14"/>
                <w:color w:val="auto"/>
              </w:rPr>
              <w:t>48,686,047</w:t>
            </w:r>
          </w:p>
        </w:tc>
        <w:tc>
          <w:tcPr>
            <w:tcW w:w="2720" w:type="dxa"/>
            <w:vAlign w:val="bottom"/>
            <w:shd w:val="clear" w:color="auto" w:fill="F2F2F2"/>
          </w:tcPr>
          <w:p>
            <w:pPr>
              <w:jc w:val="right"/>
              <w:ind w:right="589"/>
              <w:spacing w:after="0"/>
              <w:rPr>
                <w:sz w:val="20"/>
                <w:szCs w:val="20"/>
                <w:color w:val="auto"/>
              </w:rPr>
            </w:pPr>
            <w:r>
              <w:rPr>
                <w:rFonts w:ascii="Arial" w:cs="Arial" w:eastAsia="Arial" w:hAnsi="Arial"/>
                <w:sz w:val="14"/>
                <w:szCs w:val="14"/>
                <w:color w:val="auto"/>
              </w:rPr>
              <w:t>  7.5%</w:t>
            </w:r>
          </w:p>
        </w:tc>
        <w:tc>
          <w:tcPr>
            <w:tcW w:w="0" w:type="dxa"/>
            <w:vAlign w:val="bottom"/>
          </w:tcPr>
          <w:p>
            <w:pPr>
              <w:spacing w:after="0"/>
              <w:rPr>
                <w:sz w:val="1"/>
                <w:szCs w:val="1"/>
                <w:color w:val="auto"/>
              </w:rPr>
            </w:pPr>
          </w:p>
        </w:tc>
      </w:tr>
      <w:tr>
        <w:trPr>
          <w:trHeight w:val="189"/>
        </w:trPr>
        <w:tc>
          <w:tcPr>
            <w:tcW w:w="4560" w:type="dxa"/>
            <w:vAlign w:val="bottom"/>
            <w:shd w:val="clear" w:color="auto" w:fill="F2F2F2"/>
          </w:tcPr>
          <w:p>
            <w:pPr>
              <w:ind w:left="80"/>
              <w:spacing w:after="0"/>
              <w:rPr>
                <w:sz w:val="20"/>
                <w:szCs w:val="20"/>
                <w:color w:val="auto"/>
              </w:rPr>
            </w:pPr>
            <w:r>
              <w:rPr>
                <w:rFonts w:ascii="Arial" w:cs="Arial" w:eastAsia="Arial" w:hAnsi="Arial"/>
                <w:sz w:val="14"/>
                <w:szCs w:val="14"/>
                <w:color w:val="auto"/>
              </w:rPr>
              <w:t>Boston, MA 02210</w:t>
            </w:r>
          </w:p>
        </w:tc>
        <w:tc>
          <w:tcPr>
            <w:tcW w:w="3640" w:type="dxa"/>
            <w:vAlign w:val="bottom"/>
            <w:shd w:val="clear" w:color="auto" w:fill="F2F2F2"/>
          </w:tcPr>
          <w:p>
            <w:pPr>
              <w:spacing w:after="0"/>
              <w:rPr>
                <w:sz w:val="16"/>
                <w:szCs w:val="16"/>
                <w:color w:val="auto"/>
              </w:rPr>
            </w:pPr>
          </w:p>
        </w:tc>
        <w:tc>
          <w:tcPr>
            <w:tcW w:w="27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560" w:type="dxa"/>
            <w:vAlign w:val="bottom"/>
            <w:tcBorders>
              <w:bottom w:val="single" w:sz="8" w:color="7F7F7F"/>
            </w:tcBorders>
            <w:shd w:val="clear" w:color="auto" w:fill="F2F2F2"/>
          </w:tcPr>
          <w:p>
            <w:pPr>
              <w:spacing w:after="0"/>
              <w:rPr>
                <w:sz w:val="5"/>
                <w:szCs w:val="5"/>
                <w:color w:val="auto"/>
              </w:rPr>
            </w:pPr>
          </w:p>
        </w:tc>
        <w:tc>
          <w:tcPr>
            <w:tcW w:w="3640" w:type="dxa"/>
            <w:vAlign w:val="bottom"/>
            <w:tcBorders>
              <w:bottom w:val="single" w:sz="8" w:color="7F7F7F"/>
            </w:tcBorders>
            <w:shd w:val="clear" w:color="auto" w:fill="F2F2F2"/>
          </w:tcPr>
          <w:p>
            <w:pPr>
              <w:spacing w:after="0"/>
              <w:rPr>
                <w:sz w:val="5"/>
                <w:szCs w:val="5"/>
                <w:color w:val="auto"/>
              </w:rPr>
            </w:pPr>
          </w:p>
        </w:tc>
        <w:tc>
          <w:tcPr>
            <w:tcW w:w="272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560" w:type="dxa"/>
            <w:vAlign w:val="bottom"/>
          </w:tcPr>
          <w:p>
            <w:pPr>
              <w:ind w:left="80"/>
              <w:spacing w:after="0" w:line="198" w:lineRule="exact"/>
              <w:rPr>
                <w:sz w:val="20"/>
                <w:szCs w:val="20"/>
                <w:color w:val="auto"/>
              </w:rPr>
            </w:pPr>
            <w:r>
              <w:rPr>
                <w:rFonts w:ascii="Arial" w:cs="Arial" w:eastAsia="Arial" w:hAnsi="Arial"/>
                <w:sz w:val="14"/>
                <w:szCs w:val="14"/>
                <w:color w:val="auto"/>
              </w:rPr>
              <w:t>State Street Corporation</w:t>
            </w:r>
            <w:r>
              <w:rPr>
                <w:rFonts w:ascii="Arial" w:cs="Arial" w:eastAsia="Arial" w:hAnsi="Arial"/>
                <w:sz w:val="21"/>
                <w:szCs w:val="21"/>
                <w:color w:val="auto"/>
                <w:vertAlign w:val="superscript"/>
              </w:rPr>
              <w:t>(E)</w:t>
            </w:r>
          </w:p>
        </w:tc>
        <w:tc>
          <w:tcPr>
            <w:tcW w:w="36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560" w:type="dxa"/>
            <w:vAlign w:val="bottom"/>
          </w:tcPr>
          <w:p>
            <w:pPr>
              <w:ind w:left="80"/>
              <w:spacing w:after="0"/>
              <w:rPr>
                <w:sz w:val="20"/>
                <w:szCs w:val="20"/>
                <w:color w:val="auto"/>
              </w:rPr>
            </w:pPr>
            <w:r>
              <w:rPr>
                <w:rFonts w:ascii="Arial" w:cs="Arial" w:eastAsia="Arial" w:hAnsi="Arial"/>
                <w:sz w:val="14"/>
                <w:szCs w:val="14"/>
                <w:color w:val="auto"/>
              </w:rPr>
              <w:t>State Street Financial Center</w:t>
            </w:r>
          </w:p>
        </w:tc>
        <w:tc>
          <w:tcPr>
            <w:tcW w:w="3640" w:type="dxa"/>
            <w:vAlign w:val="bottom"/>
            <w:vMerge w:val="restart"/>
          </w:tcPr>
          <w:p>
            <w:pPr>
              <w:jc w:val="right"/>
              <w:ind w:right="1009"/>
              <w:spacing w:after="0"/>
              <w:rPr>
                <w:sz w:val="20"/>
                <w:szCs w:val="20"/>
                <w:color w:val="auto"/>
              </w:rPr>
            </w:pPr>
            <w:r>
              <w:rPr>
                <w:rFonts w:ascii="Arial" w:cs="Arial" w:eastAsia="Arial" w:hAnsi="Arial"/>
                <w:sz w:val="14"/>
                <w:szCs w:val="14"/>
                <w:color w:val="auto"/>
              </w:rPr>
              <w:t>34,247,325</w:t>
            </w:r>
          </w:p>
        </w:tc>
        <w:tc>
          <w:tcPr>
            <w:tcW w:w="2720" w:type="dxa"/>
            <w:vAlign w:val="bottom"/>
            <w:vMerge w:val="restart"/>
          </w:tcPr>
          <w:p>
            <w:pPr>
              <w:jc w:val="right"/>
              <w:ind w:right="589"/>
              <w:spacing w:after="0"/>
              <w:rPr>
                <w:sz w:val="20"/>
                <w:szCs w:val="20"/>
                <w:color w:val="auto"/>
              </w:rPr>
            </w:pPr>
            <w:r>
              <w:rPr>
                <w:rFonts w:ascii="Arial" w:cs="Arial" w:eastAsia="Arial" w:hAnsi="Arial"/>
                <w:sz w:val="14"/>
                <w:szCs w:val="14"/>
                <w:color w:val="auto"/>
              </w:rPr>
              <w:t>  5.2%</w:t>
            </w:r>
          </w:p>
        </w:tc>
        <w:tc>
          <w:tcPr>
            <w:tcW w:w="0" w:type="dxa"/>
            <w:vAlign w:val="bottom"/>
          </w:tcPr>
          <w:p>
            <w:pPr>
              <w:spacing w:after="0"/>
              <w:rPr>
                <w:sz w:val="1"/>
                <w:szCs w:val="1"/>
                <w:color w:val="auto"/>
              </w:rPr>
            </w:pPr>
          </w:p>
        </w:tc>
      </w:tr>
      <w:tr>
        <w:trPr>
          <w:trHeight w:val="109"/>
        </w:trPr>
        <w:tc>
          <w:tcPr>
            <w:tcW w:w="4560" w:type="dxa"/>
            <w:vAlign w:val="bottom"/>
            <w:vMerge w:val="restart"/>
          </w:tcPr>
          <w:p>
            <w:pPr>
              <w:ind w:left="80"/>
              <w:spacing w:after="0"/>
              <w:rPr>
                <w:sz w:val="20"/>
                <w:szCs w:val="20"/>
                <w:color w:val="auto"/>
              </w:rPr>
            </w:pPr>
            <w:r>
              <w:rPr>
                <w:rFonts w:ascii="Arial" w:cs="Arial" w:eastAsia="Arial" w:hAnsi="Arial"/>
                <w:sz w:val="14"/>
                <w:szCs w:val="14"/>
                <w:color w:val="auto"/>
              </w:rPr>
              <w:t>1 Congress Street, Suite 1</w:t>
            </w:r>
          </w:p>
        </w:tc>
        <w:tc>
          <w:tcPr>
            <w:tcW w:w="364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560" w:type="dxa"/>
            <w:vAlign w:val="bottom"/>
            <w:vMerge w:val="continue"/>
          </w:tcPr>
          <w:p>
            <w:pPr>
              <w:spacing w:after="0"/>
              <w:rPr>
                <w:sz w:val="5"/>
                <w:szCs w:val="5"/>
                <w:color w:val="auto"/>
              </w:rPr>
            </w:pPr>
          </w:p>
        </w:tc>
        <w:tc>
          <w:tcPr>
            <w:tcW w:w="3640" w:type="dxa"/>
            <w:vAlign w:val="bottom"/>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240"/>
        <w:spacing w:after="0"/>
        <w:rPr>
          <w:sz w:val="20"/>
          <w:szCs w:val="20"/>
          <w:color w:val="auto"/>
        </w:rPr>
      </w:pPr>
      <w:r>
        <w:rPr>
          <w:rFonts w:ascii="Arial" w:cs="Arial" w:eastAsia="Arial" w:hAnsi="Arial"/>
          <w:sz w:val="14"/>
          <w:szCs w:val="14"/>
          <w:color w:val="auto"/>
        </w:rPr>
        <w:t>Boston, MA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47625</wp:posOffset>
            </wp:positionV>
            <wp:extent cx="69297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1" w:lineRule="exact"/>
        <w:rPr>
          <w:sz w:val="20"/>
          <w:szCs w:val="20"/>
          <w:color w:val="auto"/>
        </w:rPr>
      </w:pPr>
    </w:p>
    <w:p>
      <w:pPr>
        <w:ind w:left="480" w:right="120" w:hanging="313"/>
        <w:spacing w:after="0" w:line="255" w:lineRule="auto"/>
        <w:tabs>
          <w:tab w:leader="none" w:pos="4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information regarding The Vanguard Group is based solely on a Schedule 13G/A filed by The Vanguard Group with the SEC on October 30, 2025 reflecting shares of our common stock beneficially owned as of September 30, 2025 (the Vanguard 13G/A). According to the Vanguard 13G/A, includes shared voting power with respect to 4,137,863 shares, sole dispositive power with respect to 69,167,967 shares and shared dispositive power with respect to 6,556,582 shares.</w:t>
      </w:r>
    </w:p>
    <w:p>
      <w:pPr>
        <w:spacing w:after="0" w:line="1" w:lineRule="exact"/>
        <w:rPr>
          <w:rFonts w:ascii="Arial" w:cs="Arial" w:eastAsia="Arial" w:hAnsi="Arial"/>
          <w:sz w:val="12"/>
          <w:szCs w:val="12"/>
          <w:color w:val="auto"/>
        </w:rPr>
      </w:pPr>
    </w:p>
    <w:p>
      <w:pPr>
        <w:ind w:left="480" w:right="100" w:hanging="313"/>
        <w:spacing w:after="0" w:line="255" w:lineRule="auto"/>
        <w:tabs>
          <w:tab w:leader="none" w:pos="4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information regarding BlackRock, Inc. is based solely on a Schedule 13G/A filed by BlackRock, Inc. with the SEC on April 24, 2025 reflecting shares of our common stock beneficially owned as of March 31, 2025 (the BlackRock 13G/A). According to the BlackRock 13G/A, includes sole voting power with respect to 48,343,067 shares and sole dispositive power with respect to 53,048,491 shares.</w:t>
      </w:r>
    </w:p>
    <w:p>
      <w:pPr>
        <w:spacing w:after="0" w:line="1" w:lineRule="exact"/>
        <w:rPr>
          <w:rFonts w:ascii="Arial" w:cs="Arial" w:eastAsia="Arial" w:hAnsi="Arial"/>
          <w:sz w:val="12"/>
          <w:szCs w:val="12"/>
          <w:color w:val="auto"/>
        </w:rPr>
      </w:pPr>
    </w:p>
    <w:p>
      <w:pPr>
        <w:ind w:left="480" w:right="40" w:hanging="313"/>
        <w:spacing w:after="0" w:line="255" w:lineRule="auto"/>
        <w:tabs>
          <w:tab w:leader="none" w:pos="4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information regarding Capital International Investors, a division of Capital Research and Management Company, as well as certain of its investment management subsidiaries and affiliates (Capital), is based solely on a Schedule 13G/A filed by Capital with the SEC on August 13, 2025 reflecting shares of our common stock beneficially owned as of June 30, 2025 (the Capital 13G/A). According to the Capital 13G/A, includes sole voting power with respect to 50,216,474 shares of our common stock and sole dispositive power with respect to 50,986,401 shares.</w:t>
      </w:r>
    </w:p>
    <w:p>
      <w:pPr>
        <w:spacing w:after="0" w:line="1" w:lineRule="exact"/>
        <w:rPr>
          <w:rFonts w:ascii="Arial" w:cs="Arial" w:eastAsia="Arial" w:hAnsi="Arial"/>
          <w:sz w:val="12"/>
          <w:szCs w:val="12"/>
          <w:color w:val="auto"/>
        </w:rPr>
      </w:pPr>
    </w:p>
    <w:p>
      <w:pPr>
        <w:ind w:left="480" w:right="320" w:hanging="313"/>
        <w:spacing w:after="0" w:line="255" w:lineRule="auto"/>
        <w:tabs>
          <w:tab w:leader="none" w:pos="4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information regarding Wellington Management Group LLP is based solely on a Schedule 13G/A filed by Wellington Management Group LLP with the SEC on May 12, 2025 reflecting shares of our common stock beneficially owned as of March 31, 2025 (the Wellington 13G/A). According to the Wellington 13G/A, includes shared voting power with respect to 46,744,631 shares and shared dispositive power with respect to 48,686,047 shares.</w:t>
      </w:r>
    </w:p>
    <w:p>
      <w:pPr>
        <w:spacing w:after="0" w:line="1" w:lineRule="exact"/>
        <w:rPr>
          <w:rFonts w:ascii="Arial" w:cs="Arial" w:eastAsia="Arial" w:hAnsi="Arial"/>
          <w:sz w:val="12"/>
          <w:szCs w:val="12"/>
          <w:color w:val="auto"/>
        </w:rPr>
      </w:pPr>
    </w:p>
    <w:p>
      <w:pPr>
        <w:jc w:val="both"/>
        <w:ind w:left="480" w:right="140" w:hanging="313"/>
        <w:spacing w:after="0" w:line="255" w:lineRule="auto"/>
        <w:tabs>
          <w:tab w:leader="none" w:pos="4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information regarding State Street Corporation is based solely on a Schedule 13G/A filed by State Street Corporation with the SEC on January 30, 2024 reflecting shares of our common stock beneficially owned as of December 31, 2023 (the State Street 13G/A). According to the State Street 13G/A, includes shared voting power with respect to 21,709,425 shares and shared dispositive power with respect to 34,147,957 shares.</w:t>
      </w:r>
    </w:p>
    <w:p>
      <w:pPr>
        <w:spacing w:after="0" w:line="1" w:lineRule="exact"/>
        <w:rPr>
          <w:rFonts w:ascii="Arial" w:cs="Arial" w:eastAsia="Arial" w:hAnsi="Arial"/>
          <w:sz w:val="12"/>
          <w:szCs w:val="12"/>
          <w:color w:val="auto"/>
        </w:rPr>
      </w:pPr>
    </w:p>
    <w:p>
      <w:pPr>
        <w:ind w:left="480" w:right="220" w:hanging="313"/>
        <w:spacing w:after="0" w:line="256" w:lineRule="auto"/>
        <w:tabs>
          <w:tab w:leader="none" w:pos="4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percentages are calculated based on (i) the number of shares of our common stock reflected as being beneficially owned by each beneficial owner as of the date referenced in its latest filing through March 20, 2026 under Section 13(g) of the Exchange Act as described in the other footnotes to this table, and (ii) 653,332,556 shares of our common stock outstanding as of 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215265</wp:posOffset>
            </wp:positionV>
            <wp:extent cx="739140" cy="144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25</w:t>
      </w:r>
    </w:p>
    <w:p>
      <w:pPr>
        <w:sectPr>
          <w:pgSz w:w="11900" w:h="16838" w:orient="portrait"/>
          <w:cols w:equalWidth="0" w:num="1">
            <w:col w:w="11080"/>
          </w:cols>
          <w:pgMar w:left="320" w:top="478"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Proposals to be Voted On</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Board of Directors Proposals</w:t>
      </w:r>
    </w:p>
    <w:p>
      <w:pPr>
        <w:spacing w:after="0" w:line="132" w:lineRule="exact"/>
        <w:rPr>
          <w:sz w:val="20"/>
          <w:szCs w:val="20"/>
          <w:color w:val="auto"/>
        </w:rPr>
      </w:pPr>
    </w:p>
    <w:p>
      <w:pPr>
        <w:ind w:left="160" w:right="500"/>
        <w:spacing w:after="0" w:line="281" w:lineRule="auto"/>
        <w:rPr>
          <w:sz w:val="20"/>
          <w:szCs w:val="20"/>
          <w:color w:val="auto"/>
        </w:rPr>
      </w:pPr>
      <w:r>
        <w:rPr>
          <w:rFonts w:ascii="Arial" w:cs="Arial" w:eastAsia="Arial" w:hAnsi="Arial"/>
          <w:sz w:val="14"/>
          <w:szCs w:val="14"/>
          <w:color w:val="auto"/>
        </w:rPr>
        <w:t>Proposals 1, 2 and 3 have been included in this proxy statement at the direction of the Board of Directors. The board recommends that you vote “FOR” each of the 11 director nominees named in this proxy statement on Proposal 1 and “FOR” each of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46990</wp:posOffset>
            </wp:positionV>
            <wp:extent cx="6929755" cy="4584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29755" cy="458470"/>
                    </a:xfrm>
                    <a:prstGeom prst="rect">
                      <a:avLst/>
                    </a:prstGeom>
                    <a:noFill/>
                  </pic:spPr>
                </pic:pic>
              </a:graphicData>
            </a:graphic>
          </wp:anchor>
        </w:drawing>
      </w:r>
    </w:p>
    <w:p>
      <w:pPr>
        <w:spacing w:after="0" w:line="245" w:lineRule="exact"/>
        <w:rPr>
          <w:sz w:val="20"/>
          <w:szCs w:val="20"/>
          <w:color w:val="auto"/>
        </w:rPr>
      </w:pPr>
    </w:p>
    <w:p>
      <w:pPr>
        <w:ind w:left="380"/>
        <w:spacing w:after="0"/>
        <w:rPr>
          <w:sz w:val="20"/>
          <w:szCs w:val="20"/>
          <w:color w:val="auto"/>
        </w:rPr>
      </w:pPr>
      <w:r>
        <w:rPr>
          <w:rFonts w:ascii="Arial" w:cs="Arial" w:eastAsia="Arial" w:hAnsi="Arial"/>
          <w:sz w:val="25"/>
          <w:szCs w:val="25"/>
          <w:color w:val="FFFFFF"/>
        </w:rPr>
        <w:t>Proposal 1: Election of Directors</w:t>
      </w:r>
    </w:p>
    <w:p>
      <w:pPr>
        <w:spacing w:after="0" w:line="341" w:lineRule="exact"/>
        <w:rPr>
          <w:sz w:val="20"/>
          <w:szCs w:val="20"/>
          <w:color w:val="auto"/>
        </w:rPr>
      </w:pPr>
    </w:p>
    <w:p>
      <w:pPr>
        <w:ind w:left="160" w:right="200"/>
        <w:spacing w:after="0" w:line="281" w:lineRule="auto"/>
        <w:rPr>
          <w:sz w:val="20"/>
          <w:szCs w:val="20"/>
          <w:color w:val="auto"/>
        </w:rPr>
      </w:pPr>
      <w:r>
        <w:rPr>
          <w:rFonts w:ascii="Arial" w:cs="Arial" w:eastAsia="Arial" w:hAnsi="Arial"/>
          <w:sz w:val="14"/>
          <w:szCs w:val="14"/>
          <w:color w:val="auto"/>
        </w:rPr>
        <w:t>Directors are elected at each annual shareholders meeting for terms expiring at the next annual shareholders meeting. The Board of Directors has nominated the following individuals to stand for election as directors at the Annual Shareholders Meeting, all of whom are currently directors:</w:t>
      </w:r>
    </w:p>
    <w:p>
      <w:pPr>
        <w:spacing w:after="0" w:line="80" w:lineRule="exact"/>
        <w:rPr>
          <w:sz w:val="20"/>
          <w:szCs w:val="20"/>
          <w:color w:val="auto"/>
        </w:rPr>
      </w:pPr>
    </w:p>
    <w:tbl>
      <w:tblPr>
        <w:tblLayout w:type="fixed"/>
        <w:tblInd w:w="170" w:type="dxa"/>
        <w:tblCellMar>
          <w:top w:w="0" w:type="dxa"/>
          <w:left w:w="0" w:type="dxa"/>
          <w:bottom w:w="0" w:type="dxa"/>
          <w:right w:w="0" w:type="dxa"/>
        </w:tblCellMar>
      </w:tblPr>
      <w:tr>
        <w:trPr>
          <w:trHeight w:val="287"/>
        </w:trPr>
        <w:tc>
          <w:tcPr>
            <w:tcW w:w="3020" w:type="dxa"/>
            <w:vAlign w:val="bottom"/>
            <w:tcBorders>
              <w:top w:val="single" w:sz="8" w:color="005CB9"/>
              <w:left w:val="single" w:sz="8" w:color="005CB9"/>
            </w:tcBorders>
            <w:shd w:val="clear" w:color="auto" w:fill="F2F2F2"/>
          </w:tcPr>
          <w:p>
            <w:pPr>
              <w:jc w:val="center"/>
              <w:ind w:left="129"/>
              <w:spacing w:after="0"/>
              <w:rPr>
                <w:sz w:val="20"/>
                <w:szCs w:val="20"/>
                <w:color w:val="auto"/>
              </w:rPr>
            </w:pPr>
            <w:r>
              <w:rPr>
                <w:rFonts w:ascii="Arial" w:cs="Arial" w:eastAsia="Arial" w:hAnsi="Arial"/>
                <w:sz w:val="14"/>
                <w:szCs w:val="14"/>
                <w:color w:val="auto"/>
              </w:rPr>
              <w:t>Andrés Conesa</w:t>
            </w:r>
          </w:p>
        </w:tc>
        <w:tc>
          <w:tcPr>
            <w:tcW w:w="2880" w:type="dxa"/>
            <w:vAlign w:val="bottom"/>
            <w:tcBorders>
              <w:top w:val="single" w:sz="8" w:color="005CB9"/>
            </w:tcBorders>
            <w:shd w:val="clear" w:color="auto" w:fill="F2F2F2"/>
          </w:tcPr>
          <w:p>
            <w:pPr>
              <w:jc w:val="center"/>
              <w:spacing w:after="0"/>
              <w:rPr>
                <w:sz w:val="20"/>
                <w:szCs w:val="20"/>
                <w:color w:val="auto"/>
              </w:rPr>
            </w:pPr>
            <w:r>
              <w:rPr>
                <w:rFonts w:ascii="Arial" w:cs="Arial" w:eastAsia="Arial" w:hAnsi="Arial"/>
                <w:sz w:val="14"/>
                <w:szCs w:val="14"/>
                <w:color w:val="auto"/>
              </w:rPr>
              <w:t>Richard J. Mark</w:t>
            </w:r>
          </w:p>
        </w:tc>
        <w:tc>
          <w:tcPr>
            <w:tcW w:w="2640" w:type="dxa"/>
            <w:vAlign w:val="bottom"/>
            <w:tcBorders>
              <w:top w:val="single" w:sz="8" w:color="005CB9"/>
            </w:tcBorders>
            <w:shd w:val="clear" w:color="auto" w:fill="F2F2F2"/>
          </w:tcPr>
          <w:p>
            <w:pPr>
              <w:jc w:val="center"/>
              <w:ind w:left="149"/>
              <w:spacing w:after="0"/>
              <w:rPr>
                <w:sz w:val="20"/>
                <w:szCs w:val="20"/>
                <w:color w:val="auto"/>
              </w:rPr>
            </w:pPr>
            <w:r>
              <w:rPr>
                <w:rFonts w:ascii="Arial" w:cs="Arial" w:eastAsia="Arial" w:hAnsi="Arial"/>
                <w:sz w:val="14"/>
                <w:szCs w:val="14"/>
                <w:color w:val="auto"/>
              </w:rPr>
              <w:t>Kevin C. Sagara</w:t>
            </w:r>
          </w:p>
        </w:tc>
        <w:tc>
          <w:tcPr>
            <w:tcW w:w="2400" w:type="dxa"/>
            <w:vAlign w:val="bottom"/>
            <w:tcBorders>
              <w:top w:val="single" w:sz="8" w:color="005CB9"/>
              <w:right w:val="single" w:sz="8" w:color="005CB9"/>
            </w:tcBorders>
            <w:shd w:val="clear" w:color="auto" w:fill="F2F2F2"/>
          </w:tcPr>
          <w:p>
            <w:pPr>
              <w:jc w:val="center"/>
              <w:spacing w:after="0"/>
              <w:rPr>
                <w:sz w:val="20"/>
                <w:szCs w:val="20"/>
                <w:color w:val="auto"/>
              </w:rPr>
            </w:pPr>
            <w:r>
              <w:rPr>
                <w:rFonts w:ascii="Arial" w:cs="Arial" w:eastAsia="Arial" w:hAnsi="Arial"/>
                <w:sz w:val="14"/>
                <w:szCs w:val="14"/>
                <w:color w:val="auto"/>
              </w:rPr>
              <w:t>Anya Weaving</w:t>
            </w:r>
          </w:p>
        </w:tc>
      </w:tr>
      <w:tr>
        <w:trPr>
          <w:trHeight w:val="267"/>
        </w:trPr>
        <w:tc>
          <w:tcPr>
            <w:tcW w:w="3020" w:type="dxa"/>
            <w:vAlign w:val="bottom"/>
            <w:tcBorders>
              <w:left w:val="single" w:sz="8" w:color="005CB9"/>
            </w:tcBorders>
            <w:shd w:val="clear" w:color="auto" w:fill="F2F2F2"/>
          </w:tcPr>
          <w:p>
            <w:pPr>
              <w:jc w:val="center"/>
              <w:ind w:left="129"/>
              <w:spacing w:after="0"/>
              <w:rPr>
                <w:sz w:val="20"/>
                <w:szCs w:val="20"/>
                <w:color w:val="auto"/>
              </w:rPr>
            </w:pPr>
            <w:r>
              <w:rPr>
                <w:rFonts w:ascii="Arial" w:cs="Arial" w:eastAsia="Arial" w:hAnsi="Arial"/>
                <w:sz w:val="14"/>
                <w:szCs w:val="14"/>
                <w:color w:val="auto"/>
              </w:rPr>
              <w:t>Pablo A. Ferrero</w:t>
            </w:r>
          </w:p>
        </w:tc>
        <w:tc>
          <w:tcPr>
            <w:tcW w:w="2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Jeffrey W. Martin</w:t>
            </w:r>
          </w:p>
        </w:tc>
        <w:tc>
          <w:tcPr>
            <w:tcW w:w="2640" w:type="dxa"/>
            <w:vAlign w:val="bottom"/>
            <w:shd w:val="clear" w:color="auto" w:fill="F2F2F2"/>
          </w:tcPr>
          <w:p>
            <w:pPr>
              <w:jc w:val="center"/>
              <w:ind w:left="149"/>
              <w:spacing w:after="0"/>
              <w:rPr>
                <w:sz w:val="20"/>
                <w:szCs w:val="20"/>
                <w:color w:val="auto"/>
              </w:rPr>
            </w:pPr>
            <w:r>
              <w:rPr>
                <w:rFonts w:ascii="Arial" w:cs="Arial" w:eastAsia="Arial" w:hAnsi="Arial"/>
                <w:sz w:val="14"/>
                <w:szCs w:val="14"/>
                <w:color w:val="auto"/>
                <w:w w:val="97"/>
              </w:rPr>
              <w:t>Jack T. Taylor</w:t>
            </w:r>
          </w:p>
        </w:tc>
        <w:tc>
          <w:tcPr>
            <w:tcW w:w="2400" w:type="dxa"/>
            <w:vAlign w:val="bottom"/>
            <w:tcBorders>
              <w:right w:val="single" w:sz="8" w:color="005CB9"/>
            </w:tcBorders>
            <w:shd w:val="clear" w:color="auto" w:fill="F2F2F2"/>
          </w:tcPr>
          <w:p>
            <w:pPr>
              <w:jc w:val="center"/>
              <w:spacing w:after="0"/>
              <w:rPr>
                <w:sz w:val="20"/>
                <w:szCs w:val="20"/>
                <w:color w:val="auto"/>
              </w:rPr>
            </w:pPr>
            <w:r>
              <w:rPr>
                <w:rFonts w:ascii="Arial" w:cs="Arial" w:eastAsia="Arial" w:hAnsi="Arial"/>
                <w:sz w:val="14"/>
                <w:szCs w:val="14"/>
                <w:color w:val="auto"/>
              </w:rPr>
              <w:t>James C. Yardley</w:t>
            </w:r>
          </w:p>
        </w:tc>
      </w:tr>
      <w:tr>
        <w:trPr>
          <w:trHeight w:val="267"/>
        </w:trPr>
        <w:tc>
          <w:tcPr>
            <w:tcW w:w="3020" w:type="dxa"/>
            <w:vAlign w:val="bottom"/>
            <w:tcBorders>
              <w:left w:val="single" w:sz="8" w:color="005CB9"/>
            </w:tcBorders>
            <w:shd w:val="clear" w:color="auto" w:fill="F2F2F2"/>
          </w:tcPr>
          <w:p>
            <w:pPr>
              <w:jc w:val="center"/>
              <w:ind w:left="129"/>
              <w:spacing w:after="0"/>
              <w:rPr>
                <w:sz w:val="20"/>
                <w:szCs w:val="20"/>
                <w:color w:val="auto"/>
              </w:rPr>
            </w:pPr>
            <w:r>
              <w:rPr>
                <w:rFonts w:ascii="Arial" w:cs="Arial" w:eastAsia="Arial" w:hAnsi="Arial"/>
                <w:sz w:val="14"/>
                <w:szCs w:val="14"/>
                <w:color w:val="auto"/>
              </w:rPr>
              <w:t>Jennifer M. Kirk</w:t>
            </w:r>
          </w:p>
        </w:tc>
        <w:tc>
          <w:tcPr>
            <w:tcW w:w="2880" w:type="dxa"/>
            <w:vAlign w:val="bottom"/>
            <w:shd w:val="clear" w:color="auto" w:fill="F2F2F2"/>
          </w:tcPr>
          <w:p>
            <w:pPr>
              <w:jc w:val="center"/>
              <w:spacing w:after="0"/>
              <w:rPr>
                <w:sz w:val="20"/>
                <w:szCs w:val="20"/>
                <w:color w:val="auto"/>
              </w:rPr>
            </w:pPr>
            <w:r>
              <w:rPr>
                <w:rFonts w:ascii="Arial" w:cs="Arial" w:eastAsia="Arial" w:hAnsi="Arial"/>
                <w:sz w:val="14"/>
                <w:szCs w:val="14"/>
                <w:color w:val="auto"/>
              </w:rPr>
              <w:t>Michael N. Mears</w:t>
            </w:r>
          </w:p>
        </w:tc>
        <w:tc>
          <w:tcPr>
            <w:tcW w:w="2640" w:type="dxa"/>
            <w:vAlign w:val="bottom"/>
            <w:shd w:val="clear" w:color="auto" w:fill="F2F2F2"/>
          </w:tcPr>
          <w:p>
            <w:pPr>
              <w:jc w:val="center"/>
              <w:ind w:left="149"/>
              <w:spacing w:after="0"/>
              <w:rPr>
                <w:sz w:val="20"/>
                <w:szCs w:val="20"/>
                <w:color w:val="auto"/>
              </w:rPr>
            </w:pPr>
            <w:r>
              <w:rPr>
                <w:rFonts w:ascii="Arial" w:cs="Arial" w:eastAsia="Arial" w:hAnsi="Arial"/>
                <w:sz w:val="14"/>
                <w:szCs w:val="14"/>
                <w:color w:val="auto"/>
              </w:rPr>
              <w:t>Cynthia J. Warner</w:t>
            </w:r>
          </w:p>
        </w:tc>
        <w:tc>
          <w:tcPr>
            <w:tcW w:w="2400" w:type="dxa"/>
            <w:vAlign w:val="bottom"/>
            <w:tcBorders>
              <w:right w:val="single" w:sz="8" w:color="005CB9"/>
            </w:tcBorders>
            <w:shd w:val="clear" w:color="auto" w:fill="F2F2F2"/>
          </w:tcPr>
          <w:p>
            <w:pPr>
              <w:spacing w:after="0"/>
              <w:rPr>
                <w:sz w:val="23"/>
                <w:szCs w:val="23"/>
                <w:color w:val="auto"/>
              </w:rPr>
            </w:pPr>
          </w:p>
        </w:tc>
      </w:tr>
      <w:tr>
        <w:trPr>
          <w:trHeight w:val="101"/>
        </w:trPr>
        <w:tc>
          <w:tcPr>
            <w:tcW w:w="3020" w:type="dxa"/>
            <w:vAlign w:val="bottom"/>
            <w:tcBorders>
              <w:left w:val="single" w:sz="8" w:color="005CB9"/>
              <w:bottom w:val="single" w:sz="8" w:color="005CB9"/>
            </w:tcBorders>
            <w:shd w:val="clear" w:color="auto" w:fill="F2F2F2"/>
          </w:tcPr>
          <w:p>
            <w:pPr>
              <w:spacing w:after="0"/>
              <w:rPr>
                <w:sz w:val="8"/>
                <w:szCs w:val="8"/>
                <w:color w:val="auto"/>
              </w:rPr>
            </w:pPr>
          </w:p>
        </w:tc>
        <w:tc>
          <w:tcPr>
            <w:tcW w:w="2880" w:type="dxa"/>
            <w:vAlign w:val="bottom"/>
            <w:tcBorders>
              <w:bottom w:val="single" w:sz="8" w:color="005CB9"/>
            </w:tcBorders>
            <w:shd w:val="clear" w:color="auto" w:fill="F2F2F2"/>
          </w:tcPr>
          <w:p>
            <w:pPr>
              <w:spacing w:after="0"/>
              <w:rPr>
                <w:sz w:val="8"/>
                <w:szCs w:val="8"/>
                <w:color w:val="auto"/>
              </w:rPr>
            </w:pPr>
          </w:p>
        </w:tc>
        <w:tc>
          <w:tcPr>
            <w:tcW w:w="2640" w:type="dxa"/>
            <w:vAlign w:val="bottom"/>
            <w:tcBorders>
              <w:bottom w:val="single" w:sz="8" w:color="005CB9"/>
            </w:tcBorders>
            <w:shd w:val="clear" w:color="auto" w:fill="F2F2F2"/>
          </w:tcPr>
          <w:p>
            <w:pPr>
              <w:spacing w:after="0"/>
              <w:rPr>
                <w:sz w:val="8"/>
                <w:szCs w:val="8"/>
                <w:color w:val="auto"/>
              </w:rPr>
            </w:pPr>
          </w:p>
        </w:tc>
        <w:tc>
          <w:tcPr>
            <w:tcW w:w="2400" w:type="dxa"/>
            <w:vAlign w:val="bottom"/>
            <w:tcBorders>
              <w:bottom w:val="single" w:sz="8" w:color="005CB9"/>
              <w:right w:val="single" w:sz="8" w:color="005CB9"/>
            </w:tcBorders>
            <w:shd w:val="clear" w:color="auto" w:fill="F2F2F2"/>
          </w:tcPr>
          <w:p>
            <w:pPr>
              <w:spacing w:after="0"/>
              <w:rPr>
                <w:sz w:val="8"/>
                <w:szCs w:val="8"/>
                <w:color w:val="auto"/>
              </w:rPr>
            </w:pPr>
          </w:p>
        </w:tc>
      </w:tr>
    </w:tbl>
    <w:p>
      <w:pPr>
        <w:spacing w:after="0" w:line="165" w:lineRule="exact"/>
        <w:rPr>
          <w:sz w:val="20"/>
          <w:szCs w:val="20"/>
          <w:color w:val="auto"/>
        </w:rPr>
      </w:pPr>
    </w:p>
    <w:p>
      <w:pPr>
        <w:ind w:left="160" w:right="100"/>
        <w:spacing w:after="0" w:line="281" w:lineRule="auto"/>
        <w:rPr>
          <w:sz w:val="20"/>
          <w:szCs w:val="20"/>
          <w:color w:val="auto"/>
        </w:rPr>
      </w:pPr>
      <w:r>
        <w:rPr>
          <w:rFonts w:ascii="Arial" w:cs="Arial" w:eastAsia="Arial" w:hAnsi="Arial"/>
          <w:sz w:val="14"/>
          <w:szCs w:val="14"/>
          <w:color w:val="auto"/>
        </w:rPr>
        <w:t>Properly executed proxies will be voted “FOR” each of these 11 nominees unless other voting instructions are provided. If any nominee should become unavailable to serve, the proxies may be voted for a substitute nominee designated by the board. In no event may the proxies be voted for more than 11 nominees.</w:t>
      </w:r>
    </w:p>
    <w:p>
      <w:pPr>
        <w:spacing w:after="0" w:line="51" w:lineRule="exact"/>
        <w:rPr>
          <w:sz w:val="20"/>
          <w:szCs w:val="20"/>
          <w:color w:val="auto"/>
        </w:rPr>
      </w:pPr>
    </w:p>
    <w:p>
      <w:pPr>
        <w:ind w:left="160" w:right="180"/>
        <w:spacing w:after="0" w:line="260" w:lineRule="auto"/>
        <w:rPr>
          <w:sz w:val="20"/>
          <w:szCs w:val="20"/>
          <w:color w:val="auto"/>
        </w:rPr>
      </w:pPr>
      <w:r>
        <w:rPr>
          <w:rFonts w:ascii="Arial" w:cs="Arial" w:eastAsia="Arial" w:hAnsi="Arial"/>
          <w:sz w:val="14"/>
          <w:szCs w:val="14"/>
          <w:color w:val="auto"/>
        </w:rPr>
        <w:t>The board has determined that, with the exception of Mr. Sagara who is a former executive officer of the company, each non-employee director nominee is an independent director under NYSE independence standards. Information about director independence is described under “Corporate Governance—Board of Directors—Director Independence.”</w:t>
      </w:r>
    </w:p>
    <w:p>
      <w:pPr>
        <w:spacing w:after="0" w:line="65" w:lineRule="exact"/>
        <w:rPr>
          <w:sz w:val="20"/>
          <w:szCs w:val="20"/>
          <w:color w:val="auto"/>
        </w:rPr>
      </w:pPr>
    </w:p>
    <w:p>
      <w:pPr>
        <w:ind w:left="160" w:right="220"/>
        <w:spacing w:after="0" w:line="247" w:lineRule="auto"/>
        <w:rPr>
          <w:sz w:val="20"/>
          <w:szCs w:val="20"/>
          <w:color w:val="auto"/>
        </w:rPr>
      </w:pPr>
      <w:r>
        <w:rPr>
          <w:rFonts w:ascii="Arial" w:cs="Arial" w:eastAsia="Arial" w:hAnsi="Arial"/>
          <w:sz w:val="14"/>
          <w:szCs w:val="14"/>
          <w:color w:val="auto"/>
        </w:rPr>
        <w:t>Sempra has a strong track record of thoughtfully refreshing its board to include directors with the skills and experience needed to oversee our evolving business. Through this disciplined approach, the board has maintained an effective mix of expertise and perspectives that support risk oversight and our long-term corporate strategy. Among the director nominees included in this proxy statement, 82% are independent directors under NYSE independence standards; 36% have served fewer than five years, contributing to an average tenure of 6.9 years; and 64% are women or people of color. As noted above, Sempra’s board is committed to maintaining a composition that brings together a broad set of experiences, qualifications, attributes and viewpoints to collectively enhance board deliberations, which is reflected in the board’s overall refreshment strategy.</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following provides a summary of the composition of the slate of director nominees standing for election at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116205</wp:posOffset>
            </wp:positionV>
            <wp:extent cx="6929755" cy="17240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26               </w:t>
      </w:r>
      <w:r>
        <w:rPr>
          <w:sz w:val="1"/>
          <w:szCs w:val="1"/>
          <w:color w:val="auto"/>
        </w:rPr>
        <w:drawing>
          <wp:inline distT="0" distB="0" distL="0" distR="0">
            <wp:extent cx="739140" cy="15303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100"/>
          </w:cols>
          <w:pgMar w:left="320" w:top="478"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780"/>
        <w:spacing w:after="0"/>
        <w:rPr>
          <w:sz w:val="20"/>
          <w:szCs w:val="20"/>
          <w:color w:val="auto"/>
        </w:rPr>
      </w:pPr>
      <w:r>
        <w:rPr>
          <w:rFonts w:ascii="Arial" w:cs="Arial" w:eastAsia="Arial" w:hAnsi="Arial"/>
          <w:sz w:val="10"/>
          <w:szCs w:val="10"/>
          <w:b w:val="1"/>
          <w:bCs w:val="1"/>
          <w:color w:val="7F7F7F"/>
        </w:rPr>
        <w:t>Proposals to be Voted On</w:t>
      </w:r>
    </w:p>
    <w:p>
      <w:pPr>
        <w:spacing w:after="0" w:line="156" w:lineRule="exact"/>
        <w:rPr>
          <w:sz w:val="20"/>
          <w:szCs w:val="20"/>
          <w:color w:val="auto"/>
        </w:rPr>
      </w:pPr>
    </w:p>
    <w:p>
      <w:pPr>
        <w:ind w:left="160" w:right="520"/>
        <w:spacing w:after="0" w:line="260" w:lineRule="auto"/>
        <w:rPr>
          <w:sz w:val="20"/>
          <w:szCs w:val="20"/>
          <w:color w:val="auto"/>
        </w:rPr>
      </w:pPr>
      <w:r>
        <w:rPr>
          <w:rFonts w:ascii="Arial" w:cs="Arial" w:eastAsia="Arial" w:hAnsi="Arial"/>
          <w:sz w:val="14"/>
          <w:szCs w:val="14"/>
          <w:color w:val="auto"/>
        </w:rPr>
        <w:t>Our board possesses robust breadth and depth of experience and qualifications to oversee the company’s business and long-term strategy. Below we set forth the aggregated skills and experience of the director nominees named in this proxy statement in areas of particular importance to our businesses. The board evaluates its effectiveness based on its functionality as a whole and views the skills and experience of the board on a collective basis as an important indicator of board success.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153670</wp:posOffset>
            </wp:positionV>
            <wp:extent cx="6929755" cy="3822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359"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Accounting and Finance</w:t>
      </w:r>
    </w:p>
    <w:p>
      <w:pPr>
        <w:spacing w:after="0" w:line="4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Experience in accounting and financial matters, including the oversight of financial statements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-36195</wp:posOffset>
            </wp:positionV>
            <wp:extent cx="220980" cy="2209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20980" cy="22098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-95885</wp:posOffset>
            </wp:positionV>
            <wp:extent cx="1367155" cy="339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67155" cy="339725"/>
                    </a:xfrm>
                    <a:prstGeom prst="rect">
                      <a:avLst/>
                    </a:prstGeom>
                    <a:noFill/>
                  </pic:spPr>
                </pic:pic>
              </a:graphicData>
            </a:graphic>
          </wp:anchor>
        </w:drawing>
      </w:r>
    </w:p>
    <w:p>
      <w:pPr>
        <w:spacing w:after="0" w:line="20" w:lineRule="exact"/>
        <w:rPr>
          <w:sz w:val="20"/>
          <w:szCs w:val="20"/>
          <w:color w:val="auto"/>
        </w:rPr>
      </w:pPr>
    </w:p>
    <w:p>
      <w:pPr>
        <w:ind w:left="740" w:right="3040"/>
        <w:spacing w:after="0" w:line="281" w:lineRule="auto"/>
        <w:rPr>
          <w:sz w:val="20"/>
          <w:szCs w:val="20"/>
          <w:color w:val="auto"/>
        </w:rPr>
      </w:pPr>
      <w:r>
        <w:rPr>
          <w:rFonts w:ascii="Arial" w:cs="Arial" w:eastAsia="Arial" w:hAnsi="Arial"/>
          <w:sz w:val="14"/>
          <w:szCs w:val="14"/>
          <w:color w:val="auto"/>
        </w:rPr>
        <w:t>Experience on or supporting a public company board, maintaining board and management accountability, protecting shareholder interests and observing appropriate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3822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-95885</wp:posOffset>
            </wp:positionV>
            <wp:extent cx="212090" cy="2292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000000"/>
                        </a:clrFrom>
                        <a:clrTo>
                          <a:srgbClr val="000000">
                            <a:alpha val="0"/>
                          </a:srgbClr>
                        </a:clrTo>
                      </a:clrChange>
                      <a:extLst>
                        <a:ext uri="{28A0092B-C50C-407E-A947-70E740481C1C}"/>
                      </a:extLst>
                    </a:blip>
                    <a:srcRect/>
                    <a:stretch>
                      <a:fillRect/>
                    </a:stretch>
                  </pic:blipFill>
                  <pic:spPr bwMode="auto">
                    <a:xfrm>
                      <a:off x="0" y="0"/>
                      <a:ext cx="212090" cy="22923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-95885</wp:posOffset>
            </wp:positionV>
            <wp:extent cx="212090" cy="2292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212090" cy="229235"/>
                    </a:xfrm>
                    <a:prstGeom prst="rect">
                      <a:avLst/>
                    </a:prstGeom>
                    <a:noFill/>
                  </pic:spPr>
                </pic:pic>
              </a:graphicData>
            </a:graphic>
          </wp:anchor>
        </w:drawing>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Experience with technology and data security systems through industry or academia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3822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87"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Electric and/or Gas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-95885</wp:posOffset>
            </wp:positionV>
            <wp:extent cx="229235" cy="2292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000000"/>
                        </a:clrFrom>
                        <a:clrTo>
                          <a:srgbClr val="000000">
                            <a:alpha val="0"/>
                          </a:srgbClr>
                        </a:clrTo>
                      </a:clrChange>
                      <a:extLst>
                        <a:ext uri="{28A0092B-C50C-407E-A947-70E740481C1C}"/>
                      </a:extLst>
                    </a:blip>
                    <a:srcRect/>
                    <a:stretch>
                      <a:fillRect/>
                    </a:stretch>
                  </pic:blipFill>
                  <pic:spPr bwMode="auto">
                    <a:xfrm>
                      <a:off x="0" y="0"/>
                      <a:ext cx="229235" cy="2292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-95885</wp:posOffset>
            </wp:positionV>
            <wp:extent cx="229235" cy="2292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229235" cy="229235"/>
                    </a:xfrm>
                    <a:prstGeom prst="rect">
                      <a:avLst/>
                    </a:prstGeom>
                    <a:noFill/>
                  </pic:spPr>
                </pic:pic>
              </a:graphicData>
            </a:graphic>
          </wp:anchor>
        </w:drawing>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Electric and/or gas utility experience outside of 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3822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87"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Energy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-86995</wp:posOffset>
            </wp:positionV>
            <wp:extent cx="118745" cy="220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000000"/>
                        </a:clrFrom>
                        <a:clrTo>
                          <a:srgbClr val="000000">
                            <a:alpha val="0"/>
                          </a:srgbClr>
                        </a:clrTo>
                      </a:clrChange>
                      <a:extLst>
                        <a:ext uri="{28A0092B-C50C-407E-A947-70E740481C1C}"/>
                      </a:extLst>
                    </a:blip>
                    <a:srcRect/>
                    <a:stretch>
                      <a:fillRect/>
                    </a:stretch>
                  </pic:blipFill>
                  <pic:spPr bwMode="auto">
                    <a:xfrm>
                      <a:off x="0" y="0"/>
                      <a:ext cx="118745" cy="22098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-86995</wp:posOffset>
            </wp:positionV>
            <wp:extent cx="118745" cy="2209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118745" cy="220980"/>
                    </a:xfrm>
                    <a:prstGeom prst="rect">
                      <a:avLst/>
                    </a:prstGeom>
                    <a:noFill/>
                  </pic:spPr>
                </pic:pic>
              </a:graphicData>
            </a:graphic>
          </wp:anchor>
        </w:drawing>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Experience in the energy industry outside of 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Government, Regulatory and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-36195</wp:posOffset>
            </wp:positionV>
            <wp:extent cx="220980" cy="2209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20980" cy="22098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-95885</wp:posOffset>
            </wp:positionV>
            <wp:extent cx="1367155" cy="339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67155" cy="339725"/>
                    </a:xfrm>
                    <a:prstGeom prst="rect">
                      <a:avLst/>
                    </a:prstGeom>
                    <a:noFill/>
                  </pic:spPr>
                </pic:pic>
              </a:graphicData>
            </a:graphic>
          </wp:anchor>
        </w:drawing>
      </w:r>
    </w:p>
    <w:p>
      <w:pPr>
        <w:spacing w:after="0" w:line="20" w:lineRule="exact"/>
        <w:rPr>
          <w:sz w:val="20"/>
          <w:szCs w:val="20"/>
          <w:color w:val="auto"/>
        </w:rPr>
      </w:pPr>
    </w:p>
    <w:p>
      <w:pPr>
        <w:ind w:left="740" w:right="3280"/>
        <w:spacing w:after="0" w:line="281" w:lineRule="auto"/>
        <w:rPr>
          <w:sz w:val="20"/>
          <w:szCs w:val="20"/>
          <w:color w:val="auto"/>
        </w:rPr>
      </w:pPr>
      <w:r>
        <w:rPr>
          <w:rFonts w:ascii="Arial" w:cs="Arial" w:eastAsia="Arial" w:hAnsi="Arial"/>
          <w:sz w:val="14"/>
          <w:szCs w:val="14"/>
          <w:color w:val="auto"/>
        </w:rPr>
        <w:t>Experience in managing governmental and regulatory affairs, advancing public policy and community and public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3822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Health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-86995</wp:posOffset>
            </wp:positionV>
            <wp:extent cx="220980" cy="2120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000000"/>
                        </a:clrFrom>
                        <a:clrTo>
                          <a:srgbClr val="000000">
                            <a:alpha val="0"/>
                          </a:srgbClr>
                        </a:clrTo>
                      </a:clrChange>
                      <a:extLst>
                        <a:ext uri="{28A0092B-C50C-407E-A947-70E740481C1C}"/>
                      </a:extLst>
                    </a:blip>
                    <a:srcRect/>
                    <a:stretch>
                      <a:fillRect/>
                    </a:stretch>
                  </pic:blipFill>
                  <pic:spPr bwMode="auto">
                    <a:xfrm>
                      <a:off x="0" y="0"/>
                      <a:ext cx="220980" cy="21209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-86995</wp:posOffset>
            </wp:positionV>
            <wp:extent cx="220980" cy="2120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Experience in oversight of health and safety systems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-36195</wp:posOffset>
            </wp:positionV>
            <wp:extent cx="220980" cy="2038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20980" cy="20383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-95885</wp:posOffset>
            </wp:positionV>
            <wp:extent cx="1367155" cy="3397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67155" cy="339725"/>
                    </a:xfrm>
                    <a:prstGeom prst="rect">
                      <a:avLst/>
                    </a:prstGeom>
                    <a:noFill/>
                  </pic:spPr>
                </pic:pic>
              </a:graphicData>
            </a:graphic>
          </wp:anchor>
        </w:drawing>
      </w:r>
    </w:p>
    <w:p>
      <w:pPr>
        <w:spacing w:after="0" w:line="20" w:lineRule="exact"/>
        <w:rPr>
          <w:sz w:val="20"/>
          <w:szCs w:val="20"/>
          <w:color w:val="auto"/>
        </w:rPr>
      </w:pPr>
    </w:p>
    <w:p>
      <w:pPr>
        <w:ind w:left="740" w:right="3380"/>
        <w:spacing w:after="0" w:line="281" w:lineRule="auto"/>
        <w:rPr>
          <w:sz w:val="20"/>
          <w:szCs w:val="20"/>
          <w:color w:val="auto"/>
        </w:rPr>
      </w:pPr>
      <w:r>
        <w:rPr>
          <w:rFonts w:ascii="Arial" w:cs="Arial" w:eastAsia="Arial" w:hAnsi="Arial"/>
          <w:sz w:val="14"/>
          <w:szCs w:val="14"/>
          <w:color w:val="auto"/>
        </w:rPr>
        <w:t>Senior experience with human capital management, executive compensation, succession planning and human resource management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Infrastructure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-61595</wp:posOffset>
            </wp:positionV>
            <wp:extent cx="246380" cy="2546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6380" cy="25463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-95885</wp:posOffset>
            </wp:positionV>
            <wp:extent cx="1367155" cy="339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67155" cy="339725"/>
                    </a:xfrm>
                    <a:prstGeom prst="rect">
                      <a:avLst/>
                    </a:prstGeom>
                    <a:noFill/>
                  </pic:spPr>
                </pic:pic>
              </a:graphicData>
            </a:graphic>
          </wp:anchor>
        </w:drawing>
      </w:r>
    </w:p>
    <w:p>
      <w:pPr>
        <w:spacing w:after="0" w:line="20" w:lineRule="exact"/>
        <w:rPr>
          <w:sz w:val="20"/>
          <w:szCs w:val="20"/>
          <w:color w:val="auto"/>
        </w:rPr>
      </w:pPr>
    </w:p>
    <w:p>
      <w:pPr>
        <w:ind w:left="740" w:right="3220"/>
        <w:spacing w:after="0" w:line="281" w:lineRule="auto"/>
        <w:rPr>
          <w:sz w:val="20"/>
          <w:szCs w:val="20"/>
          <w:color w:val="auto"/>
        </w:rPr>
      </w:pPr>
      <w:r>
        <w:rPr>
          <w:rFonts w:ascii="Arial" w:cs="Arial" w:eastAsia="Arial" w:hAnsi="Arial"/>
          <w:sz w:val="14"/>
          <w:szCs w:val="14"/>
          <w:color w:val="auto"/>
        </w:rPr>
        <w:t>Experience in the development and management or oversight of capital projects involving physical systems (e.g., transportation, water and electric systems), real estate acquisitions and construction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7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Investment Strategy /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-36195</wp:posOffset>
            </wp:positionV>
            <wp:extent cx="220980" cy="2209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20980" cy="22098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-95885</wp:posOffset>
            </wp:positionV>
            <wp:extent cx="1367155" cy="339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67155" cy="339725"/>
                    </a:xfrm>
                    <a:prstGeom prst="rect">
                      <a:avLst/>
                    </a:prstGeom>
                    <a:noFill/>
                  </pic:spPr>
                </pic:pic>
              </a:graphicData>
            </a:graphic>
          </wp:anchor>
        </w:drawing>
      </w:r>
    </w:p>
    <w:p>
      <w:pPr>
        <w:spacing w:after="0" w:line="20" w:lineRule="exact"/>
        <w:rPr>
          <w:sz w:val="20"/>
          <w:szCs w:val="20"/>
          <w:color w:val="auto"/>
        </w:rPr>
      </w:pPr>
    </w:p>
    <w:p>
      <w:pPr>
        <w:ind w:left="740" w:right="3260"/>
        <w:spacing w:after="0" w:line="281" w:lineRule="auto"/>
        <w:rPr>
          <w:sz w:val="20"/>
          <w:szCs w:val="20"/>
          <w:color w:val="auto"/>
        </w:rPr>
      </w:pPr>
      <w:r>
        <w:rPr>
          <w:rFonts w:ascii="Arial" w:cs="Arial" w:eastAsia="Arial" w:hAnsi="Arial"/>
          <w:sz w:val="14"/>
          <w:szCs w:val="14"/>
          <w:color w:val="auto"/>
        </w:rPr>
        <w:t>Experience managing capital allocation and cash flow strategy and executing that strategy through, among other things, issuances of securities, other debt and project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3822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-86995</wp:posOffset>
            </wp:positionV>
            <wp:extent cx="220980" cy="2120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000000"/>
                        </a:clrFrom>
                        <a:clrTo>
                          <a:srgbClr val="000000">
                            <a:alpha val="0"/>
                          </a:srgbClr>
                        </a:clrTo>
                      </a:clrChange>
                      <a:extLst>
                        <a:ext uri="{28A0092B-C50C-407E-A947-70E740481C1C}"/>
                      </a:extLst>
                    </a:blip>
                    <a:srcRect/>
                    <a:stretch>
                      <a:fillRect/>
                    </a:stretch>
                  </pic:blipFill>
                  <pic:spPr bwMode="auto">
                    <a:xfrm>
                      <a:off x="0" y="0"/>
                      <a:ext cx="220980" cy="21209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-86995</wp:posOffset>
            </wp:positionV>
            <wp:extent cx="220980" cy="2120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220980" cy="212090"/>
                    </a:xfrm>
                    <a:prstGeom prst="rect">
                      <a:avLst/>
                    </a:prstGeom>
                    <a:noFill/>
                  </pic:spPr>
                </pic:pic>
              </a:graphicData>
            </a:graphic>
          </wp:anchor>
        </w:drawing>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Experience in oversight of risk management, or in a senior compliance or regulatory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3822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87"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-95885</wp:posOffset>
            </wp:positionV>
            <wp:extent cx="237490" cy="2374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000000"/>
                        </a:clrFrom>
                        <a:clrTo>
                          <a:srgbClr val="000000">
                            <a:alpha val="0"/>
                          </a:srgbClr>
                        </a:clrTo>
                      </a:clrChange>
                      <a:extLst>
                        <a:ext uri="{28A0092B-C50C-407E-A947-70E740481C1C}"/>
                      </a:extLst>
                    </a:blip>
                    <a:srcRect/>
                    <a:stretch>
                      <a:fillRect/>
                    </a:stretch>
                  </pic:blipFill>
                  <pic:spPr bwMode="auto">
                    <a:xfrm>
                      <a:off x="0" y="0"/>
                      <a:ext cx="237490" cy="23749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-95885</wp:posOffset>
            </wp:positionV>
            <wp:extent cx="237490" cy="2374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237490" cy="237490"/>
                    </a:xfrm>
                    <a:prstGeom prst="rect">
                      <a:avLst/>
                    </a:prstGeom>
                    <a:noFill/>
                  </pic:spPr>
                </pic:pic>
              </a:graphicData>
            </a:graphic>
          </wp:anchor>
        </w:drawing>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Experience in developing corporate strategies and long-term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3822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29755" cy="382270"/>
                    </a:xfrm>
                    <a:prstGeom prst="rect">
                      <a:avLst/>
                    </a:prstGeom>
                    <a:noFill/>
                  </pic:spPr>
                </pic:pic>
              </a:graphicData>
            </a:graphic>
          </wp:anchor>
        </w:drawing>
      </w:r>
    </w:p>
    <w:p>
      <w:pPr>
        <w:spacing w:after="0" w:line="287"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-95885</wp:posOffset>
            </wp:positionV>
            <wp:extent cx="237490" cy="2374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000000"/>
                        </a:clrFrom>
                        <a:clrTo>
                          <a:srgbClr val="000000">
                            <a:alpha val="0"/>
                          </a:srgbClr>
                        </a:clrTo>
                      </a:clrChange>
                      <a:extLst>
                        <a:ext uri="{28A0092B-C50C-407E-A947-70E740481C1C}"/>
                      </a:extLst>
                    </a:blip>
                    <a:srcRect/>
                    <a:stretch>
                      <a:fillRect/>
                    </a:stretch>
                  </pic:blipFill>
                  <pic:spPr bwMode="auto">
                    <a:xfrm>
                      <a:off x="0" y="0"/>
                      <a:ext cx="237490" cy="23749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-95885</wp:posOffset>
            </wp:positionV>
            <wp:extent cx="237490" cy="2374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237490" cy="237490"/>
                    </a:xfrm>
                    <a:prstGeom prst="rect">
                      <a:avLst/>
                    </a:prstGeom>
                    <a:noFill/>
                  </pic:spPr>
                </pic:pic>
              </a:graphicData>
            </a:graphic>
          </wp:anchor>
        </w:drawing>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Experience in operating responsible and sustainable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7"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005CB9"/>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-44450</wp:posOffset>
            </wp:positionV>
            <wp:extent cx="237490" cy="2374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37490" cy="2374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-95885</wp:posOffset>
            </wp:positionV>
            <wp:extent cx="1367155" cy="339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67155" cy="339725"/>
                    </a:xfrm>
                    <a:prstGeom prst="rect">
                      <a:avLst/>
                    </a:prstGeom>
                    <a:noFill/>
                  </pic:spPr>
                </pic:pic>
              </a:graphicData>
            </a:graphic>
          </wp:anchor>
        </w:drawing>
      </w:r>
    </w:p>
    <w:p>
      <w:pPr>
        <w:spacing w:after="0" w:line="20" w:lineRule="exact"/>
        <w:rPr>
          <w:sz w:val="20"/>
          <w:szCs w:val="20"/>
          <w:color w:val="auto"/>
        </w:rPr>
      </w:pPr>
    </w:p>
    <w:p>
      <w:pPr>
        <w:ind w:left="740" w:right="3060"/>
        <w:spacing w:after="0" w:line="281" w:lineRule="auto"/>
        <w:rPr>
          <w:sz w:val="20"/>
          <w:szCs w:val="20"/>
          <w:color w:val="auto"/>
        </w:rPr>
      </w:pPr>
      <w:r>
        <w:rPr>
          <w:rFonts w:ascii="Arial" w:cs="Arial" w:eastAsia="Arial" w:hAnsi="Arial"/>
          <w:sz w:val="14"/>
          <w:szCs w:val="14"/>
          <w:color w:val="auto"/>
        </w:rPr>
        <w:t>Leadership and oversight experience in technological trends related to clean energy, including emerging technology and/or innovative technology to advance the energy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131445</wp:posOffset>
            </wp:positionV>
            <wp:extent cx="69297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259080</wp:posOffset>
            </wp:positionV>
            <wp:extent cx="739140" cy="144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27</w:t>
      </w:r>
    </w:p>
    <w:p>
      <w:pPr>
        <w:sectPr>
          <w:pgSz w:w="11900" w:h="16838" w:orient="portrait"/>
          <w:cols w:equalWidth="0" w:num="1">
            <w:col w:w="11080"/>
          </w:cols>
          <w:pgMar w:left="320" w:top="478"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Proposals to be Voted On</w:t>
      </w:r>
    </w:p>
    <w:p>
      <w:pPr>
        <w:spacing w:after="0" w:line="145" w:lineRule="exact"/>
        <w:rPr>
          <w:sz w:val="20"/>
          <w:szCs w:val="20"/>
          <w:color w:val="auto"/>
        </w:rPr>
      </w:pPr>
    </w:p>
    <w:p>
      <w:pPr>
        <w:ind w:left="160" w:right="380"/>
        <w:spacing w:after="0" w:line="281" w:lineRule="auto"/>
        <w:rPr>
          <w:sz w:val="20"/>
          <w:szCs w:val="20"/>
          <w:color w:val="auto"/>
        </w:rPr>
      </w:pPr>
      <w:r>
        <w:rPr>
          <w:rFonts w:ascii="Arial" w:cs="Arial" w:eastAsia="Arial" w:hAnsi="Arial"/>
          <w:sz w:val="14"/>
          <w:szCs w:val="14"/>
          <w:color w:val="auto"/>
        </w:rPr>
        <w:t>Biographical information regarding each director nominee named in this proxy statement and his or her qualifications to serve as a director are set forth below. The age shown for each director is as of the mailing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29755" cy="14522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29755" cy="1452245"/>
                    </a:xfrm>
                    <a:prstGeom prst="rect">
                      <a:avLst/>
                    </a:prstGeom>
                    <a:noFill/>
                  </pic:spPr>
                </pic:pic>
              </a:graphicData>
            </a:graphic>
          </wp:anchor>
        </w:drawing>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Andrés Conesa, Ph.D. | INDEPENDENT DIRECTOR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Chief Executive Officer, Grupo Aeroméxico, S.A.B. de C.V.</w:t>
      </w:r>
    </w:p>
    <w:p>
      <w:pPr>
        <w:spacing w:after="0" w:line="319" w:lineRule="exact"/>
        <w:rPr>
          <w:sz w:val="20"/>
          <w:szCs w:val="20"/>
          <w:color w:val="auto"/>
        </w:rPr>
      </w:pPr>
    </w:p>
    <w:p>
      <w:pPr>
        <w:ind w:left="340"/>
        <w:spacing w:after="0"/>
        <w:tabs>
          <w:tab w:leader="none" w:pos="2760" w:val="left"/>
        </w:tabs>
        <w:rPr>
          <w:sz w:val="20"/>
          <w:szCs w:val="20"/>
          <w:color w:val="auto"/>
        </w:rPr>
      </w:pPr>
      <w:r>
        <w:rPr>
          <w:rFonts w:ascii="Arial" w:cs="Arial" w:eastAsia="Arial" w:hAnsi="Arial"/>
          <w:sz w:val="16"/>
          <w:szCs w:val="16"/>
          <w:color w:val="auto"/>
        </w:rPr>
        <w:t>Age: 56</w:t>
      </w:r>
      <w:r>
        <w:rPr>
          <w:sz w:val="20"/>
          <w:szCs w:val="20"/>
          <w:color w:val="auto"/>
        </w:rPr>
        <w:tab/>
      </w:r>
      <w:r>
        <w:rPr>
          <w:rFonts w:ascii="Arial" w:cs="Arial" w:eastAsia="Arial" w:hAnsi="Arial"/>
          <w:sz w:val="16"/>
          <w:szCs w:val="16"/>
          <w:b w:val="1"/>
          <w:bCs w:val="1"/>
          <w:color w:val="auto"/>
        </w:rPr>
        <w:t>Board committees:</w:t>
      </w:r>
    </w:p>
    <w:p>
      <w:pPr>
        <w:spacing w:after="0" w:line="43" w:lineRule="exact"/>
        <w:rPr>
          <w:sz w:val="20"/>
          <w:szCs w:val="20"/>
          <w:color w:val="auto"/>
        </w:rPr>
      </w:pPr>
    </w:p>
    <w:p>
      <w:pPr>
        <w:ind w:left="340"/>
        <w:spacing w:after="0"/>
        <w:tabs>
          <w:tab w:leader="none" w:pos="2760" w:val="left"/>
        </w:tabs>
        <w:rPr>
          <w:sz w:val="20"/>
          <w:szCs w:val="20"/>
          <w:color w:val="auto"/>
        </w:rPr>
      </w:pPr>
      <w:r>
        <w:rPr>
          <w:rFonts w:ascii="Arial" w:cs="Arial" w:eastAsia="Arial" w:hAnsi="Arial"/>
          <w:sz w:val="16"/>
          <w:szCs w:val="16"/>
          <w:color w:val="auto"/>
        </w:rPr>
        <w:t xml:space="preserve">Director since: 2017                </w:t>
        <w:tab/>
        <w:t xml:space="preserve">Compensation and Talent Development (Chair) | Audit | Executive                               </w:t>
      </w:r>
    </w:p>
    <w:p>
      <w:pPr>
        <w:spacing w:after="0" w:line="124"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Other public boards:</w:t>
      </w:r>
    </w:p>
    <w:p>
      <w:pPr>
        <w:spacing w:after="0" w:line="43"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Grupo Aeroméxico, S.A.B.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172085</wp:posOffset>
            </wp:positionV>
            <wp:extent cx="6929755" cy="14605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29755" cy="1460500"/>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p>
      <w:pPr>
        <w:spacing w:after="0" w:line="38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3" w:lineRule="auto"/>
        <w:rPr>
          <w:sz w:val="20"/>
          <w:szCs w:val="20"/>
          <w:color w:val="auto"/>
        </w:rPr>
      </w:pPr>
      <w:r>
        <w:rPr>
          <w:rFonts w:ascii="Arial" w:cs="Arial" w:eastAsia="Arial" w:hAnsi="Arial"/>
          <w:sz w:val="14"/>
          <w:szCs w:val="14"/>
          <w:color w:val="auto"/>
        </w:rPr>
        <w:t>Dr. Conesa has extensive knowledge of international business activities and has been a leader in promoting sustainable business practices in the air transportation industry. His deep experience with Mexican political, regulatory and financial stakeholders as well as with leading organizations through significant political, technology and market change, make him a valuable member of our board.</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color w:val="auto"/>
        </w:rPr>
        <w:t>Dr. Conesa has been the Chief Executive Officer and a director of Grupo Aeroméxico, S.A.B. de C.V., an air transportation services company, since 2005.</w:t>
      </w:r>
    </w:p>
    <w:p>
      <w:pPr>
        <w:spacing w:after="0" w:line="64"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Previously, Dr. Conesa held several positions in the Mexico Federal Government: from 2003 to 2005, he was Chairman of the Board of Directors of CINTRA (the holding company of Aeroméxico and Mexicana), and from 1991 to 2004, he served in various capacities at the Mexican Ministry of Finance, most recently as Deputy Undersecretary of Public Credit. He was a member of the Board of Governors of the International Air Transport Association from 2008 until 2018 and served as its Chairman during the 2015 term.</w:t>
      </w:r>
    </w:p>
    <w:p>
      <w:pPr>
        <w:spacing w:after="0" w:line="88"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Dr. Conesa serves as the Chairman of SkyTeam, a global alliance of airlines. He is a former director of Infraestructura Energética Nova, S.A.P.I. de C.V. (IEnova), Genomma Lab International and the Mexican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335280</wp:posOffset>
            </wp:positionV>
            <wp:extent cx="6946900" cy="1452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46900" cy="145224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2740" w:space="140"/>
            <w:col w:w="8180"/>
          </w:cols>
          <w:pgMar w:left="320" w:top="478" w:right="51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Pablo A. Ferrero | INDEPENDENT DIRECTOR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Independent Energy Consultant</w:t>
      </w:r>
    </w:p>
    <w:p>
      <w:pPr>
        <w:spacing w:after="0" w:line="346" w:lineRule="exact"/>
        <w:rPr>
          <w:sz w:val="20"/>
          <w:szCs w:val="20"/>
          <w:color w:val="auto"/>
        </w:rPr>
      </w:pPr>
    </w:p>
    <w:p>
      <w:pPr>
        <w:ind w:left="340"/>
        <w:spacing w:after="0"/>
        <w:tabs>
          <w:tab w:leader="none" w:pos="2800" w:val="left"/>
        </w:tabs>
        <w:rPr>
          <w:sz w:val="20"/>
          <w:szCs w:val="20"/>
          <w:color w:val="auto"/>
        </w:rPr>
      </w:pPr>
      <w:r>
        <w:rPr>
          <w:rFonts w:ascii="Arial" w:cs="Arial" w:eastAsia="Arial" w:hAnsi="Arial"/>
          <w:sz w:val="16"/>
          <w:szCs w:val="16"/>
          <w:color w:val="auto"/>
        </w:rPr>
        <w:t>Age: 63</w:t>
      </w:r>
      <w:r>
        <w:rPr>
          <w:sz w:val="20"/>
          <w:szCs w:val="20"/>
          <w:color w:val="auto"/>
        </w:rPr>
        <w:tab/>
      </w:r>
      <w:r>
        <w:rPr>
          <w:rFonts w:ascii="Arial" w:cs="Arial" w:eastAsia="Arial" w:hAnsi="Arial"/>
          <w:sz w:val="15"/>
          <w:szCs w:val="15"/>
          <w:b w:val="1"/>
          <w:bCs w:val="1"/>
          <w:color w:val="auto"/>
        </w:rPr>
        <w:t>Board committees:</w:t>
      </w:r>
    </w:p>
    <w:p>
      <w:pPr>
        <w:spacing w:after="0" w:line="43" w:lineRule="exact"/>
        <w:rPr>
          <w:sz w:val="20"/>
          <w:szCs w:val="20"/>
          <w:color w:val="auto"/>
        </w:rPr>
      </w:pPr>
    </w:p>
    <w:p>
      <w:pPr>
        <w:ind w:left="340"/>
        <w:spacing w:after="0"/>
        <w:tabs>
          <w:tab w:leader="none" w:pos="2800" w:val="left"/>
        </w:tabs>
        <w:rPr>
          <w:sz w:val="20"/>
          <w:szCs w:val="20"/>
          <w:color w:val="auto"/>
        </w:rPr>
      </w:pPr>
      <w:r>
        <w:rPr>
          <w:rFonts w:ascii="Arial" w:cs="Arial" w:eastAsia="Arial" w:hAnsi="Arial"/>
          <w:sz w:val="16"/>
          <w:szCs w:val="16"/>
          <w:color w:val="auto"/>
        </w:rPr>
        <w:t xml:space="preserve">Director since: 2013                 </w:t>
        <w:tab/>
        <w:t xml:space="preserve">Safety, Sustainability and Technology (Chair) | Corporate Governance | Executive            </w:t>
      </w:r>
    </w:p>
    <w:p>
      <w:pPr>
        <w:spacing w:after="0" w:line="124"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Other public boards:</w:t>
      </w:r>
    </w:p>
    <w:p>
      <w:pPr>
        <w:spacing w:after="0" w:line="43" w:lineRule="exact"/>
        <w:rPr>
          <w:sz w:val="20"/>
          <w:szCs w:val="20"/>
          <w:color w:val="auto"/>
        </w:rPr>
      </w:pPr>
    </w:p>
    <w:p>
      <w:pPr>
        <w:ind w:left="28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180975</wp:posOffset>
            </wp:positionV>
            <wp:extent cx="6946900" cy="18681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46900" cy="1868170"/>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type w:val="continuous"/>
        </w:sect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2" w:lineRule="auto"/>
        <w:rPr>
          <w:sz w:val="20"/>
          <w:szCs w:val="20"/>
          <w:color w:val="auto"/>
        </w:rPr>
      </w:pPr>
      <w:r>
        <w:rPr>
          <w:rFonts w:ascii="Arial" w:cs="Arial" w:eastAsia="Arial" w:hAnsi="Arial"/>
          <w:sz w:val="14"/>
          <w:szCs w:val="14"/>
          <w:color w:val="auto"/>
        </w:rPr>
        <w:t>Mr. Ferrero has extensive executive and board experience in the global energy industry. He has a deep understanding of the energy industry and in particular international energy operations, utility practice and procedure and sustainable development, including clean energy technologies, finance and energy policy. This understanding of international energy operations coupled with his long tenure in roles across the energy industry value chain, make him a valuable member of our board.</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Mr. Ferrero is an independent energy consultant and has served as executive director at MSU Energy, a private power generation company in Argentina, since 2017.</w:t>
      </w:r>
    </w:p>
    <w:p>
      <w:pPr>
        <w:spacing w:after="0" w:line="6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From 2006 to 2011, Mr. Ferrero served as Executive Vice President for the Southern Cone at AEI Energy, a power generation and distribution and gas transmission and distribution company. From 2004 to 2006, he was the Chief Executive Officer of Transportadora de Gas del Sur S.A. Prior to that, he served in several executive functions at Perez Companc. He is a former director of Metrogas, Pampa Energía, Petrobras Energía, EDESA Holding, Emgasud, Servicios Petroleros Argentina, Refinor, Oldelval, Termap, Chilquinta Energía (Chile), Luz del Sur (Peru), Petrolera Andina (Bolivia) and Promigas (Colombia). He was Chairman of the Board of Directors of TGS, Transener, Emdersa and EDEN.</w:t>
      </w:r>
    </w:p>
    <w:p>
      <w:pPr>
        <w:spacing w:after="0" w:line="8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Mr. Ferrero served as a member of the Board of Directors of the Argentine Business Council for Sustainable Development, a partner organization to the World Business Council for Sustainable Development, from 2004 to 2006. He is a director of Casaclub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803275</wp:posOffset>
            </wp:positionV>
            <wp:extent cx="69297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87" w:lineRule="exact"/>
        <w:rPr>
          <w:sz w:val="20"/>
          <w:szCs w:val="20"/>
          <w:color w:val="auto"/>
        </w:rPr>
      </w:pPr>
    </w:p>
    <w:p>
      <w:pPr>
        <w:sectPr>
          <w:pgSz w:w="11900" w:h="16838" w:orient="portrait"/>
          <w:cols w:equalWidth="0" w:num="2">
            <w:col w:w="2660" w:space="220"/>
            <w:col w:w="8180"/>
          </w:cols>
          <w:pgMar w:left="320" w:top="478"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28               </w:t>
      </w:r>
      <w:r>
        <w:rPr>
          <w:sz w:val="1"/>
          <w:szCs w:val="1"/>
          <w:color w:val="auto"/>
        </w:rPr>
        <w:drawing>
          <wp:inline distT="0" distB="0" distL="0" distR="0">
            <wp:extent cx="739140" cy="14414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60"/>
          </w:cols>
          <w:pgMar w:left="320" w:top="478" w:right="5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14439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29755" cy="1443990"/>
                    </a:xfrm>
                    <a:prstGeom prst="rect">
                      <a:avLst/>
                    </a:prstGeom>
                    <a:noFill/>
                  </pic:spPr>
                </pic:pic>
              </a:graphicData>
            </a:graphic>
          </wp:anchor>
        </w:drawing>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Jennifer M. Kirk | INDEPENDENT DIRECTOR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Chief Executive Officer and Director, Exubrion Therapeutics, Inc.</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27"/>
        </w:trPr>
        <w:tc>
          <w:tcPr>
            <w:tcW w:w="2520" w:type="dxa"/>
            <w:vAlign w:val="bottom"/>
            <w:shd w:val="clear" w:color="auto" w:fill="F2F2F2"/>
          </w:tcPr>
          <w:p>
            <w:pPr>
              <w:ind w:left="180"/>
              <w:spacing w:after="0"/>
              <w:rPr>
                <w:sz w:val="20"/>
                <w:szCs w:val="20"/>
                <w:color w:val="auto"/>
              </w:rPr>
            </w:pPr>
            <w:r>
              <w:rPr>
                <w:rFonts w:ascii="Arial" w:cs="Arial" w:eastAsia="Arial" w:hAnsi="Arial"/>
                <w:sz w:val="16"/>
                <w:szCs w:val="16"/>
                <w:color w:val="auto"/>
              </w:rPr>
              <w:t>Age: 51</w:t>
            </w:r>
          </w:p>
        </w:tc>
        <w:tc>
          <w:tcPr>
            <w:tcW w:w="6480" w:type="dxa"/>
            <w:vAlign w:val="bottom"/>
            <w:shd w:val="clear" w:color="auto" w:fill="F2F2F2"/>
          </w:tcPr>
          <w:p>
            <w:pPr>
              <w:ind w:left="380"/>
              <w:spacing w:after="0"/>
              <w:rPr>
                <w:sz w:val="20"/>
                <w:szCs w:val="20"/>
                <w:color w:val="auto"/>
              </w:rPr>
            </w:pPr>
            <w:r>
              <w:rPr>
                <w:rFonts w:ascii="Arial" w:cs="Arial" w:eastAsia="Arial" w:hAnsi="Arial"/>
                <w:sz w:val="16"/>
                <w:szCs w:val="16"/>
                <w:b w:val="1"/>
                <w:bCs w:val="1"/>
                <w:color w:val="auto"/>
              </w:rPr>
              <w:t>Board committees:</w:t>
            </w:r>
          </w:p>
        </w:tc>
      </w:tr>
      <w:tr>
        <w:trPr>
          <w:trHeight w:val="217"/>
        </w:trPr>
        <w:tc>
          <w:tcPr>
            <w:tcW w:w="2520" w:type="dxa"/>
            <w:vAlign w:val="bottom"/>
            <w:shd w:val="clear" w:color="auto" w:fill="F2F2F2"/>
          </w:tcPr>
          <w:p>
            <w:pPr>
              <w:ind w:left="180"/>
              <w:spacing w:after="0"/>
              <w:rPr>
                <w:sz w:val="20"/>
                <w:szCs w:val="20"/>
                <w:color w:val="auto"/>
              </w:rPr>
            </w:pPr>
            <w:r>
              <w:rPr>
                <w:rFonts w:ascii="Arial" w:cs="Arial" w:eastAsia="Arial" w:hAnsi="Arial"/>
                <w:sz w:val="16"/>
                <w:szCs w:val="16"/>
                <w:color w:val="auto"/>
              </w:rPr>
              <w:t xml:space="preserve">Director since: 2024          </w:t>
            </w:r>
          </w:p>
        </w:tc>
        <w:tc>
          <w:tcPr>
            <w:tcW w:w="6480" w:type="dxa"/>
            <w:vAlign w:val="bottom"/>
            <w:shd w:val="clear" w:color="auto" w:fill="F2F2F2"/>
          </w:tcPr>
          <w:p>
            <w:pPr>
              <w:ind w:left="380"/>
              <w:spacing w:after="0"/>
              <w:rPr>
                <w:sz w:val="20"/>
                <w:szCs w:val="20"/>
                <w:color w:val="auto"/>
              </w:rPr>
            </w:pPr>
            <w:r>
              <w:rPr>
                <w:rFonts w:ascii="Arial" w:cs="Arial" w:eastAsia="Arial" w:hAnsi="Arial"/>
                <w:sz w:val="16"/>
                <w:szCs w:val="16"/>
                <w:color w:val="auto"/>
              </w:rPr>
              <w:t xml:space="preserve">Audit | Safety, Sustainability and Technology                            </w:t>
            </w:r>
          </w:p>
        </w:tc>
      </w:tr>
      <w:tr>
        <w:trPr>
          <w:trHeight w:val="318"/>
        </w:trPr>
        <w:tc>
          <w:tcPr>
            <w:tcW w:w="2520" w:type="dxa"/>
            <w:vAlign w:val="bottom"/>
            <w:shd w:val="clear" w:color="auto" w:fill="F2F2F2"/>
          </w:tcPr>
          <w:p>
            <w:pPr>
              <w:spacing w:after="0"/>
              <w:rPr>
                <w:sz w:val="24"/>
                <w:szCs w:val="24"/>
                <w:color w:val="auto"/>
              </w:rPr>
            </w:pPr>
          </w:p>
        </w:tc>
        <w:tc>
          <w:tcPr>
            <w:tcW w:w="6480" w:type="dxa"/>
            <w:vAlign w:val="bottom"/>
            <w:shd w:val="clear" w:color="auto" w:fill="F2F2F2"/>
          </w:tcPr>
          <w:p>
            <w:pPr>
              <w:ind w:left="380"/>
              <w:spacing w:after="0"/>
              <w:rPr>
                <w:sz w:val="20"/>
                <w:szCs w:val="20"/>
                <w:color w:val="auto"/>
              </w:rPr>
            </w:pPr>
            <w:r>
              <w:rPr>
                <w:rFonts w:ascii="Arial" w:cs="Arial" w:eastAsia="Arial" w:hAnsi="Arial"/>
                <w:sz w:val="16"/>
                <w:szCs w:val="16"/>
                <w:b w:val="1"/>
                <w:bCs w:val="1"/>
                <w:color w:val="auto"/>
              </w:rPr>
              <w:t>Other public boards:</w:t>
            </w:r>
          </w:p>
        </w:tc>
      </w:tr>
      <w:tr>
        <w:trPr>
          <w:trHeight w:val="217"/>
        </w:trPr>
        <w:tc>
          <w:tcPr>
            <w:tcW w:w="2520" w:type="dxa"/>
            <w:vAlign w:val="bottom"/>
            <w:shd w:val="clear" w:color="auto" w:fill="F2F2F2"/>
          </w:tcPr>
          <w:p>
            <w:pPr>
              <w:spacing w:after="0"/>
              <w:rPr>
                <w:sz w:val="18"/>
                <w:szCs w:val="18"/>
                <w:color w:val="auto"/>
              </w:rPr>
            </w:pPr>
          </w:p>
        </w:tc>
        <w:tc>
          <w:tcPr>
            <w:tcW w:w="6480" w:type="dxa"/>
            <w:vAlign w:val="bottom"/>
            <w:shd w:val="clear" w:color="auto" w:fill="F2F2F2"/>
          </w:tcPr>
          <w:p>
            <w:pPr>
              <w:ind w:left="380"/>
              <w:spacing w:after="0"/>
              <w:rPr>
                <w:sz w:val="20"/>
                <w:szCs w:val="20"/>
                <w:color w:val="auto"/>
              </w:rPr>
            </w:pPr>
            <w:r>
              <w:rPr>
                <w:rFonts w:ascii="Arial" w:cs="Arial" w:eastAsia="Arial" w:hAnsi="Arial"/>
                <w:sz w:val="16"/>
                <w:szCs w:val="16"/>
                <w:color w:val="auto"/>
              </w:rPr>
              <w:t>Republic Services, Inc.</w:t>
            </w:r>
          </w:p>
        </w:tc>
      </w:tr>
      <w:tr>
        <w:trPr>
          <w:trHeight w:val="191"/>
        </w:trPr>
        <w:tc>
          <w:tcPr>
            <w:tcW w:w="2520" w:type="dxa"/>
            <w:vAlign w:val="bottom"/>
            <w:shd w:val="clear" w:color="auto" w:fill="F2F2F2"/>
          </w:tcPr>
          <w:p>
            <w:pPr>
              <w:spacing w:after="0"/>
              <w:rPr>
                <w:sz w:val="16"/>
                <w:szCs w:val="16"/>
                <w:color w:val="auto"/>
              </w:rPr>
            </w:pPr>
          </w:p>
        </w:tc>
        <w:tc>
          <w:tcPr>
            <w:tcW w:w="6480" w:type="dxa"/>
            <w:vAlign w:val="bottom"/>
            <w:shd w:val="clear" w:color="auto" w:fill="F2F2F2"/>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15119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15119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1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4" w:lineRule="auto"/>
        <w:rPr>
          <w:sz w:val="20"/>
          <w:szCs w:val="20"/>
          <w:color w:val="auto"/>
        </w:rPr>
      </w:pPr>
      <w:r>
        <w:rPr>
          <w:rFonts w:ascii="Arial" w:cs="Arial" w:eastAsia="Arial" w:hAnsi="Arial"/>
          <w:sz w:val="14"/>
          <w:szCs w:val="14"/>
          <w:color w:val="auto"/>
        </w:rPr>
        <w:t>Ms. Kirk has extensive experience with financial, capital markets and public accounting matters as well as an established track record as an executive in the energy industry. This experience, together with her executive and energy sector experience, make her a valuable member of our board.</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Ms. Kirk has been Chief Executive Officer and a director of Exubrion Therapeutics, Inc., a private veterinary therapeutics company focused on using nuclear medicine for inflammatory disease, since 2025. Prior to that, she was Senior Vice President, Global Controller and Chief Accounting Officer for Medtronic, Inc., a healthcare technology company and subsidiary of Medtronic plc, since 2021. Before joining Medtronic, she held the position of Senior Vice President, Integration and Value Capture at Occidental Petroleum Corporation, an oil and gas company with upstream, midstream and chemical manufacturing operations, where she worked for more than 20 years in various roles of increasing responsibility, including Vice President and Chief Accounting Officer and Controller and Oil and Gas Divisional CFO.</w:t>
      </w:r>
    </w:p>
    <w:p>
      <w:pPr>
        <w:spacing w:after="0" w:line="8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Ms. Kirk is a director for Healing with Horseplay and a former director for both the Boys and Girls Club—Houston Chapter and the Juvenile Diabetes Research Foundation—Minnesota Chapter.</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Ms. Kirk is a director of Republic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320040</wp:posOffset>
            </wp:positionV>
            <wp:extent cx="6929755" cy="14439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29755" cy="1443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200"/>
            <w:col w:w="8200"/>
          </w:cols>
          <w:pgMar w:left="320" w:top="478" w:right="49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Richard J. Mark | INDEPENDENT DIRECTOR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Retired, Chairman and President, Ameren Illinois Company</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27"/>
        </w:trPr>
        <w:tc>
          <w:tcPr>
            <w:tcW w:w="25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Age: 70</w:t>
            </w:r>
          </w:p>
        </w:tc>
        <w:tc>
          <w:tcPr>
            <w:tcW w:w="6460" w:type="dxa"/>
            <w:vAlign w:val="bottom"/>
            <w:shd w:val="clear" w:color="auto" w:fill="F2F2F2"/>
          </w:tcPr>
          <w:p>
            <w:pPr>
              <w:ind w:left="400"/>
              <w:spacing w:after="0"/>
              <w:rPr>
                <w:sz w:val="20"/>
                <w:szCs w:val="20"/>
                <w:color w:val="auto"/>
              </w:rPr>
            </w:pPr>
            <w:r>
              <w:rPr>
                <w:rFonts w:ascii="Arial" w:cs="Arial" w:eastAsia="Arial" w:hAnsi="Arial"/>
                <w:sz w:val="16"/>
                <w:szCs w:val="16"/>
                <w:b w:val="1"/>
                <w:bCs w:val="1"/>
                <w:color w:val="auto"/>
              </w:rPr>
              <w:t>Board committees:</w:t>
            </w:r>
          </w:p>
        </w:tc>
      </w:tr>
      <w:tr>
        <w:trPr>
          <w:trHeight w:val="217"/>
        </w:trPr>
        <w:tc>
          <w:tcPr>
            <w:tcW w:w="2540" w:type="dxa"/>
            <w:vAlign w:val="bottom"/>
            <w:shd w:val="clear" w:color="auto" w:fill="F2F2F2"/>
          </w:tcPr>
          <w:p>
            <w:pPr>
              <w:ind w:left="180"/>
              <w:spacing w:after="0"/>
              <w:rPr>
                <w:sz w:val="20"/>
                <w:szCs w:val="20"/>
                <w:color w:val="auto"/>
              </w:rPr>
            </w:pPr>
            <w:r>
              <w:rPr>
                <w:rFonts w:ascii="Arial" w:cs="Arial" w:eastAsia="Arial" w:hAnsi="Arial"/>
                <w:sz w:val="16"/>
                <w:szCs w:val="16"/>
                <w:color w:val="auto"/>
              </w:rPr>
              <w:t xml:space="preserve">Director since: 2023          </w:t>
            </w:r>
          </w:p>
        </w:tc>
        <w:tc>
          <w:tcPr>
            <w:tcW w:w="6460" w:type="dxa"/>
            <w:vAlign w:val="bottom"/>
            <w:shd w:val="clear" w:color="auto" w:fill="F2F2F2"/>
          </w:tcPr>
          <w:p>
            <w:pPr>
              <w:ind w:left="400"/>
              <w:spacing w:after="0"/>
              <w:rPr>
                <w:sz w:val="20"/>
                <w:szCs w:val="20"/>
                <w:color w:val="auto"/>
              </w:rPr>
            </w:pPr>
            <w:r>
              <w:rPr>
                <w:rFonts w:ascii="Arial" w:cs="Arial" w:eastAsia="Arial" w:hAnsi="Arial"/>
                <w:sz w:val="16"/>
                <w:szCs w:val="16"/>
                <w:color w:val="auto"/>
              </w:rPr>
              <w:t xml:space="preserve">Audit | Compensation and Talent Development                      </w:t>
            </w:r>
          </w:p>
        </w:tc>
      </w:tr>
      <w:tr>
        <w:trPr>
          <w:trHeight w:val="318"/>
        </w:trPr>
        <w:tc>
          <w:tcPr>
            <w:tcW w:w="2540" w:type="dxa"/>
            <w:vAlign w:val="bottom"/>
            <w:shd w:val="clear" w:color="auto" w:fill="F2F2F2"/>
          </w:tcPr>
          <w:p>
            <w:pPr>
              <w:spacing w:after="0"/>
              <w:rPr>
                <w:sz w:val="24"/>
                <w:szCs w:val="24"/>
                <w:color w:val="auto"/>
              </w:rPr>
            </w:pPr>
          </w:p>
        </w:tc>
        <w:tc>
          <w:tcPr>
            <w:tcW w:w="6460" w:type="dxa"/>
            <w:vAlign w:val="bottom"/>
            <w:shd w:val="clear" w:color="auto" w:fill="F2F2F2"/>
          </w:tcPr>
          <w:p>
            <w:pPr>
              <w:ind w:left="400"/>
              <w:spacing w:after="0"/>
              <w:rPr>
                <w:sz w:val="20"/>
                <w:szCs w:val="20"/>
                <w:color w:val="auto"/>
              </w:rPr>
            </w:pPr>
            <w:r>
              <w:rPr>
                <w:rFonts w:ascii="Arial" w:cs="Arial" w:eastAsia="Arial" w:hAnsi="Arial"/>
                <w:sz w:val="16"/>
                <w:szCs w:val="16"/>
                <w:b w:val="1"/>
                <w:bCs w:val="1"/>
                <w:color w:val="auto"/>
              </w:rPr>
              <w:t>Other public boards:</w:t>
            </w:r>
          </w:p>
        </w:tc>
      </w:tr>
      <w:tr>
        <w:trPr>
          <w:trHeight w:val="217"/>
        </w:trPr>
        <w:tc>
          <w:tcPr>
            <w:tcW w:w="2540" w:type="dxa"/>
            <w:vAlign w:val="bottom"/>
            <w:shd w:val="clear" w:color="auto" w:fill="F2F2F2"/>
          </w:tcPr>
          <w:p>
            <w:pPr>
              <w:spacing w:after="0"/>
              <w:rPr>
                <w:sz w:val="18"/>
                <w:szCs w:val="18"/>
                <w:color w:val="auto"/>
              </w:rPr>
            </w:pPr>
          </w:p>
        </w:tc>
        <w:tc>
          <w:tcPr>
            <w:tcW w:w="6460" w:type="dxa"/>
            <w:vAlign w:val="bottom"/>
            <w:shd w:val="clear" w:color="auto" w:fill="F2F2F2"/>
          </w:tcPr>
          <w:p>
            <w:pPr>
              <w:ind w:left="400"/>
              <w:spacing w:after="0"/>
              <w:rPr>
                <w:sz w:val="20"/>
                <w:szCs w:val="20"/>
                <w:color w:val="auto"/>
              </w:rPr>
            </w:pPr>
            <w:r>
              <w:rPr>
                <w:rFonts w:ascii="Arial" w:cs="Arial" w:eastAsia="Arial" w:hAnsi="Arial"/>
                <w:sz w:val="16"/>
                <w:szCs w:val="16"/>
                <w:color w:val="auto"/>
              </w:rPr>
              <w:t>Tenet Healthcare Corporation</w:t>
            </w:r>
          </w:p>
        </w:tc>
      </w:tr>
      <w:tr>
        <w:trPr>
          <w:trHeight w:val="191"/>
        </w:trPr>
        <w:tc>
          <w:tcPr>
            <w:tcW w:w="2540" w:type="dxa"/>
            <w:vAlign w:val="bottom"/>
            <w:shd w:val="clear" w:color="auto" w:fill="F2F2F2"/>
          </w:tcPr>
          <w:p>
            <w:pPr>
              <w:spacing w:after="0"/>
              <w:rPr>
                <w:sz w:val="16"/>
                <w:szCs w:val="16"/>
                <w:color w:val="auto"/>
              </w:rPr>
            </w:pPr>
          </w:p>
        </w:tc>
        <w:tc>
          <w:tcPr>
            <w:tcW w:w="6460" w:type="dxa"/>
            <w:vAlign w:val="bottom"/>
            <w:shd w:val="clear" w:color="auto" w:fill="F2F2F2"/>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1562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29755" cy="15627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p>
      <w:pPr>
        <w:spacing w:after="0" w:line="11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3" w:lineRule="auto"/>
        <w:rPr>
          <w:sz w:val="20"/>
          <w:szCs w:val="20"/>
          <w:color w:val="auto"/>
        </w:rPr>
      </w:pPr>
      <w:r>
        <w:rPr>
          <w:rFonts w:ascii="Arial" w:cs="Arial" w:eastAsia="Arial" w:hAnsi="Arial"/>
          <w:sz w:val="14"/>
          <w:szCs w:val="14"/>
          <w:color w:val="auto"/>
        </w:rPr>
        <w:t>Mr. Mark brings more than four decades of executive leadership experience in the healthcare and regulated electric and gas utilities sectors, including significant operational, safety, regulatory and public policy expertise. His extensive background overseeing large and complex organizations, together with his public company board experience, make him a valuable member of our board.</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color w:val="auto"/>
        </w:rPr>
        <w:t>Mr. Mark served as Chairman and President of Ameren Illinois Company, an electric and gas regulated utility and wholly owned subsidiary of Ameren Corporation, from 2012 until 2022.</w:t>
      </w:r>
    </w:p>
    <w:p>
      <w:pPr>
        <w:spacing w:after="0" w:line="64"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Mr. Mark joined Ameren in 2002 as Vice President of Customer Services and held a series of increasingly responsible management positions, including Senior Vice President, Customer Operations of Ameren Missouri where he oversaw electric and gas operations. Prior to joining Ameren, Mr. Mark was with Ancilla Systems Inc. where he served as President and Chief Executive Officer of St. Mary’s Hospital in East St. Louis, Illinois.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Mr. Mark is an NACD Board Leadership Fellow and a director of the Abraham Lincoln Presidential Library Foundation.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Mr. Mark is a director of Tenet Healthcare Corporation and a former director of Ameren Illinois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829310</wp:posOffset>
            </wp:positionV>
            <wp:extent cx="69297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956945</wp:posOffset>
            </wp:positionV>
            <wp:extent cx="739140" cy="144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2">
            <w:col w:w="2740" w:space="140"/>
            <w:col w:w="820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29</w:t>
      </w:r>
    </w:p>
    <w:p>
      <w:pPr>
        <w:sectPr>
          <w:pgSz w:w="11900" w:h="16838" w:orient="portrait"/>
          <w:cols w:equalWidth="0" w:num="1">
            <w:col w:w="11080"/>
          </w:cols>
          <w:pgMar w:left="320" w:top="478" w:right="4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14522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29755" cy="1452245"/>
                    </a:xfrm>
                    <a:prstGeom prst="rect">
                      <a:avLst/>
                    </a:prstGeom>
                    <a:noFill/>
                  </pic:spPr>
                </pic:pic>
              </a:graphicData>
            </a:graphic>
          </wp:anchor>
        </w:drawing>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Jeffrey W. Martin | CHAIRMAN OF THE BOARD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Chief Executive Officer and President, Sempra</w:t>
      </w:r>
    </w:p>
    <w:p>
      <w:pPr>
        <w:spacing w:after="0" w:line="306" w:lineRule="exact"/>
        <w:rPr>
          <w:sz w:val="20"/>
          <w:szCs w:val="20"/>
          <w:color w:val="auto"/>
        </w:rPr>
      </w:pPr>
    </w:p>
    <w:p>
      <w:pPr>
        <w:ind w:left="340"/>
        <w:spacing w:after="0"/>
        <w:tabs>
          <w:tab w:leader="none" w:pos="2900" w:val="left"/>
        </w:tabs>
        <w:rPr>
          <w:sz w:val="20"/>
          <w:szCs w:val="20"/>
          <w:color w:val="auto"/>
        </w:rPr>
      </w:pPr>
      <w:r>
        <w:rPr>
          <w:rFonts w:ascii="Arial" w:cs="Arial" w:eastAsia="Arial" w:hAnsi="Arial"/>
          <w:sz w:val="16"/>
          <w:szCs w:val="16"/>
          <w:color w:val="auto"/>
        </w:rPr>
        <w:t>Age: 64</w:t>
      </w:r>
      <w:r>
        <w:rPr>
          <w:sz w:val="20"/>
          <w:szCs w:val="20"/>
          <w:color w:val="auto"/>
        </w:rPr>
        <w:tab/>
      </w:r>
      <w:r>
        <w:rPr>
          <w:rFonts w:ascii="Arial" w:cs="Arial" w:eastAsia="Arial" w:hAnsi="Arial"/>
          <w:sz w:val="16"/>
          <w:szCs w:val="16"/>
          <w:b w:val="1"/>
          <w:bCs w:val="1"/>
          <w:color w:val="auto"/>
        </w:rPr>
        <w:t>Board committees:</w:t>
      </w:r>
    </w:p>
    <w:p>
      <w:pPr>
        <w:spacing w:after="0" w:line="43" w:lineRule="exact"/>
        <w:rPr>
          <w:sz w:val="20"/>
          <w:szCs w:val="20"/>
          <w:color w:val="auto"/>
        </w:rPr>
      </w:pPr>
    </w:p>
    <w:p>
      <w:pPr>
        <w:ind w:left="340"/>
        <w:spacing w:after="0"/>
        <w:tabs>
          <w:tab w:leader="none" w:pos="2900" w:val="left"/>
        </w:tabs>
        <w:rPr>
          <w:sz w:val="20"/>
          <w:szCs w:val="20"/>
          <w:color w:val="auto"/>
        </w:rPr>
      </w:pPr>
      <w:r>
        <w:rPr>
          <w:rFonts w:ascii="Arial" w:cs="Arial" w:eastAsia="Arial" w:hAnsi="Arial"/>
          <w:sz w:val="16"/>
          <w:szCs w:val="16"/>
          <w:color w:val="auto"/>
        </w:rPr>
        <w:t xml:space="preserve">Director since: 2018          </w:t>
      </w:r>
      <w:r>
        <w:rPr>
          <w:sz w:val="20"/>
          <w:szCs w:val="20"/>
          <w:color w:val="auto"/>
        </w:rPr>
        <w:tab/>
      </w:r>
      <w:r>
        <w:rPr>
          <w:rFonts w:ascii="Arial" w:cs="Arial" w:eastAsia="Arial" w:hAnsi="Arial"/>
          <w:sz w:val="16"/>
          <w:szCs w:val="16"/>
          <w:color w:val="auto"/>
        </w:rPr>
        <w:t xml:space="preserve">Executive (Chair)                                                                               </w:t>
      </w:r>
    </w:p>
    <w:p>
      <w:pPr>
        <w:spacing w:after="0" w:line="124"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Other public boards:</w:t>
      </w:r>
    </w:p>
    <w:p>
      <w:pPr>
        <w:spacing w:after="0" w:line="43"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Oncor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155575</wp:posOffset>
            </wp:positionV>
            <wp:extent cx="6929755" cy="2174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2174240"/>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sectPr>
      </w:pPr>
    </w:p>
    <w:p>
      <w:pPr>
        <w:spacing w:after="0" w:line="35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1" w:lineRule="auto"/>
        <w:rPr>
          <w:sz w:val="20"/>
          <w:szCs w:val="20"/>
          <w:color w:val="auto"/>
        </w:rPr>
      </w:pPr>
      <w:r>
        <w:rPr>
          <w:rFonts w:ascii="Arial" w:cs="Arial" w:eastAsia="Arial" w:hAnsi="Arial"/>
          <w:sz w:val="14"/>
          <w:szCs w:val="14"/>
          <w:color w:val="auto"/>
        </w:rPr>
        <w:t>Mr. Martin, in his position as Chairman and Chief Executive Officer of Sempra, oversees the management of all aspects of our businesses and leads the overall governance activities of the Board of Directors. His performance and leadership in previous senior executive positions at Sempra, his experience as an employee of the company and its subsidiaries for more than 21 years, and his broad understanding of finance, law, regulatory affairs and the energy industry, including renewables, emerging technologies and global energy policy, make him a valuable member and leader of our board.</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color w:val="auto"/>
        </w:rPr>
        <w:t>Mr. Martin has served as a director and as the Chairman and Chief Executive Officer of Sempra since 2018, and since 2020 he also has served as Sempra’s President.</w:t>
      </w:r>
    </w:p>
    <w:p>
      <w:pPr>
        <w:spacing w:after="0" w:line="64"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Previously, Mr. Martin served as Executive Vice President and Chief Financial Officer of the company from 2017 to 2018. Prior to that, he served as the Chief Executive Officer and a director at SDG&amp;E beginning in 2014 and was appointed as President and Chairman in 2015, serving in each of these offices through 2016. From 2010 to 2013, Mr. Martin served as Chief Executive Officer and President of Sempra U.S. Gas &amp; Power (USGP), a previous business unit of the company, and USGP’s predecessor organization, Sempra Generation. Earlier, he served as Vice President of Investor Relations for Sempra.</w:t>
      </w:r>
    </w:p>
    <w:p>
      <w:pPr>
        <w:spacing w:after="0" w:line="88" w:lineRule="exact"/>
        <w:rPr>
          <w:sz w:val="20"/>
          <w:szCs w:val="20"/>
          <w:color w:val="auto"/>
        </w:rPr>
      </w:pPr>
    </w:p>
    <w:p>
      <w:pPr>
        <w:ind w:right="500"/>
        <w:spacing w:after="0" w:line="281" w:lineRule="auto"/>
        <w:rPr>
          <w:sz w:val="20"/>
          <w:szCs w:val="20"/>
          <w:color w:val="auto"/>
        </w:rPr>
      </w:pPr>
      <w:r>
        <w:rPr>
          <w:rFonts w:ascii="Arial" w:cs="Arial" w:eastAsia="Arial" w:hAnsi="Arial"/>
          <w:sz w:val="14"/>
          <w:szCs w:val="14"/>
          <w:color w:val="auto"/>
        </w:rPr>
        <w:t>Prior to joining the company in 2004, Mr. Martin was Chief Financial Officer of NewEnergy, Inc. He also formerly served as corporate counsel at Unisource Energy Corporation and was an attorney at the law firm of Snell &amp; Wilmer, LLP.</w:t>
      </w:r>
    </w:p>
    <w:p>
      <w:pPr>
        <w:spacing w:after="0" w:line="64"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Mr. Martin serves on the board of directors of Oncor and is a member of The Business Council. He previously served on the boards of directors of SoCalGas, IEnova, American Petroleum Institute, Edison Electric Institute, Business Roundtable, California Chamber of Commerce, San Diego Regional Chamber of Commerce and National Association of Manufacturers. He has also served as a member of the World Economic Forum’s International Business Council and on the board of trustees of the University of San Diego.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582295</wp:posOffset>
            </wp:positionV>
            <wp:extent cx="6929755" cy="14439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29755" cy="1443990"/>
                    </a:xfrm>
                    <a:prstGeom prst="rect">
                      <a:avLst/>
                    </a:prstGeom>
                    <a:noFill/>
                  </pic:spPr>
                </pic:pic>
              </a:graphicData>
            </a:graphic>
          </wp:anchor>
        </w:drawing>
      </w:r>
    </w:p>
    <w:p>
      <w:pPr>
        <w:spacing w:after="0" w:line="633" w:lineRule="exact"/>
        <w:rPr>
          <w:sz w:val="20"/>
          <w:szCs w:val="20"/>
          <w:color w:val="auto"/>
        </w:rPr>
      </w:pPr>
    </w:p>
    <w:p>
      <w:pPr>
        <w:sectPr>
          <w:pgSz w:w="11900" w:h="16838" w:orient="portrait"/>
          <w:cols w:equalWidth="0" w:num="2">
            <w:col w:w="2720" w:space="160"/>
            <w:col w:w="8180"/>
          </w:cols>
          <w:pgMar w:left="320" w:top="478" w:right="51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Michael N. Mears | INDEPENDENT DIRECTOR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Retired, Chairman, President and Chief Executive Officer, Magellan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5706745" cy="9086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06745" cy="908685"/>
                    </a:xfrm>
                    <a:prstGeom prst="rect">
                      <a:avLst/>
                    </a:prstGeom>
                    <a:noFill/>
                  </pic:spPr>
                </pic:pic>
              </a:graphicData>
            </a:graphic>
          </wp:anchor>
        </w:drawing>
      </w:r>
    </w:p>
    <w:p>
      <w:pPr>
        <w:spacing w:after="0" w:line="206" w:lineRule="exact"/>
        <w:rPr>
          <w:sz w:val="20"/>
          <w:szCs w:val="20"/>
          <w:color w:val="auto"/>
        </w:rPr>
      </w:pPr>
    </w:p>
    <w:p>
      <w:pPr>
        <w:ind w:left="340"/>
        <w:spacing w:after="0"/>
        <w:tabs>
          <w:tab w:leader="none" w:pos="2960" w:val="left"/>
        </w:tabs>
        <w:rPr>
          <w:sz w:val="20"/>
          <w:szCs w:val="20"/>
          <w:color w:val="auto"/>
        </w:rPr>
      </w:pPr>
      <w:r>
        <w:rPr>
          <w:rFonts w:ascii="Arial" w:cs="Arial" w:eastAsia="Arial" w:hAnsi="Arial"/>
          <w:sz w:val="16"/>
          <w:szCs w:val="16"/>
          <w:color w:val="auto"/>
        </w:rPr>
        <w:t>Age: 63</w:t>
      </w:r>
      <w:r>
        <w:rPr>
          <w:sz w:val="20"/>
          <w:szCs w:val="20"/>
          <w:color w:val="auto"/>
        </w:rPr>
        <w:tab/>
      </w:r>
      <w:r>
        <w:rPr>
          <w:rFonts w:ascii="Arial" w:cs="Arial" w:eastAsia="Arial" w:hAnsi="Arial"/>
          <w:sz w:val="16"/>
          <w:szCs w:val="16"/>
          <w:b w:val="1"/>
          <w:bCs w:val="1"/>
          <w:color w:val="auto"/>
        </w:rPr>
        <w:t>Board committees:</w:t>
      </w:r>
    </w:p>
    <w:p>
      <w:pPr>
        <w:spacing w:after="0" w:line="16" w:lineRule="exact"/>
        <w:rPr>
          <w:sz w:val="20"/>
          <w:szCs w:val="20"/>
          <w:color w:val="auto"/>
        </w:rPr>
      </w:pPr>
    </w:p>
    <w:p>
      <w:pPr>
        <w:ind w:left="340"/>
        <w:spacing w:after="0"/>
        <w:tabs>
          <w:tab w:leader="none" w:pos="2960" w:val="left"/>
        </w:tabs>
        <w:rPr>
          <w:sz w:val="20"/>
          <w:szCs w:val="20"/>
          <w:color w:val="auto"/>
        </w:rPr>
      </w:pPr>
      <w:r>
        <w:rPr>
          <w:rFonts w:ascii="Arial" w:cs="Arial" w:eastAsia="Arial" w:hAnsi="Arial"/>
          <w:sz w:val="16"/>
          <w:szCs w:val="16"/>
          <w:color w:val="auto"/>
        </w:rPr>
        <w:t xml:space="preserve">Director since: 2018          </w:t>
      </w:r>
      <w:r>
        <w:rPr>
          <w:sz w:val="20"/>
          <w:szCs w:val="20"/>
          <w:color w:val="auto"/>
        </w:rPr>
        <w:tab/>
      </w:r>
      <w:r>
        <w:rPr>
          <w:rFonts w:ascii="Arial" w:cs="Arial" w:eastAsia="Arial" w:hAnsi="Arial"/>
          <w:sz w:val="16"/>
          <w:szCs w:val="16"/>
          <w:color w:val="auto"/>
        </w:rPr>
        <w:t xml:space="preserve">Corporate Governance (Chair) | Compensation and Talent                   </w:t>
      </w:r>
    </w:p>
    <w:p>
      <w:pPr>
        <w:ind w:left="2980"/>
        <w:spacing w:after="0"/>
        <w:rPr>
          <w:sz w:val="20"/>
          <w:szCs w:val="20"/>
          <w:color w:val="auto"/>
        </w:rPr>
      </w:pPr>
      <w:r>
        <w:rPr>
          <w:rFonts w:ascii="Arial" w:cs="Arial" w:eastAsia="Arial" w:hAnsi="Arial"/>
          <w:sz w:val="16"/>
          <w:szCs w:val="16"/>
          <w:color w:val="auto"/>
        </w:rPr>
        <w:t xml:space="preserve">Development | Executive         </w:t>
      </w:r>
    </w:p>
    <w:p>
      <w:pPr>
        <w:spacing w:after="0" w:line="94" w:lineRule="exact"/>
        <w:rPr>
          <w:sz w:val="20"/>
          <w:szCs w:val="20"/>
          <w:color w:val="auto"/>
        </w:rPr>
      </w:pPr>
    </w:p>
    <w:p>
      <w:pPr>
        <w:ind w:left="2980"/>
        <w:spacing w:after="0"/>
        <w:rPr>
          <w:sz w:val="20"/>
          <w:szCs w:val="20"/>
          <w:color w:val="auto"/>
        </w:rPr>
      </w:pPr>
      <w:r>
        <w:rPr>
          <w:rFonts w:ascii="Arial" w:cs="Arial" w:eastAsia="Arial" w:hAnsi="Arial"/>
          <w:sz w:val="16"/>
          <w:szCs w:val="16"/>
          <w:b w:val="1"/>
          <w:bCs w:val="1"/>
          <w:color w:val="auto"/>
        </w:rPr>
        <w:t>Other public boards:</w:t>
      </w:r>
    </w:p>
    <w:p>
      <w:pPr>
        <w:spacing w:after="0" w:line="22" w:lineRule="exact"/>
        <w:rPr>
          <w:sz w:val="20"/>
          <w:szCs w:val="20"/>
          <w:color w:val="auto"/>
        </w:rPr>
      </w:pPr>
    </w:p>
    <w:p>
      <w:pPr>
        <w:ind w:left="2980"/>
        <w:spacing w:after="0"/>
        <w:rPr>
          <w:sz w:val="20"/>
          <w:szCs w:val="20"/>
          <w:color w:val="auto"/>
        </w:rPr>
      </w:pPr>
      <w:r>
        <w:rPr>
          <w:rFonts w:ascii="Arial" w:cs="Arial" w:eastAsia="Arial" w:hAnsi="Arial"/>
          <w:sz w:val="16"/>
          <w:szCs w:val="16"/>
          <w:color w:val="auto"/>
        </w:rPr>
        <w:t>Devon Energy Corporation and Kayne Anderson Energy</w:t>
      </w:r>
    </w:p>
    <w:p>
      <w:pPr>
        <w:ind w:left="2980"/>
        <w:spacing w:after="0"/>
        <w:rPr>
          <w:sz w:val="20"/>
          <w:szCs w:val="20"/>
          <w:color w:val="auto"/>
        </w:rPr>
      </w:pPr>
      <w:r>
        <w:rPr>
          <w:rFonts w:ascii="Arial" w:cs="Arial" w:eastAsia="Arial" w:hAnsi="Arial"/>
          <w:sz w:val="16"/>
          <w:szCs w:val="16"/>
          <w:color w:val="auto"/>
        </w:rPr>
        <w:t>Infrastructure Fund,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6929755" cy="1409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29755" cy="1409700"/>
                    </a:xfrm>
                    <a:prstGeom prst="rect">
                      <a:avLst/>
                    </a:prstGeom>
                    <a:noFill/>
                  </pic:spPr>
                </pic:pic>
              </a:graphicData>
            </a:graphic>
          </wp:anchor>
        </w:drawing>
      </w:r>
    </w:p>
    <w:p>
      <w:pPr>
        <w:sectPr>
          <w:pgSz w:w="11900" w:h="16838" w:orient="portrait"/>
          <w:cols w:equalWidth="0" w:num="1">
            <w:col w:w="11060"/>
          </w:cols>
          <w:pgMar w:left="320" w:top="478" w:right="519" w:bottom="1440" w:gutter="0" w:footer="0" w:header="0"/>
          <w:type w:val="continuous"/>
        </w:sect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4" w:lineRule="auto"/>
        <w:rPr>
          <w:sz w:val="20"/>
          <w:szCs w:val="20"/>
          <w:color w:val="auto"/>
        </w:rPr>
      </w:pPr>
      <w:r>
        <w:rPr>
          <w:rFonts w:ascii="Arial" w:cs="Arial" w:eastAsia="Arial" w:hAnsi="Arial"/>
          <w:sz w:val="14"/>
          <w:szCs w:val="14"/>
          <w:color w:val="auto"/>
        </w:rPr>
        <w:t>Mr. Mears possesses extensive executive and public company board and energy industry experience, including in midstream investments and operations. His commercial and operational expertise in the context of global energy markets and the energy transition make him a valuable member of our board.</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Mr. Mears served as Chairman, President and Chief Executive Officer of Magellan Midstream Partners, L.P. (Magellan), which transports, stores and distributes petroleum and petroleum products, from 2011 to 2022. From 2008 through 2011, he served as Chief Operating Officer of Magellan. Mr. Mears was a Senior Vice President of Magellan GP, LLC, general partner of Magellan, from 2007 through 2008 and a Vice President from 2004 to 2007.</w:t>
      </w:r>
    </w:p>
    <w:p>
      <w:pPr>
        <w:spacing w:after="0" w:line="8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Prior to joining Magellan in 2004, he served as a Vice President of Subsidiaries of The Williams Companies, Inc. from 1996 to 2004. Mr. Mears also worked in various management positions with Williams Pipeline Company (now known as Magellan Pipeline Company, L.P.) since joining The Williams Companies in 1985.</w:t>
      </w:r>
    </w:p>
    <w:p>
      <w:pPr>
        <w:spacing w:after="0" w:line="79" w:lineRule="exact"/>
        <w:rPr>
          <w:sz w:val="20"/>
          <w:szCs w:val="20"/>
          <w:color w:val="auto"/>
        </w:rPr>
      </w:pPr>
    </w:p>
    <w:p>
      <w:pPr>
        <w:ind w:right="480"/>
        <w:spacing w:after="0" w:line="281" w:lineRule="auto"/>
        <w:rPr>
          <w:sz w:val="20"/>
          <w:szCs w:val="20"/>
          <w:color w:val="auto"/>
        </w:rPr>
      </w:pPr>
      <w:r>
        <w:rPr>
          <w:rFonts w:ascii="Arial" w:cs="Arial" w:eastAsia="Arial" w:hAnsi="Arial"/>
          <w:sz w:val="14"/>
          <w:szCs w:val="14"/>
          <w:color w:val="auto"/>
        </w:rPr>
        <w:t>Mr. Mears is a director of Devon Energy Corporation and Kayne Anderson Energy Infrastructure Fund, Inc. He served as a member of the board of directors of the Association of Oil Pipelines from 2003 until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615950</wp:posOffset>
            </wp:positionV>
            <wp:extent cx="69297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140"/>
            <w:col w:w="8180"/>
          </w:cols>
          <w:pgMar w:left="320" w:top="478"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30               </w:t>
      </w:r>
      <w:r>
        <w:rPr>
          <w:sz w:val="1"/>
          <w:szCs w:val="1"/>
          <w:color w:val="auto"/>
        </w:rPr>
        <w:drawing>
          <wp:inline distT="0" distB="0" distL="0" distR="0">
            <wp:extent cx="739140" cy="144145"/>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60"/>
          </w:cols>
          <w:pgMar w:left="320" w:top="478" w:right="5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1452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1452245"/>
                    </a:xfrm>
                    <a:prstGeom prst="rect">
                      <a:avLst/>
                    </a:prstGeom>
                    <a:noFill/>
                  </pic:spPr>
                </pic:pic>
              </a:graphicData>
            </a:graphic>
          </wp:anchor>
        </w:drawing>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Kevin C. Sagara | DIRECTOR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Retired, Executive Vice President and Group President, Sempra</w:t>
      </w:r>
    </w:p>
    <w:p>
      <w:pPr>
        <w:spacing w:after="0" w:line="306" w:lineRule="exact"/>
        <w:rPr>
          <w:sz w:val="20"/>
          <w:szCs w:val="20"/>
          <w:color w:val="auto"/>
        </w:rPr>
      </w:pPr>
    </w:p>
    <w:p>
      <w:pPr>
        <w:ind w:left="340"/>
        <w:spacing w:after="0"/>
        <w:tabs>
          <w:tab w:leader="none" w:pos="2880" w:val="left"/>
        </w:tabs>
        <w:rPr>
          <w:sz w:val="20"/>
          <w:szCs w:val="20"/>
          <w:color w:val="auto"/>
        </w:rPr>
      </w:pPr>
      <w:r>
        <w:rPr>
          <w:rFonts w:ascii="Arial" w:cs="Arial" w:eastAsia="Arial" w:hAnsi="Arial"/>
          <w:sz w:val="16"/>
          <w:szCs w:val="16"/>
          <w:color w:val="auto"/>
        </w:rPr>
        <w:t>Age: 64</w:t>
      </w:r>
      <w:r>
        <w:rPr>
          <w:sz w:val="20"/>
          <w:szCs w:val="20"/>
          <w:color w:val="auto"/>
        </w:rPr>
        <w:tab/>
      </w:r>
      <w:r>
        <w:rPr>
          <w:rFonts w:ascii="Arial" w:cs="Arial" w:eastAsia="Arial" w:hAnsi="Arial"/>
          <w:sz w:val="16"/>
          <w:szCs w:val="16"/>
          <w:b w:val="1"/>
          <w:bCs w:val="1"/>
          <w:color w:val="auto"/>
        </w:rPr>
        <w:t>Board committees:</w:t>
      </w:r>
    </w:p>
    <w:p>
      <w:pPr>
        <w:spacing w:after="0" w:line="43" w:lineRule="exact"/>
        <w:rPr>
          <w:sz w:val="20"/>
          <w:szCs w:val="20"/>
          <w:color w:val="auto"/>
        </w:rPr>
      </w:pPr>
    </w:p>
    <w:p>
      <w:pPr>
        <w:ind w:left="340"/>
        <w:spacing w:after="0"/>
        <w:tabs>
          <w:tab w:leader="none" w:pos="2880" w:val="left"/>
        </w:tabs>
        <w:rPr>
          <w:sz w:val="20"/>
          <w:szCs w:val="20"/>
          <w:color w:val="auto"/>
        </w:rPr>
      </w:pPr>
      <w:r>
        <w:rPr>
          <w:rFonts w:ascii="Arial" w:cs="Arial" w:eastAsia="Arial" w:hAnsi="Arial"/>
          <w:sz w:val="16"/>
          <w:szCs w:val="16"/>
          <w:color w:val="auto"/>
        </w:rPr>
        <w:t xml:space="preserve">Director since: 2025          </w:t>
      </w:r>
      <w:r>
        <w:rPr>
          <w:sz w:val="20"/>
          <w:szCs w:val="20"/>
          <w:color w:val="auto"/>
        </w:rPr>
        <w:tab/>
      </w:r>
      <w:r>
        <w:rPr>
          <w:rFonts w:ascii="Arial" w:cs="Arial" w:eastAsia="Arial" w:hAnsi="Arial"/>
          <w:sz w:val="16"/>
          <w:szCs w:val="16"/>
          <w:color w:val="auto"/>
        </w:rPr>
        <w:t xml:space="preserve">Safety, Sustainability and Technology                                                      </w:t>
      </w:r>
    </w:p>
    <w:p>
      <w:pPr>
        <w:spacing w:after="0" w:line="124"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Other public boards:</w:t>
      </w:r>
    </w:p>
    <w:p>
      <w:pPr>
        <w:spacing w:after="0" w:line="43" w:lineRule="exact"/>
        <w:rPr>
          <w:sz w:val="20"/>
          <w:szCs w:val="20"/>
          <w:color w:val="auto"/>
        </w:rPr>
      </w:pPr>
    </w:p>
    <w:p>
      <w:pPr>
        <w:ind w:left="290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155575</wp:posOffset>
            </wp:positionV>
            <wp:extent cx="6929755" cy="12566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29755" cy="125666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5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4" w:lineRule="auto"/>
        <w:rPr>
          <w:sz w:val="20"/>
          <w:szCs w:val="20"/>
          <w:color w:val="auto"/>
        </w:rPr>
      </w:pPr>
      <w:r>
        <w:rPr>
          <w:rFonts w:ascii="Arial" w:cs="Arial" w:eastAsia="Arial" w:hAnsi="Arial"/>
          <w:sz w:val="14"/>
          <w:szCs w:val="14"/>
          <w:color w:val="auto"/>
        </w:rPr>
        <w:t>Mr. Sagara’s 30 years of experience in the energy sector and his demonstrated leadership and experience in both regulated utility and non-regulated energy infrastructure operations, including in safety, regulatory affairs, mergers and acquisitions, legal and governance, bring valuable insights to our board.</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140"/>
        <w:spacing w:after="0" w:line="249" w:lineRule="auto"/>
        <w:rPr>
          <w:sz w:val="20"/>
          <w:szCs w:val="20"/>
          <w:color w:val="auto"/>
        </w:rPr>
      </w:pPr>
      <w:r>
        <w:rPr>
          <w:rFonts w:ascii="Arial" w:cs="Arial" w:eastAsia="Arial" w:hAnsi="Arial"/>
          <w:sz w:val="14"/>
          <w:szCs w:val="14"/>
          <w:color w:val="auto"/>
        </w:rPr>
        <w:t>Mr. Sagara served as Executive Vice President and Group President for Sempra from 2020 until his retirement in 2023. While in that role, he also served as Non-Executive Chairman and director of both SDG&amp;E and SoCalGas. Prior to that, he was the executive Chairman and Chief Executive Officer and a director of SDG&amp;E from 2018 to 2020. Mr. Sagara served as President of Sempra Renewables, LLC from 2013 to 2018, and held other senior-level positions during his decades-long career with the Sempra family of companies.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As a corporate attorney, Mr. Sagara played a key role in the formation of Sempra in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549275</wp:posOffset>
            </wp:positionV>
            <wp:extent cx="6929755" cy="14439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1443990"/>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2740" w:space="140"/>
            <w:col w:w="8200"/>
          </w:cols>
          <w:pgMar w:left="320" w:top="478" w:right="499" w:bottom="1440" w:gutter="0" w:footer="0" w:header="0"/>
          <w:type w:val="continuous"/>
        </w:sect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Jack T. Taylor | INDEPENDENT DIRECTOR</w:t>
      </w:r>
    </w:p>
    <w:p>
      <w:pPr>
        <w:spacing w:after="0" w:line="129" w:lineRule="exact"/>
        <w:rPr>
          <w:sz w:val="20"/>
          <w:szCs w:val="20"/>
          <w:color w:val="auto"/>
        </w:rPr>
      </w:pPr>
    </w:p>
    <w:p>
      <w:pPr>
        <w:ind w:left="340" w:right="5080"/>
        <w:spacing w:after="0" w:line="265" w:lineRule="auto"/>
        <w:rPr>
          <w:sz w:val="20"/>
          <w:szCs w:val="20"/>
          <w:color w:val="auto"/>
        </w:rPr>
      </w:pPr>
      <w:r>
        <w:rPr>
          <w:rFonts w:ascii="Arial" w:cs="Arial" w:eastAsia="Arial" w:hAnsi="Arial"/>
          <w:sz w:val="18"/>
          <w:szCs w:val="18"/>
          <w:color w:val="FFFFFF"/>
        </w:rPr>
        <w:t>Retired, Chief Operating Officer—Americas and Executive Vice Chair of U.S. Operations, KPMG LLP (U.S.)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320"/>
        </w:trPr>
        <w:tc>
          <w:tcPr>
            <w:tcW w:w="24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Age: 74</w:t>
            </w:r>
          </w:p>
        </w:tc>
        <w:tc>
          <w:tcPr>
            <w:tcW w:w="6540" w:type="dxa"/>
            <w:vAlign w:val="bottom"/>
            <w:shd w:val="clear" w:color="auto" w:fill="F2F2F2"/>
          </w:tcPr>
          <w:p>
            <w:pPr>
              <w:ind w:left="300"/>
              <w:spacing w:after="0"/>
              <w:rPr>
                <w:sz w:val="20"/>
                <w:szCs w:val="20"/>
                <w:color w:val="auto"/>
              </w:rPr>
            </w:pPr>
            <w:r>
              <w:rPr>
                <w:rFonts w:ascii="Arial" w:cs="Arial" w:eastAsia="Arial" w:hAnsi="Arial"/>
                <w:sz w:val="16"/>
                <w:szCs w:val="16"/>
                <w:b w:val="1"/>
                <w:bCs w:val="1"/>
                <w:color w:val="auto"/>
              </w:rPr>
              <w:t>Board committees:</w:t>
            </w:r>
          </w:p>
        </w:tc>
      </w:tr>
      <w:tr>
        <w:trPr>
          <w:trHeight w:val="225"/>
        </w:trPr>
        <w:tc>
          <w:tcPr>
            <w:tcW w:w="2460" w:type="dxa"/>
            <w:vAlign w:val="bottom"/>
            <w:shd w:val="clear" w:color="auto" w:fill="F2F2F2"/>
          </w:tcPr>
          <w:p>
            <w:pPr>
              <w:ind w:left="180"/>
              <w:spacing w:after="0"/>
              <w:rPr>
                <w:sz w:val="20"/>
                <w:szCs w:val="20"/>
                <w:color w:val="auto"/>
              </w:rPr>
            </w:pPr>
            <w:r>
              <w:rPr>
                <w:rFonts w:ascii="Arial" w:cs="Arial" w:eastAsia="Arial" w:hAnsi="Arial"/>
                <w:sz w:val="16"/>
                <w:szCs w:val="16"/>
                <w:color w:val="auto"/>
              </w:rPr>
              <w:t xml:space="preserve">Director since: 2013          </w:t>
            </w:r>
          </w:p>
        </w:tc>
        <w:tc>
          <w:tcPr>
            <w:tcW w:w="6540" w:type="dxa"/>
            <w:vAlign w:val="bottom"/>
            <w:shd w:val="clear" w:color="auto" w:fill="F2F2F2"/>
          </w:tcPr>
          <w:p>
            <w:pPr>
              <w:ind w:left="300"/>
              <w:spacing w:after="0"/>
              <w:rPr>
                <w:sz w:val="20"/>
                <w:szCs w:val="20"/>
                <w:color w:val="auto"/>
              </w:rPr>
            </w:pPr>
            <w:r>
              <w:rPr>
                <w:rFonts w:ascii="Arial" w:cs="Arial" w:eastAsia="Arial" w:hAnsi="Arial"/>
                <w:sz w:val="16"/>
                <w:szCs w:val="16"/>
                <w:color w:val="auto"/>
              </w:rPr>
              <w:t xml:space="preserve">Audit (Chair) | Compensation and Talent Development | Executive               </w:t>
            </w:r>
          </w:p>
        </w:tc>
      </w:tr>
      <w:tr>
        <w:trPr>
          <w:trHeight w:val="284"/>
        </w:trPr>
        <w:tc>
          <w:tcPr>
            <w:tcW w:w="2460" w:type="dxa"/>
            <w:vAlign w:val="bottom"/>
            <w:shd w:val="clear" w:color="auto" w:fill="F2F2F2"/>
          </w:tcPr>
          <w:p>
            <w:pPr>
              <w:spacing w:after="0"/>
              <w:rPr>
                <w:sz w:val="24"/>
                <w:szCs w:val="24"/>
                <w:color w:val="auto"/>
              </w:rPr>
            </w:pPr>
          </w:p>
        </w:tc>
        <w:tc>
          <w:tcPr>
            <w:tcW w:w="6540" w:type="dxa"/>
            <w:vAlign w:val="bottom"/>
            <w:shd w:val="clear" w:color="auto" w:fill="F2F2F2"/>
          </w:tcPr>
          <w:p>
            <w:pPr>
              <w:ind w:left="300"/>
              <w:spacing w:after="0"/>
              <w:rPr>
                <w:sz w:val="20"/>
                <w:szCs w:val="20"/>
                <w:color w:val="auto"/>
              </w:rPr>
            </w:pPr>
            <w:r>
              <w:rPr>
                <w:rFonts w:ascii="Arial" w:cs="Arial" w:eastAsia="Arial" w:hAnsi="Arial"/>
                <w:sz w:val="16"/>
                <w:szCs w:val="16"/>
                <w:b w:val="1"/>
                <w:bCs w:val="1"/>
                <w:color w:val="auto"/>
              </w:rPr>
              <w:t>Other public boards:</w:t>
            </w:r>
          </w:p>
        </w:tc>
      </w:tr>
      <w:tr>
        <w:trPr>
          <w:trHeight w:val="211"/>
        </w:trPr>
        <w:tc>
          <w:tcPr>
            <w:tcW w:w="2460" w:type="dxa"/>
            <w:vAlign w:val="bottom"/>
            <w:shd w:val="clear" w:color="auto" w:fill="F2F2F2"/>
          </w:tcPr>
          <w:p>
            <w:pPr>
              <w:spacing w:after="0"/>
              <w:rPr>
                <w:sz w:val="18"/>
                <w:szCs w:val="18"/>
                <w:color w:val="auto"/>
              </w:rPr>
            </w:pPr>
          </w:p>
        </w:tc>
        <w:tc>
          <w:tcPr>
            <w:tcW w:w="6540" w:type="dxa"/>
            <w:vAlign w:val="bottom"/>
            <w:shd w:val="clear" w:color="auto" w:fill="F2F2F2"/>
          </w:tcPr>
          <w:p>
            <w:pPr>
              <w:ind w:left="300"/>
              <w:spacing w:after="0"/>
              <w:rPr>
                <w:sz w:val="20"/>
                <w:szCs w:val="20"/>
                <w:color w:val="auto"/>
              </w:rPr>
            </w:pPr>
            <w:r>
              <w:rPr>
                <w:rFonts w:ascii="Arial" w:cs="Arial" w:eastAsia="Arial" w:hAnsi="Arial"/>
                <w:sz w:val="16"/>
                <w:szCs w:val="16"/>
                <w:color w:val="auto"/>
              </w:rPr>
              <w:t>Genesis Energy LP and Murphy USA Inc.</w:t>
            </w:r>
          </w:p>
        </w:tc>
      </w:tr>
      <w:tr>
        <w:trPr>
          <w:trHeight w:val="164"/>
        </w:trPr>
        <w:tc>
          <w:tcPr>
            <w:tcW w:w="2460" w:type="dxa"/>
            <w:vAlign w:val="bottom"/>
            <w:shd w:val="clear" w:color="auto" w:fill="F2F2F2"/>
          </w:tcPr>
          <w:p>
            <w:pPr>
              <w:spacing w:after="0"/>
              <w:rPr>
                <w:sz w:val="14"/>
                <w:szCs w:val="14"/>
                <w:color w:val="auto"/>
              </w:rPr>
            </w:pPr>
          </w:p>
        </w:tc>
        <w:tc>
          <w:tcPr>
            <w:tcW w:w="6540" w:type="dxa"/>
            <w:vAlign w:val="bottom"/>
            <w:shd w:val="clear" w:color="auto" w:fill="F2F2F2"/>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13589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29755" cy="135890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type w:val="continuous"/>
        </w:sectPr>
      </w:pPr>
    </w:p>
    <w:p>
      <w:pPr>
        <w:spacing w:after="0" w:line="111"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3" w:lineRule="auto"/>
        <w:rPr>
          <w:sz w:val="20"/>
          <w:szCs w:val="20"/>
          <w:color w:val="auto"/>
        </w:rPr>
      </w:pPr>
      <w:r>
        <w:rPr>
          <w:rFonts w:ascii="Arial" w:cs="Arial" w:eastAsia="Arial" w:hAnsi="Arial"/>
          <w:sz w:val="14"/>
          <w:szCs w:val="14"/>
          <w:color w:val="auto"/>
        </w:rPr>
        <w:t>Mr. Taylor has extensive experience with financial, capital markets and public accounting issues as well as a deep knowledge of the energy industry, including global energy markets and the clean energy sector. This experience, together with his executive and public company board experience, make him a valuable member of our board.</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280"/>
        <w:spacing w:after="0" w:line="260" w:lineRule="auto"/>
        <w:rPr>
          <w:sz w:val="20"/>
          <w:szCs w:val="20"/>
          <w:color w:val="auto"/>
        </w:rPr>
      </w:pPr>
      <w:r>
        <w:rPr>
          <w:rFonts w:ascii="Arial" w:cs="Arial" w:eastAsia="Arial" w:hAnsi="Arial"/>
          <w:sz w:val="14"/>
          <w:szCs w:val="14"/>
          <w:color w:val="auto"/>
        </w:rPr>
        <w:t>Mr. Taylor was the Chief Operating Officer—Americas and Executive Vice Chair of U.S. Operations for KPMG LLP (U.S.) from 2005 to 2010. Mr. Taylor sponsored formation of the KPMG Diversity Advisory Board in 2007 and served as its Chair until his retirement in 2010. From 2001 to 2005, he served as the Vice Chairman of U.S. Audit and Risk Advisory Services for KPMG.</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He spent over 35 years as a public accountant at KPMG, many of which he worked in a leadership capacity.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Mr. Taylor is a director of Genesis Energy LP and Murphy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549275</wp:posOffset>
            </wp:positionV>
            <wp:extent cx="69297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2812415</wp:posOffset>
            </wp:positionH>
            <wp:positionV relativeFrom="paragraph">
              <wp:posOffset>676275</wp:posOffset>
            </wp:positionV>
            <wp:extent cx="739140" cy="144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786" w:lineRule="exact"/>
        <w:rPr>
          <w:sz w:val="20"/>
          <w:szCs w:val="20"/>
          <w:color w:val="auto"/>
        </w:rPr>
      </w:pPr>
    </w:p>
    <w:p>
      <w:pPr>
        <w:sectPr>
          <w:pgSz w:w="11900" w:h="16838" w:orient="portrait"/>
          <w:cols w:equalWidth="0" w:num="2">
            <w:col w:w="2680" w:space="200"/>
            <w:col w:w="8200"/>
          </w:cols>
          <w:pgMar w:left="320" w:top="478" w:right="499" w:bottom="1440" w:gutter="0" w:footer="0" w:header="0"/>
          <w:type w:val="continuous"/>
        </w:sectPr>
      </w:pPr>
    </w:p>
    <w:p>
      <w:pPr>
        <w:spacing w:after="0" w:line="301"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31</w:t>
      </w:r>
    </w:p>
    <w:p>
      <w:pPr>
        <w:sectPr>
          <w:pgSz w:w="11900" w:h="16838" w:orient="portrait"/>
          <w:cols w:equalWidth="0" w:num="1">
            <w:col w:w="11080"/>
          </w:cols>
          <w:pgMar w:left="320" w:top="478" w:right="4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14439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1443990"/>
                    </a:xfrm>
                    <a:prstGeom prst="rect">
                      <a:avLst/>
                    </a:prstGeom>
                    <a:noFill/>
                  </pic:spPr>
                </pic:pic>
              </a:graphicData>
            </a:graphic>
          </wp:anchor>
        </w:drawing>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Cynthia J. Warner | LEAD INDEPENDENT DIRECTOR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Retired, President and Chief Executive Officer, Renewable Energy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5706745" cy="916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06745" cy="916940"/>
                    </a:xfrm>
                    <a:prstGeom prst="rect">
                      <a:avLst/>
                    </a:prstGeom>
                    <a:noFill/>
                  </pic:spPr>
                </pic:pic>
              </a:graphicData>
            </a:graphic>
          </wp:anchor>
        </w:drawing>
      </w:r>
    </w:p>
    <w:p>
      <w:pPr>
        <w:spacing w:after="0" w:line="219" w:lineRule="exact"/>
        <w:rPr>
          <w:sz w:val="20"/>
          <w:szCs w:val="20"/>
          <w:color w:val="auto"/>
        </w:rPr>
      </w:pPr>
    </w:p>
    <w:p>
      <w:pPr>
        <w:ind w:left="340"/>
        <w:spacing w:after="0"/>
        <w:tabs>
          <w:tab w:leader="none" w:pos="3000" w:val="left"/>
        </w:tabs>
        <w:rPr>
          <w:sz w:val="20"/>
          <w:szCs w:val="20"/>
          <w:color w:val="auto"/>
        </w:rPr>
      </w:pPr>
      <w:r>
        <w:rPr>
          <w:rFonts w:ascii="Arial" w:cs="Arial" w:eastAsia="Arial" w:hAnsi="Arial"/>
          <w:sz w:val="16"/>
          <w:szCs w:val="16"/>
          <w:color w:val="auto"/>
        </w:rPr>
        <w:t>Age: 67</w:t>
      </w:r>
      <w:r>
        <w:rPr>
          <w:sz w:val="20"/>
          <w:szCs w:val="20"/>
          <w:color w:val="auto"/>
        </w:rPr>
        <w:tab/>
      </w:r>
      <w:r>
        <w:rPr>
          <w:rFonts w:ascii="Arial" w:cs="Arial" w:eastAsia="Arial" w:hAnsi="Arial"/>
          <w:sz w:val="16"/>
          <w:szCs w:val="16"/>
          <w:b w:val="1"/>
          <w:bCs w:val="1"/>
          <w:color w:val="auto"/>
        </w:rPr>
        <w:t>Board committees:</w:t>
      </w:r>
    </w:p>
    <w:p>
      <w:pPr>
        <w:spacing w:after="0" w:line="43" w:lineRule="exact"/>
        <w:rPr>
          <w:sz w:val="20"/>
          <w:szCs w:val="20"/>
          <w:color w:val="auto"/>
        </w:rPr>
      </w:pPr>
    </w:p>
    <w:p>
      <w:pPr>
        <w:ind w:left="340"/>
        <w:spacing w:after="0"/>
        <w:tabs>
          <w:tab w:leader="none" w:pos="3000" w:val="left"/>
        </w:tabs>
        <w:rPr>
          <w:sz w:val="20"/>
          <w:szCs w:val="20"/>
          <w:color w:val="auto"/>
        </w:rPr>
      </w:pPr>
      <w:r>
        <w:rPr>
          <w:rFonts w:ascii="Arial" w:cs="Arial" w:eastAsia="Arial" w:hAnsi="Arial"/>
          <w:sz w:val="16"/>
          <w:szCs w:val="16"/>
          <w:color w:val="auto"/>
        </w:rPr>
        <w:t xml:space="preserve">Director since: 2019          </w:t>
      </w:r>
      <w:r>
        <w:rPr>
          <w:sz w:val="20"/>
          <w:szCs w:val="20"/>
          <w:color w:val="auto"/>
        </w:rPr>
        <w:tab/>
      </w:r>
      <w:r>
        <w:rPr>
          <w:rFonts w:ascii="Arial" w:cs="Arial" w:eastAsia="Arial" w:hAnsi="Arial"/>
          <w:sz w:val="16"/>
          <w:szCs w:val="16"/>
          <w:color w:val="auto"/>
        </w:rPr>
        <w:t xml:space="preserve">Corporate Governance | Safety, Sustainability and Technology |       </w:t>
      </w:r>
    </w:p>
    <w:p>
      <w:pPr>
        <w:spacing w:after="0" w:line="19"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Executive</w:t>
      </w:r>
    </w:p>
    <w:p>
      <w:pPr>
        <w:spacing w:after="0" w:line="108"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Other public boards:</w:t>
      </w:r>
    </w:p>
    <w:p>
      <w:pPr>
        <w:spacing w:after="0" w:line="43" w:lineRule="exact"/>
        <w:rPr>
          <w:sz w:val="20"/>
          <w:szCs w:val="20"/>
          <w:color w:val="auto"/>
        </w:rPr>
      </w:pPr>
    </w:p>
    <w:p>
      <w:pPr>
        <w:jc w:val="center"/>
        <w:ind w:right="2120"/>
        <w:spacing w:after="0"/>
        <w:rPr>
          <w:sz w:val="20"/>
          <w:szCs w:val="20"/>
          <w:color w:val="auto"/>
        </w:rPr>
      </w:pPr>
      <w:r>
        <w:rPr>
          <w:rFonts w:ascii="Arial" w:cs="Arial" w:eastAsia="Arial" w:hAnsi="Arial"/>
          <w:sz w:val="16"/>
          <w:szCs w:val="16"/>
          <w:color w:val="auto"/>
        </w:rPr>
        <w:t>Bloom Energy and Chevron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20974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9755" cy="2097405"/>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p>
      <w:pPr>
        <w:spacing w:after="0" w:line="31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2" w:lineRule="auto"/>
        <w:rPr>
          <w:sz w:val="20"/>
          <w:szCs w:val="20"/>
          <w:color w:val="auto"/>
        </w:rPr>
      </w:pPr>
      <w:r>
        <w:rPr>
          <w:rFonts w:ascii="Arial" w:cs="Arial" w:eastAsia="Arial" w:hAnsi="Arial"/>
          <w:sz w:val="14"/>
          <w:szCs w:val="14"/>
          <w:color w:val="auto"/>
        </w:rPr>
        <w:t>Ms. Warner brings extensive experience and leadership in the global energy transition, particularly with respect to clean and renewable energy, as well as experience with carbon credits, offsets and other clean energy strategies. Her service as an advisor on key government policy task forces has deepened her expertise on these matters in a state and federal regulatory context. This industry leadership experience makes her a valuable member of our board.</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color w:val="auto"/>
        </w:rPr>
        <w:t>Ms. Warner served as President and Chief Executive Officer of Renewable Energy Group, Inc. (REGI), an advanced biofuel producer, from January 2019 until its acquisition by Chevron Corporation in May 2022.</w:t>
      </w:r>
    </w:p>
    <w:p>
      <w:pPr>
        <w:spacing w:after="0" w:line="6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Ms. Warner is a senior operating partner at GVP Climate, LP, an active investor in early stage clean technology climate solutions. She previously served as Executive Vice President of Operations for Andeavor (formerly Tesoro Corporation), a refiner and marketer of petroleum products, from 2016 until 2018, when Andeavor was acquired by Marathon Petroleum Corp. Prior to that, she served as Andeavor’s Executive Vice President of Strategy and Business Development from 2014 to 2016. Ms. Warner previously served as Chairman and Chief Executive Officer of Sapphire Energy, Inc. after a 25-year career at BP and Amoco, Inc. (prior to its acquisition by BP).</w:t>
      </w:r>
    </w:p>
    <w:p>
      <w:pPr>
        <w:spacing w:after="0" w:line="89"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Ms. Warner is a member of the Vanderbilt University Board of Trust, the Board of Visitors for the Vanderbilt University School of Engineering, and the Executive Committee for the Board of Advisors of the Center for Global Energy Policy at Columbia University, and is a Trustee for the University of the Incarnate Word. Ms. Warner previously served on President Obama’s Renewable Energy Task Force and the Iowa Governor’s Carbon Sequestration Task Force. She also is a member of the National Petroleum Council.</w:t>
      </w:r>
    </w:p>
    <w:p>
      <w:pPr>
        <w:spacing w:after="0" w:line="252"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Ms. Warner is a director of Bloom Energy and Chevron Corporation and a former director of REGI and IDEX Corporation. She serves as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284480</wp:posOffset>
            </wp:positionV>
            <wp:extent cx="6929755" cy="1452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29755" cy="14522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220"/>
            <w:col w:w="8140"/>
          </w:cols>
          <w:pgMar w:left="320" w:top="478" w:right="559" w:bottom="1440" w:gutter="0" w:footer="0" w:header="0"/>
          <w:type w:val="continuous"/>
        </w:sectPr>
      </w:pPr>
    </w:p>
    <w:p>
      <w:pPr>
        <w:spacing w:after="0" w:line="367"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Anya Weaving | INDEPENDENT DIRECTOR</w:t>
      </w:r>
    </w:p>
    <w:p>
      <w:pPr>
        <w:spacing w:after="0" w:line="129" w:lineRule="exact"/>
        <w:rPr>
          <w:sz w:val="20"/>
          <w:szCs w:val="20"/>
          <w:color w:val="auto"/>
        </w:rPr>
      </w:pPr>
    </w:p>
    <w:p>
      <w:pPr>
        <w:ind w:left="340" w:right="3480"/>
        <w:spacing w:after="0" w:line="265" w:lineRule="auto"/>
        <w:rPr>
          <w:sz w:val="20"/>
          <w:szCs w:val="20"/>
          <w:color w:val="auto"/>
        </w:rPr>
      </w:pPr>
      <w:r>
        <w:rPr>
          <w:rFonts w:ascii="Arial" w:cs="Arial" w:eastAsia="Arial" w:hAnsi="Arial"/>
          <w:sz w:val="18"/>
          <w:szCs w:val="18"/>
          <w:color w:val="FFFFFF"/>
        </w:rPr>
        <w:t>Retired, Vice Chair and Managing Director, Global Natural Resources, Investment Banking, Bank of America Merrill Lynch</w:t>
      </w:r>
    </w:p>
    <w:p>
      <w:pPr>
        <w:spacing w:after="0" w:line="190" w:lineRule="exact"/>
        <w:rPr>
          <w:sz w:val="20"/>
          <w:szCs w:val="20"/>
          <w:color w:val="auto"/>
        </w:rPr>
      </w:pPr>
    </w:p>
    <w:p>
      <w:pPr>
        <w:ind w:left="340"/>
        <w:spacing w:after="0"/>
        <w:tabs>
          <w:tab w:leader="none" w:pos="2900" w:val="left"/>
        </w:tabs>
        <w:rPr>
          <w:sz w:val="20"/>
          <w:szCs w:val="20"/>
          <w:color w:val="auto"/>
        </w:rPr>
      </w:pPr>
      <w:r>
        <w:rPr>
          <w:rFonts w:ascii="Arial" w:cs="Arial" w:eastAsia="Arial" w:hAnsi="Arial"/>
          <w:sz w:val="16"/>
          <w:szCs w:val="16"/>
          <w:color w:val="auto"/>
        </w:rPr>
        <w:t>Age: 49</w:t>
      </w:r>
      <w:r>
        <w:rPr>
          <w:sz w:val="20"/>
          <w:szCs w:val="20"/>
          <w:color w:val="auto"/>
        </w:rPr>
        <w:tab/>
      </w:r>
      <w:r>
        <w:rPr>
          <w:rFonts w:ascii="Arial" w:cs="Arial" w:eastAsia="Arial" w:hAnsi="Arial"/>
          <w:sz w:val="16"/>
          <w:szCs w:val="16"/>
          <w:b w:val="1"/>
          <w:bCs w:val="1"/>
          <w:color w:val="auto"/>
        </w:rPr>
        <w:t>Board committees:</w:t>
      </w:r>
    </w:p>
    <w:p>
      <w:pPr>
        <w:spacing w:after="0" w:line="43" w:lineRule="exact"/>
        <w:rPr>
          <w:sz w:val="20"/>
          <w:szCs w:val="20"/>
          <w:color w:val="auto"/>
        </w:rPr>
      </w:pPr>
    </w:p>
    <w:p>
      <w:pPr>
        <w:ind w:left="340"/>
        <w:spacing w:after="0"/>
        <w:tabs>
          <w:tab w:leader="none" w:pos="2900" w:val="left"/>
        </w:tabs>
        <w:rPr>
          <w:sz w:val="20"/>
          <w:szCs w:val="20"/>
          <w:color w:val="auto"/>
        </w:rPr>
      </w:pPr>
      <w:r>
        <w:rPr>
          <w:rFonts w:ascii="Arial" w:cs="Arial" w:eastAsia="Arial" w:hAnsi="Arial"/>
          <w:sz w:val="16"/>
          <w:szCs w:val="16"/>
          <w:color w:val="auto"/>
        </w:rPr>
        <w:t xml:space="preserve">Director since: 2025          </w:t>
      </w:r>
      <w:r>
        <w:rPr>
          <w:sz w:val="20"/>
          <w:szCs w:val="20"/>
          <w:color w:val="auto"/>
        </w:rPr>
        <w:tab/>
      </w:r>
      <w:r>
        <w:rPr>
          <w:rFonts w:ascii="Arial" w:cs="Arial" w:eastAsia="Arial" w:hAnsi="Arial"/>
          <w:sz w:val="16"/>
          <w:szCs w:val="16"/>
          <w:color w:val="auto"/>
        </w:rPr>
        <w:t xml:space="preserve">Audit | Compensation and Talent Development                                          </w:t>
      </w:r>
    </w:p>
    <w:p>
      <w:pPr>
        <w:spacing w:after="0" w:line="124"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Other public boards:</w:t>
      </w:r>
    </w:p>
    <w:p>
      <w:pPr>
        <w:spacing w:after="0" w:line="43" w:lineRule="exact"/>
        <w:rPr>
          <w:sz w:val="20"/>
          <w:szCs w:val="20"/>
          <w:color w:val="auto"/>
        </w:rPr>
      </w:pPr>
    </w:p>
    <w:p>
      <w:pPr>
        <w:ind w:left="2920"/>
        <w:spacing w:after="0"/>
        <w:rPr>
          <w:sz w:val="20"/>
          <w:szCs w:val="20"/>
          <w:color w:val="auto"/>
        </w:rPr>
      </w:pPr>
      <w:r>
        <w:rPr>
          <w:rFonts w:ascii="Arial" w:cs="Arial" w:eastAsia="Arial" w:hAnsi="Arial"/>
          <w:sz w:val="16"/>
          <w:szCs w:val="16"/>
          <w:color w:val="auto"/>
        </w:rPr>
        <w:t>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6929755" cy="12566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29755" cy="1256665"/>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type w:val="continuous"/>
        </w:sectPr>
      </w:pPr>
    </w:p>
    <w:p>
      <w:pPr>
        <w:spacing w:after="0" w:line="31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4" w:lineRule="auto"/>
        <w:rPr>
          <w:sz w:val="20"/>
          <w:szCs w:val="20"/>
          <w:color w:val="auto"/>
        </w:rPr>
      </w:pPr>
      <w:r>
        <w:rPr>
          <w:rFonts w:ascii="Arial" w:cs="Arial" w:eastAsia="Arial" w:hAnsi="Arial"/>
          <w:sz w:val="14"/>
          <w:szCs w:val="14"/>
          <w:color w:val="auto"/>
        </w:rPr>
        <w:t>Ms. Weaving’s extensive investment banking experience advising companies in the energy sector on strategy, mergers and acquisitions and capital markets transactions, combined with her previous role as chief financial officer and broad international experience, make her a valuable addition to our board.</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Ms. Weaving was Vice Chair and Managing Director, Global Natural Resources, Investment Banking for Bank of America Merrill Lynch from 2017 to 2022. Prior to that, she was Chief Financial Officer for SOCO International plc, a U.K. oil and gas exploration and production company, from 2014 to 2015. From 2005 to 2014, Ms. Weaving held various roles at Bank of America Merrill Lynch, including Head of European Oil and Gas M&amp;A and Managing Director, Mergers &amp; Acquisitions.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Ms. Weaving is a board trustee of the Musical Arts Association, a nonprofit organization that oversees the Cleveland Orchestra.</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Ms. Weaving is a director of APA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803910</wp:posOffset>
            </wp:positionV>
            <wp:extent cx="69297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468" w:lineRule="exact"/>
        <w:rPr>
          <w:sz w:val="20"/>
          <w:szCs w:val="20"/>
          <w:color w:val="auto"/>
        </w:rPr>
      </w:pPr>
    </w:p>
    <w:p>
      <w:pPr>
        <w:sectPr>
          <w:pgSz w:w="11900" w:h="16838" w:orient="portrait"/>
          <w:cols w:equalWidth="0" w:num="2">
            <w:col w:w="2660" w:space="220"/>
            <w:col w:w="8140"/>
          </w:cols>
          <w:pgMar w:left="320" w:top="478"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32               </w:t>
      </w:r>
      <w:r>
        <w:rPr>
          <w:sz w:val="1"/>
          <w:szCs w:val="1"/>
          <w:color w:val="auto"/>
        </w:rPr>
        <w:drawing>
          <wp:inline distT="0" distB="0" distL="0" distR="0">
            <wp:extent cx="739140" cy="14414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20"/>
          </w:cols>
          <w:pgMar w:left="320" w:top="478" w:right="5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14439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9755" cy="1443990"/>
                    </a:xfrm>
                    <a:prstGeom prst="rect">
                      <a:avLst/>
                    </a:prstGeom>
                    <a:noFill/>
                  </pic:spPr>
                </pic:pic>
              </a:graphicData>
            </a:graphic>
          </wp:anchor>
        </w:drawing>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21"/>
          <w:szCs w:val="21"/>
          <w:b w:val="1"/>
          <w:bCs w:val="1"/>
          <w:color w:val="FFFFFF"/>
        </w:rPr>
        <w:t>James C. Yardley | INDEPENDENT DIRECTOR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FFFFFF"/>
        </w:rPr>
        <w:t>Retired, Executive Vice President, El Paso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127000</wp:posOffset>
            </wp:positionV>
            <wp:extent cx="5706745" cy="823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06745" cy="823595"/>
                    </a:xfrm>
                    <a:prstGeom prst="rect">
                      <a:avLst/>
                    </a:prstGeom>
                    <a:noFill/>
                  </pic:spPr>
                </pic:pic>
              </a:graphicData>
            </a:graphic>
          </wp:anchor>
        </w:drawing>
      </w:r>
    </w:p>
    <w:p>
      <w:pPr>
        <w:spacing w:after="0" w:line="286" w:lineRule="exact"/>
        <w:rPr>
          <w:sz w:val="20"/>
          <w:szCs w:val="20"/>
          <w:color w:val="auto"/>
        </w:rPr>
      </w:pPr>
    </w:p>
    <w:p>
      <w:pPr>
        <w:ind w:left="340"/>
        <w:spacing w:after="0"/>
        <w:tabs>
          <w:tab w:leader="none" w:pos="3220" w:val="left"/>
        </w:tabs>
        <w:rPr>
          <w:sz w:val="20"/>
          <w:szCs w:val="20"/>
          <w:color w:val="auto"/>
        </w:rPr>
      </w:pPr>
      <w:r>
        <w:rPr>
          <w:rFonts w:ascii="Arial" w:cs="Arial" w:eastAsia="Arial" w:hAnsi="Arial"/>
          <w:sz w:val="16"/>
          <w:szCs w:val="16"/>
          <w:color w:val="auto"/>
        </w:rPr>
        <w:t>Age: 74</w:t>
      </w:r>
      <w:r>
        <w:rPr>
          <w:sz w:val="20"/>
          <w:szCs w:val="20"/>
          <w:color w:val="auto"/>
        </w:rPr>
        <w:tab/>
      </w:r>
      <w:r>
        <w:rPr>
          <w:rFonts w:ascii="Arial" w:cs="Arial" w:eastAsia="Arial" w:hAnsi="Arial"/>
          <w:sz w:val="15"/>
          <w:szCs w:val="15"/>
          <w:b w:val="1"/>
          <w:bCs w:val="1"/>
          <w:color w:val="auto"/>
        </w:rPr>
        <w:t>Board committees:</w:t>
      </w:r>
    </w:p>
    <w:p>
      <w:pPr>
        <w:spacing w:after="0" w:line="43" w:lineRule="exact"/>
        <w:rPr>
          <w:sz w:val="20"/>
          <w:szCs w:val="20"/>
          <w:color w:val="auto"/>
        </w:rPr>
      </w:pPr>
    </w:p>
    <w:p>
      <w:pPr>
        <w:ind w:left="340"/>
        <w:spacing w:after="0"/>
        <w:tabs>
          <w:tab w:leader="none" w:pos="3220" w:val="left"/>
        </w:tabs>
        <w:rPr>
          <w:sz w:val="20"/>
          <w:szCs w:val="20"/>
          <w:color w:val="auto"/>
        </w:rPr>
      </w:pPr>
      <w:r>
        <w:rPr>
          <w:rFonts w:ascii="Arial" w:cs="Arial" w:eastAsia="Arial" w:hAnsi="Arial"/>
          <w:sz w:val="16"/>
          <w:szCs w:val="16"/>
          <w:color w:val="auto"/>
        </w:rPr>
        <w:t xml:space="preserve">Director since: 2013                </w:t>
      </w:r>
      <w:r>
        <w:rPr>
          <w:sz w:val="20"/>
          <w:szCs w:val="20"/>
          <w:color w:val="auto"/>
        </w:rPr>
        <w:tab/>
      </w:r>
      <w:r>
        <w:rPr>
          <w:rFonts w:ascii="Arial" w:cs="Arial" w:eastAsia="Arial" w:hAnsi="Arial"/>
          <w:sz w:val="15"/>
          <w:szCs w:val="15"/>
          <w:color w:val="auto"/>
        </w:rPr>
        <w:t>Corporate Governance | Safety, Sustainability and Technology</w:t>
      </w:r>
    </w:p>
    <w:p>
      <w:pPr>
        <w:spacing w:after="0" w:line="124"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Other public boards:</w:t>
      </w:r>
    </w:p>
    <w:p>
      <w:pPr>
        <w:spacing w:after="0" w:line="43"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155575</wp:posOffset>
            </wp:positionV>
            <wp:extent cx="6929755" cy="13500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135001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005CB9"/>
        </w:rPr>
        <w:t>Contributions</w:t>
      </w:r>
    </w:p>
    <w:p>
      <w:pPr>
        <w:spacing w:after="0" w:line="120" w:lineRule="exact"/>
        <w:rPr>
          <w:sz w:val="20"/>
          <w:szCs w:val="20"/>
          <w:color w:val="auto"/>
        </w:rPr>
      </w:pPr>
    </w:p>
    <w:p>
      <w:pPr>
        <w:ind w:left="340"/>
        <w:spacing w:after="0" w:line="242" w:lineRule="auto"/>
        <w:rPr>
          <w:sz w:val="20"/>
          <w:szCs w:val="20"/>
          <w:color w:val="auto"/>
        </w:rPr>
      </w:pPr>
      <w:r>
        <w:rPr>
          <w:rFonts w:ascii="Arial" w:cs="Arial" w:eastAsia="Arial" w:hAnsi="Arial"/>
          <w:sz w:val="14"/>
          <w:szCs w:val="14"/>
          <w:color w:val="auto"/>
        </w:rPr>
        <w:t>Mr. Yardley has extensive executive and public company board experience in the energy industry, including natural gas and in particular the midstream portion of that industry. This specialized energy industry experience, together with</w:t>
      </w:r>
    </w:p>
    <w:p>
      <w:pPr>
        <w:spacing w:after="0" w:line="1" w:lineRule="exact"/>
        <w:rPr>
          <w:sz w:val="20"/>
          <w:szCs w:val="20"/>
          <w:color w:val="auto"/>
        </w:rPr>
      </w:pPr>
    </w:p>
    <w:p>
      <w:pPr>
        <w:ind w:left="340" w:right="40"/>
        <w:spacing w:after="0" w:line="249" w:lineRule="auto"/>
        <w:rPr>
          <w:sz w:val="20"/>
          <w:szCs w:val="20"/>
          <w:color w:val="auto"/>
        </w:rPr>
      </w:pPr>
      <w:r>
        <w:rPr>
          <w:rFonts w:ascii="Arial" w:cs="Arial" w:eastAsia="Arial" w:hAnsi="Arial"/>
          <w:sz w:val="14"/>
          <w:szCs w:val="14"/>
          <w:color w:val="auto"/>
        </w:rPr>
        <w:t>Mr. Yardley’s executive and public company board experience, make him a valuable member of our board.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005CB9"/>
        </w:rPr>
        <w:t>Experience</w:t>
      </w:r>
    </w:p>
    <w:p>
      <w:pPr>
        <w:spacing w:after="0" w:line="120"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Mr. Yardley was Executive Vice President of El Paso Corporation, a natural gas pipeline company and oil and gas producer, and President of its Pipeline Group from 2006 through 2012. Mr. Yardley was also the President and Chief Executive Officer of El Paso Pipeline GP Company LLC, the general partner of El Paso Pipeline Partners, L.P., a master limited partnership that owned and operated interstate natural gas transportation pipelines, storage and other midstream assets, from 2007 through 2012.</w:t>
      </w:r>
    </w:p>
    <w:p>
      <w:pPr>
        <w:spacing w:after="0" w:line="83"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From 1998 through 2006, he was the President of Southern Natural Gas Company, previously a unit of El Paso Corporation and now a unit held jointly by Kinder Morgan Inc. and The Southern Company.</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Mr. Yardley is a former director of El Paso Pipeline GP Company LLC and Scorpion Offshore Ltd.</w:t>
      </w:r>
    </w:p>
    <w:p>
      <w:pPr>
        <w:spacing w:after="0" w:line="473" w:lineRule="exact"/>
        <w:rPr>
          <w:sz w:val="20"/>
          <w:szCs w:val="20"/>
          <w:color w:val="auto"/>
        </w:rPr>
      </w:pPr>
    </w:p>
    <w:p>
      <w:pPr>
        <w:sectPr>
          <w:pgSz w:w="11900" w:h="16838" w:orient="portrait"/>
          <w:cols w:equalWidth="0" w:num="2">
            <w:col w:w="2720" w:space="160"/>
            <w:col w:w="8200"/>
          </w:cols>
          <w:pgMar w:left="320" w:top="478" w:right="499" w:bottom="1440" w:gutter="0" w:footer="0" w:header="0"/>
          <w:type w:val="continuous"/>
        </w:sectPr>
      </w:pPr>
    </w:p>
    <w:p>
      <w:pPr>
        <w:spacing w:after="0" w:line="95"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Proposal to be Voted on, Board Recommendation and Vote Required</w:t>
      </w:r>
    </w:p>
    <w:p>
      <w:pPr>
        <w:spacing w:after="0" w:line="125" w:lineRule="exact"/>
        <w:rPr>
          <w:sz w:val="20"/>
          <w:szCs w:val="20"/>
          <w:color w:val="auto"/>
        </w:rPr>
      </w:pPr>
    </w:p>
    <w:p>
      <w:pPr>
        <w:ind w:left="160" w:right="20"/>
        <w:spacing w:after="0" w:line="244" w:lineRule="auto"/>
        <w:rPr>
          <w:sz w:val="20"/>
          <w:szCs w:val="20"/>
          <w:color w:val="auto"/>
        </w:rPr>
      </w:pPr>
      <w:r>
        <w:rPr>
          <w:rFonts w:ascii="Arial" w:cs="Arial" w:eastAsia="Arial" w:hAnsi="Arial"/>
          <w:sz w:val="14"/>
          <w:szCs w:val="14"/>
          <w:color w:val="auto"/>
        </w:rPr>
        <w:t>We are asking our shareholders to vote to elect each of the 11 nominees named in this proxy statement as a director of our company. We have not received notice of any additional candidates to be nominated to stand for election as a director at the Annual Shareholders Meeting and the deadline for notice of the nomination of additional candidates has passed. Consequently, the election of directors will be an uncontested election and our bylaw provisions providing for majority voting in uncontested elections will apply. Under these provisions, to be elected as a director, a nominee must receive votes “FOR” his or her election constituting a majority of the shares represented and voting at the Annual Shareholders Meeting, assuming a quorum is present, and the approving majority also must represent more than 25% of our outstanding shares. If a nominee who currently is serving as a director does not receive sufficient “FOR” votes to be re-elected under this standard, the director will cease to be a director not later than 90 days following the certification of the election results, and the resulting vacancy on the board may be filled by the remaining directors. If a nominee receives sufficient “FOR” votes, he or she will be re-elected to serve until our next annual shareholders meeting and until his or her successor has been elected and qualified or until his or her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38010" cy="4584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38010" cy="458470"/>
                    </a:xfrm>
                    <a:prstGeom prst="rect">
                      <a:avLst/>
                    </a:prstGeom>
                    <a:noFill/>
                  </pic:spPr>
                </pic:pic>
              </a:graphicData>
            </a:graphic>
          </wp:anchor>
        </w:drawing>
      </w:r>
    </w:p>
    <w:p>
      <w:pPr>
        <w:spacing w:after="0" w:line="282" w:lineRule="exact"/>
        <w:rPr>
          <w:sz w:val="20"/>
          <w:szCs w:val="20"/>
          <w:color w:val="auto"/>
        </w:rPr>
      </w:pPr>
    </w:p>
    <w:p>
      <w:pPr>
        <w:ind w:left="500" w:right="900"/>
        <w:spacing w:after="0" w:line="279" w:lineRule="auto"/>
        <w:rPr>
          <w:sz w:val="20"/>
          <w:szCs w:val="20"/>
          <w:color w:val="auto"/>
        </w:rPr>
      </w:pPr>
      <w:r>
        <w:rPr>
          <w:rFonts w:ascii="Arial" w:cs="Arial" w:eastAsia="Arial" w:hAnsi="Arial"/>
          <w:sz w:val="21"/>
          <w:szCs w:val="21"/>
          <w:color w:val="001689"/>
        </w:rPr>
        <w:t>The Board of Directors recommends that you vote “FOR” each of the 11 nominees named in this proxy statement for election to the board on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69297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280035</wp:posOffset>
            </wp:positionV>
            <wp:extent cx="739140" cy="144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33</w:t>
      </w:r>
    </w:p>
    <w:p>
      <w:pPr>
        <w:sectPr>
          <w:pgSz w:w="11900" w:h="16838" w:orient="portrait"/>
          <w:cols w:equalWidth="0" w:num="1">
            <w:col w:w="11080"/>
          </w:cols>
          <w:pgMar w:left="320" w:top="478" w:right="4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4584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29755" cy="458470"/>
                    </a:xfrm>
                    <a:prstGeom prst="rect">
                      <a:avLst/>
                    </a:prstGeom>
                    <a:noFill/>
                  </pic:spPr>
                </pic:pic>
              </a:graphicData>
            </a:graphic>
          </wp:anchor>
        </w:drawing>
      </w:r>
    </w:p>
    <w:p>
      <w:pPr>
        <w:spacing w:after="0" w:line="326" w:lineRule="exact"/>
        <w:rPr>
          <w:sz w:val="20"/>
          <w:szCs w:val="20"/>
          <w:color w:val="auto"/>
        </w:rPr>
      </w:pPr>
    </w:p>
    <w:p>
      <w:pPr>
        <w:ind w:left="380"/>
        <w:spacing w:after="0"/>
        <w:rPr>
          <w:sz w:val="20"/>
          <w:szCs w:val="20"/>
          <w:color w:val="auto"/>
        </w:rPr>
      </w:pPr>
      <w:r>
        <w:rPr>
          <w:rFonts w:ascii="Arial" w:cs="Arial" w:eastAsia="Arial" w:hAnsi="Arial"/>
          <w:sz w:val="25"/>
          <w:szCs w:val="25"/>
          <w:color w:val="FFFFFF"/>
        </w:rPr>
        <w:t>Proposal 2: Ratification of Appointment of Independent Registered Public Accounting Firm</w:t>
      </w:r>
    </w:p>
    <w:p>
      <w:pPr>
        <w:spacing w:after="0" w:line="341" w:lineRule="exact"/>
        <w:rPr>
          <w:sz w:val="20"/>
          <w:szCs w:val="20"/>
          <w:color w:val="auto"/>
        </w:rPr>
      </w:pPr>
    </w:p>
    <w:p>
      <w:pPr>
        <w:ind w:left="160" w:right="20"/>
        <w:spacing w:after="0" w:line="249" w:lineRule="auto"/>
        <w:rPr>
          <w:sz w:val="20"/>
          <w:szCs w:val="20"/>
          <w:color w:val="auto"/>
        </w:rPr>
      </w:pPr>
      <w:r>
        <w:rPr>
          <w:rFonts w:ascii="Arial" w:cs="Arial" w:eastAsia="Arial" w:hAnsi="Arial"/>
          <w:sz w:val="14"/>
          <w:szCs w:val="14"/>
          <w:color w:val="auto"/>
        </w:rPr>
        <w:t>The Audit Committee of the Board of Directors has retained Deloitte &amp; Touche LLP as the independent registered public accounting firm to audit our financial statements and the effectiveness of our internal control over financial reporting for 2026. Deloitte &amp; Touche LLP has served as our independent registered public accounting firm continuously since our inception in 1998. Deloitte &amp; Touche LLP or its predecessors also have served as the independent registered public accounting firm of SDG&amp;E and SoCalGas or their parent companies continuously since 1935 and 1937, respectively. Representatives of Deloitte &amp; Touche LLP are expected to attend the Annual Shareholders Meeting, will have the opportunity to make a statement if they desire to do so and are expected to be available to respond to appropriate questions from shareholders.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following table shows fees paid to Deloitte &amp; Touche LLP for services provided to Sempra in 2025 and 2024:</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6980" w:type="dxa"/>
            <w:vAlign w:val="bottom"/>
            <w:shd w:val="clear" w:color="auto" w:fill="005CB9"/>
          </w:tcPr>
          <w:p>
            <w:pPr>
              <w:spacing w:after="0"/>
              <w:rPr>
                <w:sz w:val="21"/>
                <w:szCs w:val="21"/>
                <w:color w:val="auto"/>
              </w:rPr>
            </w:pPr>
          </w:p>
        </w:tc>
        <w:tc>
          <w:tcPr>
            <w:tcW w:w="200" w:type="dxa"/>
            <w:vAlign w:val="bottom"/>
            <w:shd w:val="clear" w:color="auto" w:fill="005CB9"/>
          </w:tcPr>
          <w:p>
            <w:pPr>
              <w:spacing w:after="0"/>
              <w:rPr>
                <w:sz w:val="21"/>
                <w:szCs w:val="21"/>
                <w:color w:val="auto"/>
              </w:rPr>
            </w:pPr>
          </w:p>
        </w:tc>
        <w:tc>
          <w:tcPr>
            <w:tcW w:w="480" w:type="dxa"/>
            <w:vAlign w:val="bottom"/>
            <w:shd w:val="clear" w:color="auto" w:fill="005CB9"/>
          </w:tcPr>
          <w:p>
            <w:pPr>
              <w:spacing w:after="0"/>
              <w:rPr>
                <w:sz w:val="21"/>
                <w:szCs w:val="21"/>
                <w:color w:val="auto"/>
              </w:rPr>
            </w:pPr>
          </w:p>
        </w:tc>
        <w:tc>
          <w:tcPr>
            <w:tcW w:w="880" w:type="dxa"/>
            <w:vAlign w:val="bottom"/>
            <w:shd w:val="clear" w:color="auto" w:fill="005CB9"/>
          </w:tcPr>
          <w:p>
            <w:pPr>
              <w:jc w:val="right"/>
              <w:ind w:right="449"/>
              <w:spacing w:after="0"/>
              <w:rPr>
                <w:sz w:val="20"/>
                <w:szCs w:val="20"/>
                <w:color w:val="auto"/>
              </w:rPr>
            </w:pPr>
            <w:r>
              <w:rPr>
                <w:rFonts w:ascii="Arial" w:cs="Arial" w:eastAsia="Arial" w:hAnsi="Arial"/>
                <w:sz w:val="14"/>
                <w:szCs w:val="14"/>
                <w:b w:val="1"/>
                <w:bCs w:val="1"/>
                <w:color w:val="FFFFFF"/>
              </w:rPr>
              <w:t>2025</w:t>
            </w:r>
          </w:p>
        </w:tc>
        <w:tc>
          <w:tcPr>
            <w:tcW w:w="320" w:type="dxa"/>
            <w:vAlign w:val="bottom"/>
            <w:shd w:val="clear" w:color="auto" w:fill="005CB9"/>
          </w:tcPr>
          <w:p>
            <w:pPr>
              <w:spacing w:after="0"/>
              <w:rPr>
                <w:sz w:val="21"/>
                <w:szCs w:val="21"/>
                <w:color w:val="auto"/>
              </w:rPr>
            </w:pPr>
          </w:p>
        </w:tc>
        <w:tc>
          <w:tcPr>
            <w:tcW w:w="280" w:type="dxa"/>
            <w:vAlign w:val="bottom"/>
            <w:shd w:val="clear" w:color="auto" w:fill="005CB9"/>
          </w:tcPr>
          <w:p>
            <w:pPr>
              <w:spacing w:after="0"/>
              <w:rPr>
                <w:sz w:val="21"/>
                <w:szCs w:val="21"/>
                <w:color w:val="auto"/>
              </w:rPr>
            </w:pPr>
          </w:p>
        </w:tc>
        <w:tc>
          <w:tcPr>
            <w:tcW w:w="500" w:type="dxa"/>
            <w:vAlign w:val="bottom"/>
            <w:shd w:val="clear" w:color="auto" w:fill="005CB9"/>
          </w:tcPr>
          <w:p>
            <w:pPr>
              <w:spacing w:after="0"/>
              <w:rPr>
                <w:sz w:val="21"/>
                <w:szCs w:val="21"/>
                <w:color w:val="auto"/>
              </w:rPr>
            </w:pPr>
          </w:p>
        </w:tc>
        <w:tc>
          <w:tcPr>
            <w:tcW w:w="980" w:type="dxa"/>
            <w:vAlign w:val="bottom"/>
            <w:shd w:val="clear" w:color="auto" w:fill="005CB9"/>
          </w:tcPr>
          <w:p>
            <w:pPr>
              <w:jc w:val="right"/>
              <w:ind w:right="509"/>
              <w:spacing w:after="0"/>
              <w:rPr>
                <w:sz w:val="20"/>
                <w:szCs w:val="20"/>
                <w:color w:val="auto"/>
              </w:rPr>
            </w:pPr>
            <w:r>
              <w:rPr>
                <w:rFonts w:ascii="Arial" w:cs="Arial" w:eastAsia="Arial" w:hAnsi="Arial"/>
                <w:sz w:val="14"/>
                <w:szCs w:val="14"/>
                <w:b w:val="1"/>
                <w:bCs w:val="1"/>
                <w:color w:val="FFFFFF"/>
              </w:rPr>
              <w:t>2024</w:t>
            </w:r>
          </w:p>
        </w:tc>
        <w:tc>
          <w:tcPr>
            <w:tcW w:w="300" w:type="dxa"/>
            <w:vAlign w:val="bottom"/>
            <w:shd w:val="clear" w:color="auto" w:fill="005CB9"/>
          </w:tcPr>
          <w:p>
            <w:pPr>
              <w:spacing w:after="0"/>
              <w:rPr>
                <w:sz w:val="21"/>
                <w:szCs w:val="21"/>
                <w:color w:val="auto"/>
              </w:rPr>
            </w:pPr>
          </w:p>
        </w:tc>
      </w:tr>
      <w:tr>
        <w:trPr>
          <w:trHeight w:val="249"/>
        </w:trPr>
        <w:tc>
          <w:tcPr>
            <w:tcW w:w="698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(Dollars in Thousands)</w:t>
            </w:r>
          </w:p>
        </w:tc>
        <w:tc>
          <w:tcPr>
            <w:tcW w:w="200" w:type="dxa"/>
            <w:vAlign w:val="bottom"/>
            <w:tcBorders>
              <w:bottom w:val="single" w:sz="8" w:color="005CB9"/>
            </w:tcBorders>
            <w:shd w:val="clear" w:color="auto" w:fill="005CB9"/>
          </w:tcPr>
          <w:p>
            <w:pPr>
              <w:spacing w:after="0"/>
              <w:rPr>
                <w:sz w:val="21"/>
                <w:szCs w:val="21"/>
                <w:color w:val="auto"/>
              </w:rPr>
            </w:pPr>
          </w:p>
        </w:tc>
        <w:tc>
          <w:tcPr>
            <w:tcW w:w="480" w:type="dxa"/>
            <w:vAlign w:val="bottom"/>
            <w:tcBorders>
              <w:bottom w:val="single" w:sz="8" w:color="005CB9"/>
            </w:tcBorders>
            <w:shd w:val="clear" w:color="auto" w:fill="005CB9"/>
          </w:tcPr>
          <w:p>
            <w:pPr>
              <w:jc w:val="right"/>
              <w:ind w:right="69"/>
              <w:spacing w:after="0"/>
              <w:rPr>
                <w:sz w:val="20"/>
                <w:szCs w:val="20"/>
                <w:color w:val="auto"/>
              </w:rPr>
            </w:pPr>
            <w:r>
              <w:rPr>
                <w:rFonts w:ascii="Arial" w:cs="Arial" w:eastAsia="Arial" w:hAnsi="Arial"/>
                <w:sz w:val="14"/>
                <w:szCs w:val="14"/>
                <w:b w:val="1"/>
                <w:bCs w:val="1"/>
                <w:color w:val="FFFFFF"/>
              </w:rPr>
              <w:t>Fees</w:t>
            </w:r>
          </w:p>
        </w:tc>
        <w:tc>
          <w:tcPr>
            <w:tcW w:w="1200" w:type="dxa"/>
            <w:vAlign w:val="bottom"/>
            <w:tcBorders>
              <w:bottom w:val="single" w:sz="8" w:color="005CB9"/>
            </w:tcBorders>
            <w:gridSpan w:val="2"/>
            <w:shd w:val="clear" w:color="auto" w:fill="005CB9"/>
          </w:tcPr>
          <w:p>
            <w:pPr>
              <w:jc w:val="right"/>
              <w:ind w:right="169"/>
              <w:spacing w:after="0"/>
              <w:rPr>
                <w:sz w:val="20"/>
                <w:szCs w:val="20"/>
                <w:color w:val="auto"/>
              </w:rPr>
            </w:pPr>
            <w:r>
              <w:rPr>
                <w:rFonts w:ascii="Arial" w:cs="Arial" w:eastAsia="Arial" w:hAnsi="Arial"/>
                <w:sz w:val="14"/>
                <w:szCs w:val="14"/>
                <w:b w:val="1"/>
                <w:bCs w:val="1"/>
                <w:color w:val="FFFFFF"/>
              </w:rPr>
              <w:t>% of Total</w:t>
            </w:r>
          </w:p>
        </w:tc>
        <w:tc>
          <w:tcPr>
            <w:tcW w:w="280" w:type="dxa"/>
            <w:vAlign w:val="bottom"/>
            <w:tcBorders>
              <w:bottom w:val="single" w:sz="8" w:color="005CB9"/>
            </w:tcBorders>
            <w:shd w:val="clear" w:color="auto" w:fill="005CB9"/>
          </w:tcPr>
          <w:p>
            <w:pPr>
              <w:spacing w:after="0"/>
              <w:rPr>
                <w:sz w:val="21"/>
                <w:szCs w:val="21"/>
                <w:color w:val="auto"/>
              </w:rPr>
            </w:pPr>
          </w:p>
        </w:tc>
        <w:tc>
          <w:tcPr>
            <w:tcW w:w="500" w:type="dxa"/>
            <w:vAlign w:val="bottom"/>
            <w:tcBorders>
              <w:bottom w:val="single" w:sz="8" w:color="005CB9"/>
            </w:tcBorders>
            <w:shd w:val="clear" w:color="auto" w:fill="005CB9"/>
          </w:tcPr>
          <w:p>
            <w:pPr>
              <w:jc w:val="right"/>
              <w:ind w:right="89"/>
              <w:spacing w:after="0"/>
              <w:rPr>
                <w:sz w:val="20"/>
                <w:szCs w:val="20"/>
                <w:color w:val="auto"/>
              </w:rPr>
            </w:pPr>
            <w:r>
              <w:rPr>
                <w:rFonts w:ascii="Arial" w:cs="Arial" w:eastAsia="Arial" w:hAnsi="Arial"/>
                <w:sz w:val="14"/>
                <w:szCs w:val="14"/>
                <w:b w:val="1"/>
                <w:bCs w:val="1"/>
                <w:color w:val="FFFFFF"/>
              </w:rPr>
              <w:t>Fees</w:t>
            </w:r>
          </w:p>
        </w:tc>
        <w:tc>
          <w:tcPr>
            <w:tcW w:w="1280" w:type="dxa"/>
            <w:vAlign w:val="bottom"/>
            <w:tcBorders>
              <w:bottom w:val="single" w:sz="8" w:color="005CB9"/>
            </w:tcBorders>
            <w:gridSpan w:val="2"/>
            <w:shd w:val="clear" w:color="auto" w:fill="005CB9"/>
          </w:tcPr>
          <w:p>
            <w:pPr>
              <w:jc w:val="right"/>
              <w:ind w:right="169"/>
              <w:spacing w:after="0"/>
              <w:rPr>
                <w:sz w:val="20"/>
                <w:szCs w:val="20"/>
                <w:color w:val="auto"/>
              </w:rPr>
            </w:pPr>
            <w:r>
              <w:rPr>
                <w:rFonts w:ascii="Arial" w:cs="Arial" w:eastAsia="Arial" w:hAnsi="Arial"/>
                <w:sz w:val="14"/>
                <w:szCs w:val="14"/>
                <w:b w:val="1"/>
                <w:bCs w:val="1"/>
                <w:color w:val="FFFFFF"/>
              </w:rPr>
              <w:t>% of Total</w:t>
            </w:r>
          </w:p>
        </w:tc>
      </w:tr>
      <w:tr>
        <w:trPr>
          <w:trHeight w:val="253"/>
        </w:trPr>
        <w:tc>
          <w:tcPr>
            <w:tcW w:w="6980" w:type="dxa"/>
            <w:vAlign w:val="bottom"/>
          </w:tcPr>
          <w:p>
            <w:pPr>
              <w:ind w:left="80"/>
              <w:spacing w:after="0"/>
              <w:rPr>
                <w:sz w:val="20"/>
                <w:szCs w:val="20"/>
                <w:color w:val="auto"/>
              </w:rPr>
            </w:pPr>
            <w:r>
              <w:rPr>
                <w:rFonts w:ascii="Arial" w:cs="Arial" w:eastAsia="Arial" w:hAnsi="Arial"/>
                <w:sz w:val="14"/>
                <w:szCs w:val="14"/>
                <w:b w:val="1"/>
                <w:bCs w:val="1"/>
                <w:color w:val="auto"/>
              </w:rPr>
              <w:t>Audit fees</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2"/>
        </w:trPr>
        <w:tc>
          <w:tcPr>
            <w:tcW w:w="6980" w:type="dxa"/>
            <w:vAlign w:val="bottom"/>
            <w:tcBorders>
              <w:bottom w:val="single" w:sz="8" w:color="7F7F7F"/>
            </w:tcBorders>
          </w:tcPr>
          <w:p>
            <w:pPr>
              <w:spacing w:after="0"/>
              <w:rPr>
                <w:sz w:val="3"/>
                <w:szCs w:val="3"/>
                <w:color w:val="auto"/>
              </w:rPr>
            </w:pPr>
          </w:p>
        </w:tc>
        <w:tc>
          <w:tcPr>
            <w:tcW w:w="20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880" w:type="dxa"/>
            <w:vAlign w:val="bottom"/>
            <w:tcBorders>
              <w:bottom w:val="single" w:sz="8" w:color="7F7F7F"/>
            </w:tcBorders>
          </w:tcPr>
          <w:p>
            <w:pPr>
              <w:spacing w:after="0"/>
              <w:rPr>
                <w:sz w:val="3"/>
                <w:szCs w:val="3"/>
                <w:color w:val="auto"/>
              </w:rPr>
            </w:pPr>
          </w:p>
        </w:tc>
        <w:tc>
          <w:tcPr>
            <w:tcW w:w="320" w:type="dxa"/>
            <w:vAlign w:val="bottom"/>
            <w:tcBorders>
              <w:bottom w:val="single" w:sz="8" w:color="7F7F7F"/>
            </w:tcBorders>
          </w:tcPr>
          <w:p>
            <w:pPr>
              <w:spacing w:after="0"/>
              <w:rPr>
                <w:sz w:val="3"/>
                <w:szCs w:val="3"/>
                <w:color w:val="auto"/>
              </w:rPr>
            </w:pPr>
          </w:p>
        </w:tc>
        <w:tc>
          <w:tcPr>
            <w:tcW w:w="28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300" w:type="dxa"/>
            <w:vAlign w:val="bottom"/>
            <w:tcBorders>
              <w:bottom w:val="single" w:sz="8" w:color="7F7F7F"/>
            </w:tcBorders>
          </w:tcPr>
          <w:p>
            <w:pPr>
              <w:spacing w:after="0"/>
              <w:rPr>
                <w:sz w:val="3"/>
                <w:szCs w:val="3"/>
                <w:color w:val="auto"/>
              </w:rPr>
            </w:pPr>
          </w:p>
        </w:tc>
      </w:tr>
      <w:tr>
        <w:trPr>
          <w:trHeight w:val="279"/>
        </w:trPr>
        <w:tc>
          <w:tcPr>
            <w:tcW w:w="6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Consolidated financial statements, internal controls audits and subsidiary audits</w:t>
            </w:r>
          </w:p>
        </w:tc>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w w:val="97"/>
              </w:rPr>
              <w:t>13,115</w:t>
            </w:r>
          </w:p>
        </w:tc>
        <w:tc>
          <w:tcPr>
            <w:tcW w:w="880" w:type="dxa"/>
            <w:vAlign w:val="bottom"/>
            <w:tcBorders>
              <w:bottom w:val="single" w:sz="8" w:color="F2F2F2"/>
            </w:tcBorders>
            <w:shd w:val="clear" w:color="auto" w:fill="F2F2F2"/>
          </w:tcPr>
          <w:p>
            <w:pPr>
              <w:spacing w:after="0"/>
              <w:rPr>
                <w:sz w:val="23"/>
                <w:szCs w:val="23"/>
                <w:color w:val="auto"/>
              </w:rPr>
            </w:pPr>
          </w:p>
        </w:tc>
        <w:tc>
          <w:tcPr>
            <w:tcW w:w="320" w:type="dxa"/>
            <w:vAlign w:val="bottom"/>
            <w:tcBorders>
              <w:bottom w:val="single" w:sz="8" w:color="F2F2F2"/>
            </w:tcBorders>
            <w:shd w:val="clear" w:color="auto" w:fill="F2F2F2"/>
          </w:tcPr>
          <w:p>
            <w:pPr>
              <w:spacing w:after="0"/>
              <w:rPr>
                <w:sz w:val="23"/>
                <w:szCs w:val="23"/>
                <w:color w:val="auto"/>
              </w:rPr>
            </w:pPr>
          </w:p>
        </w:tc>
        <w:tc>
          <w:tcPr>
            <w:tcW w:w="2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F2F2F2"/>
            </w:tcBorders>
            <w:shd w:val="clear" w:color="auto" w:fill="F2F2F2"/>
          </w:tcPr>
          <w:p>
            <w:pPr>
              <w:jc w:val="right"/>
              <w:ind w:right="9"/>
              <w:spacing w:after="0"/>
              <w:rPr>
                <w:sz w:val="20"/>
                <w:szCs w:val="20"/>
                <w:color w:val="auto"/>
              </w:rPr>
            </w:pPr>
            <w:r>
              <w:rPr>
                <w:rFonts w:ascii="Arial" w:cs="Arial" w:eastAsia="Arial" w:hAnsi="Arial"/>
                <w:sz w:val="14"/>
                <w:szCs w:val="14"/>
                <w:color w:val="auto"/>
                <w:w w:val="93"/>
              </w:rPr>
              <w:t>11,708</w:t>
            </w:r>
          </w:p>
        </w:tc>
        <w:tc>
          <w:tcPr>
            <w:tcW w:w="980" w:type="dxa"/>
            <w:vAlign w:val="bottom"/>
            <w:tcBorders>
              <w:bottom w:val="single" w:sz="8" w:color="F2F2F2"/>
            </w:tcBorders>
            <w:shd w:val="clear" w:color="auto" w:fill="F2F2F2"/>
          </w:tcPr>
          <w:p>
            <w:pPr>
              <w:spacing w:after="0"/>
              <w:rPr>
                <w:sz w:val="23"/>
                <w:szCs w:val="23"/>
                <w:color w:val="auto"/>
              </w:rPr>
            </w:pPr>
          </w:p>
        </w:tc>
        <w:tc>
          <w:tcPr>
            <w:tcW w:w="300" w:type="dxa"/>
            <w:vAlign w:val="bottom"/>
            <w:tcBorders>
              <w:bottom w:val="single" w:sz="8" w:color="F2F2F2"/>
            </w:tcBorders>
            <w:shd w:val="clear" w:color="auto" w:fill="F2F2F2"/>
          </w:tcPr>
          <w:p>
            <w:pPr>
              <w:spacing w:after="0"/>
              <w:rPr>
                <w:sz w:val="23"/>
                <w:szCs w:val="23"/>
                <w:color w:val="auto"/>
              </w:rPr>
            </w:pPr>
          </w:p>
        </w:tc>
      </w:tr>
      <w:tr>
        <w:trPr>
          <w:trHeight w:val="227"/>
        </w:trPr>
        <w:tc>
          <w:tcPr>
            <w:tcW w:w="698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Regulatory filings and related services</w:t>
            </w:r>
          </w:p>
        </w:tc>
        <w:tc>
          <w:tcPr>
            <w:tcW w:w="2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710</w:t>
            </w:r>
          </w:p>
        </w:tc>
        <w:tc>
          <w:tcPr>
            <w:tcW w:w="880" w:type="dxa"/>
            <w:vAlign w:val="bottom"/>
            <w:tcBorders>
              <w:top w:val="single" w:sz="8" w:color="7F7F7F"/>
            </w:tcBorders>
          </w:tcPr>
          <w:p>
            <w:pPr>
              <w:spacing w:after="0"/>
              <w:rPr>
                <w:sz w:val="19"/>
                <w:szCs w:val="19"/>
                <w:color w:val="auto"/>
              </w:rPr>
            </w:pPr>
          </w:p>
        </w:tc>
        <w:tc>
          <w:tcPr>
            <w:tcW w:w="320" w:type="dxa"/>
            <w:vAlign w:val="bottom"/>
            <w:tcBorders>
              <w:top w:val="single" w:sz="8" w:color="7F7F7F"/>
            </w:tcBorders>
          </w:tcPr>
          <w:p>
            <w:pPr>
              <w:spacing w:after="0"/>
              <w:rPr>
                <w:sz w:val="19"/>
                <w:szCs w:val="19"/>
                <w:color w:val="auto"/>
              </w:rPr>
            </w:pPr>
          </w:p>
        </w:tc>
        <w:tc>
          <w:tcPr>
            <w:tcW w:w="28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798</w:t>
            </w:r>
          </w:p>
        </w:tc>
        <w:tc>
          <w:tcPr>
            <w:tcW w:w="980" w:type="dxa"/>
            <w:vAlign w:val="bottom"/>
            <w:tcBorders>
              <w:top w:val="single" w:sz="8" w:color="7F7F7F"/>
            </w:tcBorders>
          </w:tcPr>
          <w:p>
            <w:pPr>
              <w:spacing w:after="0"/>
              <w:rPr>
                <w:sz w:val="19"/>
                <w:szCs w:val="19"/>
                <w:color w:val="auto"/>
              </w:rPr>
            </w:pPr>
          </w:p>
        </w:tc>
        <w:tc>
          <w:tcPr>
            <w:tcW w:w="300" w:type="dxa"/>
            <w:vAlign w:val="bottom"/>
            <w:tcBorders>
              <w:top w:val="single" w:sz="8" w:color="7F7F7F"/>
            </w:tcBorders>
          </w:tcPr>
          <w:p>
            <w:pPr>
              <w:spacing w:after="0"/>
              <w:rPr>
                <w:sz w:val="19"/>
                <w:szCs w:val="19"/>
                <w:color w:val="auto"/>
              </w:rPr>
            </w:pPr>
          </w:p>
        </w:tc>
      </w:tr>
      <w:tr>
        <w:trPr>
          <w:trHeight w:val="48"/>
        </w:trPr>
        <w:tc>
          <w:tcPr>
            <w:tcW w:w="6980" w:type="dxa"/>
            <w:vAlign w:val="bottom"/>
            <w:tcBorders>
              <w:bottom w:val="single" w:sz="8" w:color="7F7F7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r>
      <w:tr>
        <w:trPr>
          <w:trHeight w:val="279"/>
        </w:trPr>
        <w:tc>
          <w:tcPr>
            <w:tcW w:w="6980" w:type="dxa"/>
            <w:vAlign w:val="bottom"/>
            <w:tcBorders>
              <w:bottom w:val="single" w:sz="8" w:color="F2F2F2"/>
            </w:tcBorders>
            <w:shd w:val="clear" w:color="auto" w:fill="F2F2F2"/>
          </w:tcPr>
          <w:p>
            <w:pPr>
              <w:ind w:left="360"/>
              <w:spacing w:after="0"/>
              <w:rPr>
                <w:sz w:val="20"/>
                <w:szCs w:val="20"/>
                <w:color w:val="auto"/>
              </w:rPr>
            </w:pPr>
            <w:r>
              <w:rPr>
                <w:rFonts w:ascii="Arial" w:cs="Arial" w:eastAsia="Arial" w:hAnsi="Arial"/>
                <w:sz w:val="14"/>
                <w:szCs w:val="14"/>
                <w:b w:val="1"/>
                <w:bCs w:val="1"/>
                <w:color w:val="auto"/>
              </w:rPr>
              <w:t>Total audit fees</w:t>
            </w:r>
          </w:p>
        </w:tc>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w w:val="97"/>
              </w:rPr>
              <w:t>13,825</w:t>
            </w:r>
          </w:p>
        </w:tc>
        <w:tc>
          <w:tcPr>
            <w:tcW w:w="8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82% </w:t>
            </w:r>
          </w:p>
        </w:tc>
        <w:tc>
          <w:tcPr>
            <w:tcW w:w="3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w w:val="97"/>
              </w:rPr>
              <w:t>12,506</w:t>
            </w:r>
          </w:p>
        </w:tc>
        <w:tc>
          <w:tcPr>
            <w:tcW w:w="9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81% </w:t>
            </w:r>
          </w:p>
        </w:tc>
        <w:tc>
          <w:tcPr>
            <w:tcW w:w="30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  </w:t>
            </w:r>
          </w:p>
        </w:tc>
      </w:tr>
      <w:tr>
        <w:trPr>
          <w:trHeight w:val="233"/>
        </w:trPr>
        <w:tc>
          <w:tcPr>
            <w:tcW w:w="6980" w:type="dxa"/>
            <w:vAlign w:val="bottom"/>
            <w:tcBorders>
              <w:top w:val="single" w:sz="8" w:color="7F7F7F"/>
            </w:tcBorders>
          </w:tcPr>
          <w:p>
            <w:pPr>
              <w:ind w:left="80"/>
              <w:spacing w:after="0"/>
              <w:rPr>
                <w:sz w:val="20"/>
                <w:szCs w:val="20"/>
                <w:color w:val="auto"/>
              </w:rPr>
            </w:pPr>
            <w:r>
              <w:rPr>
                <w:rFonts w:ascii="Arial" w:cs="Arial" w:eastAsia="Arial" w:hAnsi="Arial"/>
                <w:sz w:val="14"/>
                <w:szCs w:val="14"/>
                <w:b w:val="1"/>
                <w:bCs w:val="1"/>
                <w:color w:val="auto"/>
              </w:rPr>
              <w:t>Audit-related fees</w:t>
            </w:r>
          </w:p>
        </w:tc>
        <w:tc>
          <w:tcPr>
            <w:tcW w:w="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r>
      <w:tr>
        <w:trPr>
          <w:trHeight w:val="42"/>
        </w:trPr>
        <w:tc>
          <w:tcPr>
            <w:tcW w:w="6980" w:type="dxa"/>
            <w:vAlign w:val="bottom"/>
            <w:tcBorders>
              <w:bottom w:val="single" w:sz="8" w:color="7F7F7F"/>
            </w:tcBorders>
          </w:tcPr>
          <w:p>
            <w:pPr>
              <w:spacing w:after="0"/>
              <w:rPr>
                <w:sz w:val="3"/>
                <w:szCs w:val="3"/>
                <w:color w:val="auto"/>
              </w:rPr>
            </w:pPr>
          </w:p>
        </w:tc>
        <w:tc>
          <w:tcPr>
            <w:tcW w:w="200" w:type="dxa"/>
            <w:vAlign w:val="bottom"/>
            <w:tcBorders>
              <w:bottom w:val="single" w:sz="8" w:color="7F7F7F"/>
            </w:tcBorders>
          </w:tcPr>
          <w:p>
            <w:pPr>
              <w:spacing w:after="0"/>
              <w:rPr>
                <w:sz w:val="3"/>
                <w:szCs w:val="3"/>
                <w:color w:val="auto"/>
              </w:rPr>
            </w:pPr>
          </w:p>
        </w:tc>
        <w:tc>
          <w:tcPr>
            <w:tcW w:w="480" w:type="dxa"/>
            <w:vAlign w:val="bottom"/>
            <w:tcBorders>
              <w:bottom w:val="single" w:sz="8" w:color="7F7F7F"/>
            </w:tcBorders>
          </w:tcPr>
          <w:p>
            <w:pPr>
              <w:spacing w:after="0"/>
              <w:rPr>
                <w:sz w:val="3"/>
                <w:szCs w:val="3"/>
                <w:color w:val="auto"/>
              </w:rPr>
            </w:pPr>
          </w:p>
        </w:tc>
        <w:tc>
          <w:tcPr>
            <w:tcW w:w="880" w:type="dxa"/>
            <w:vAlign w:val="bottom"/>
            <w:tcBorders>
              <w:bottom w:val="single" w:sz="8" w:color="7F7F7F"/>
            </w:tcBorders>
          </w:tcPr>
          <w:p>
            <w:pPr>
              <w:spacing w:after="0"/>
              <w:rPr>
                <w:sz w:val="3"/>
                <w:szCs w:val="3"/>
                <w:color w:val="auto"/>
              </w:rPr>
            </w:pPr>
          </w:p>
        </w:tc>
        <w:tc>
          <w:tcPr>
            <w:tcW w:w="320" w:type="dxa"/>
            <w:vAlign w:val="bottom"/>
            <w:tcBorders>
              <w:bottom w:val="single" w:sz="8" w:color="7F7F7F"/>
            </w:tcBorders>
          </w:tcPr>
          <w:p>
            <w:pPr>
              <w:spacing w:after="0"/>
              <w:rPr>
                <w:sz w:val="3"/>
                <w:szCs w:val="3"/>
                <w:color w:val="auto"/>
              </w:rPr>
            </w:pPr>
          </w:p>
        </w:tc>
        <w:tc>
          <w:tcPr>
            <w:tcW w:w="280" w:type="dxa"/>
            <w:vAlign w:val="bottom"/>
            <w:tcBorders>
              <w:bottom w:val="single" w:sz="8" w:color="7F7F7F"/>
            </w:tcBorders>
          </w:tcPr>
          <w:p>
            <w:pPr>
              <w:spacing w:after="0"/>
              <w:rPr>
                <w:sz w:val="3"/>
                <w:szCs w:val="3"/>
                <w:color w:val="auto"/>
              </w:rPr>
            </w:pPr>
          </w:p>
        </w:tc>
        <w:tc>
          <w:tcPr>
            <w:tcW w:w="500" w:type="dxa"/>
            <w:vAlign w:val="bottom"/>
            <w:tcBorders>
              <w:bottom w:val="single" w:sz="8" w:color="7F7F7F"/>
            </w:tcBorders>
          </w:tcPr>
          <w:p>
            <w:pPr>
              <w:spacing w:after="0"/>
              <w:rPr>
                <w:sz w:val="3"/>
                <w:szCs w:val="3"/>
                <w:color w:val="auto"/>
              </w:rPr>
            </w:pPr>
          </w:p>
        </w:tc>
        <w:tc>
          <w:tcPr>
            <w:tcW w:w="980" w:type="dxa"/>
            <w:vAlign w:val="bottom"/>
            <w:tcBorders>
              <w:bottom w:val="single" w:sz="8" w:color="7F7F7F"/>
            </w:tcBorders>
          </w:tcPr>
          <w:p>
            <w:pPr>
              <w:spacing w:after="0"/>
              <w:rPr>
                <w:sz w:val="3"/>
                <w:szCs w:val="3"/>
                <w:color w:val="auto"/>
              </w:rPr>
            </w:pPr>
          </w:p>
        </w:tc>
        <w:tc>
          <w:tcPr>
            <w:tcW w:w="300" w:type="dxa"/>
            <w:vAlign w:val="bottom"/>
            <w:tcBorders>
              <w:bottom w:val="single" w:sz="8" w:color="7F7F7F"/>
            </w:tcBorders>
          </w:tcPr>
          <w:p>
            <w:pPr>
              <w:spacing w:after="0"/>
              <w:rPr>
                <w:sz w:val="3"/>
                <w:szCs w:val="3"/>
                <w:color w:val="auto"/>
              </w:rPr>
            </w:pPr>
          </w:p>
        </w:tc>
      </w:tr>
      <w:tr>
        <w:trPr>
          <w:trHeight w:val="279"/>
        </w:trPr>
        <w:tc>
          <w:tcPr>
            <w:tcW w:w="69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Employee benefit plan audits</w:t>
            </w:r>
          </w:p>
        </w:tc>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582</w:t>
            </w:r>
          </w:p>
        </w:tc>
        <w:tc>
          <w:tcPr>
            <w:tcW w:w="880" w:type="dxa"/>
            <w:vAlign w:val="bottom"/>
            <w:tcBorders>
              <w:bottom w:val="single" w:sz="8" w:color="F2F2F2"/>
            </w:tcBorders>
            <w:shd w:val="clear" w:color="auto" w:fill="F2F2F2"/>
          </w:tcPr>
          <w:p>
            <w:pPr>
              <w:spacing w:after="0"/>
              <w:rPr>
                <w:sz w:val="23"/>
                <w:szCs w:val="23"/>
                <w:color w:val="auto"/>
              </w:rPr>
            </w:pPr>
          </w:p>
        </w:tc>
        <w:tc>
          <w:tcPr>
            <w:tcW w:w="320" w:type="dxa"/>
            <w:vAlign w:val="bottom"/>
            <w:tcBorders>
              <w:bottom w:val="single" w:sz="8" w:color="F2F2F2"/>
            </w:tcBorders>
            <w:shd w:val="clear" w:color="auto" w:fill="F2F2F2"/>
          </w:tcPr>
          <w:p>
            <w:pPr>
              <w:spacing w:after="0"/>
              <w:rPr>
                <w:sz w:val="23"/>
                <w:szCs w:val="23"/>
                <w:color w:val="auto"/>
              </w:rPr>
            </w:pPr>
          </w:p>
        </w:tc>
        <w:tc>
          <w:tcPr>
            <w:tcW w:w="2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565</w:t>
            </w:r>
          </w:p>
        </w:tc>
        <w:tc>
          <w:tcPr>
            <w:tcW w:w="980" w:type="dxa"/>
            <w:vAlign w:val="bottom"/>
            <w:tcBorders>
              <w:bottom w:val="single" w:sz="8" w:color="F2F2F2"/>
            </w:tcBorders>
            <w:shd w:val="clear" w:color="auto" w:fill="F2F2F2"/>
          </w:tcPr>
          <w:p>
            <w:pPr>
              <w:spacing w:after="0"/>
              <w:rPr>
                <w:sz w:val="23"/>
                <w:szCs w:val="23"/>
                <w:color w:val="auto"/>
              </w:rPr>
            </w:pPr>
          </w:p>
        </w:tc>
        <w:tc>
          <w:tcPr>
            <w:tcW w:w="300" w:type="dxa"/>
            <w:vAlign w:val="bottom"/>
            <w:tcBorders>
              <w:bottom w:val="single" w:sz="8" w:color="F2F2F2"/>
            </w:tcBorders>
            <w:shd w:val="clear" w:color="auto" w:fill="F2F2F2"/>
          </w:tcPr>
          <w:p>
            <w:pPr>
              <w:spacing w:after="0"/>
              <w:rPr>
                <w:sz w:val="23"/>
                <w:szCs w:val="23"/>
                <w:color w:val="auto"/>
              </w:rPr>
            </w:pPr>
          </w:p>
        </w:tc>
      </w:tr>
      <w:tr>
        <w:trPr>
          <w:trHeight w:val="274"/>
        </w:trPr>
        <w:tc>
          <w:tcPr>
            <w:tcW w:w="6980" w:type="dxa"/>
            <w:vAlign w:val="bottom"/>
            <w:tcBorders>
              <w:top w:val="single" w:sz="8" w:color="7F7F7F"/>
              <w:bottom w:val="single" w:sz="8" w:color="7F7F7F"/>
            </w:tcBorders>
          </w:tcPr>
          <w:p>
            <w:pPr>
              <w:ind w:left="220"/>
              <w:spacing w:after="0"/>
              <w:rPr>
                <w:sz w:val="20"/>
                <w:szCs w:val="20"/>
                <w:color w:val="auto"/>
              </w:rPr>
            </w:pPr>
            <w:r>
              <w:rPr>
                <w:rFonts w:ascii="Arial" w:cs="Arial" w:eastAsia="Arial" w:hAnsi="Arial"/>
                <w:sz w:val="14"/>
                <w:szCs w:val="14"/>
                <w:color w:val="auto"/>
              </w:rPr>
              <w:t>Other audit-related services</w:t>
            </w:r>
            <w:r>
              <w:rPr>
                <w:rFonts w:ascii="Arial" w:cs="Arial" w:eastAsia="Arial" w:hAnsi="Arial"/>
                <w:sz w:val="21"/>
                <w:szCs w:val="21"/>
                <w:color w:val="auto"/>
                <w:vertAlign w:val="superscript"/>
              </w:rPr>
              <w:t>(A)</w:t>
            </w:r>
          </w:p>
        </w:tc>
        <w:tc>
          <w:tcPr>
            <w:tcW w:w="20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4"/>
                <w:szCs w:val="14"/>
                <w:color w:val="auto"/>
              </w:rPr>
              <w:t>1,878</w:t>
            </w:r>
          </w:p>
        </w:tc>
        <w:tc>
          <w:tcPr>
            <w:tcW w:w="880" w:type="dxa"/>
            <w:vAlign w:val="bottom"/>
            <w:tcBorders>
              <w:top w:val="single" w:sz="8" w:color="7F7F7F"/>
              <w:bottom w:val="single" w:sz="8" w:color="auto"/>
            </w:tcBorders>
          </w:tcPr>
          <w:p>
            <w:pPr>
              <w:spacing w:after="0"/>
              <w:rPr>
                <w:sz w:val="23"/>
                <w:szCs w:val="23"/>
                <w:color w:val="auto"/>
              </w:rPr>
            </w:pPr>
          </w:p>
        </w:tc>
        <w:tc>
          <w:tcPr>
            <w:tcW w:w="320" w:type="dxa"/>
            <w:vAlign w:val="bottom"/>
            <w:tcBorders>
              <w:top w:val="single" w:sz="8" w:color="7F7F7F"/>
              <w:bottom w:val="single" w:sz="8" w:color="auto"/>
            </w:tcBorders>
          </w:tcPr>
          <w:p>
            <w:pPr>
              <w:spacing w:after="0"/>
              <w:rPr>
                <w:sz w:val="23"/>
                <w:szCs w:val="23"/>
                <w:color w:val="auto"/>
              </w:rPr>
            </w:pPr>
          </w:p>
        </w:tc>
        <w:tc>
          <w:tcPr>
            <w:tcW w:w="28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4"/>
                <w:szCs w:val="14"/>
                <w:color w:val="auto"/>
              </w:rPr>
              <w:t>2,101</w:t>
            </w:r>
          </w:p>
        </w:tc>
        <w:tc>
          <w:tcPr>
            <w:tcW w:w="980" w:type="dxa"/>
            <w:vAlign w:val="bottom"/>
            <w:tcBorders>
              <w:top w:val="single" w:sz="8" w:color="7F7F7F"/>
              <w:bottom w:val="single" w:sz="8" w:color="auto"/>
            </w:tcBorders>
          </w:tcPr>
          <w:p>
            <w:pPr>
              <w:spacing w:after="0"/>
              <w:rPr>
                <w:sz w:val="23"/>
                <w:szCs w:val="23"/>
                <w:color w:val="auto"/>
              </w:rPr>
            </w:pPr>
          </w:p>
        </w:tc>
        <w:tc>
          <w:tcPr>
            <w:tcW w:w="300" w:type="dxa"/>
            <w:vAlign w:val="bottom"/>
            <w:tcBorders>
              <w:top w:val="single" w:sz="8" w:color="7F7F7F"/>
              <w:bottom w:val="single" w:sz="8" w:color="auto"/>
            </w:tcBorders>
          </w:tcPr>
          <w:p>
            <w:pPr>
              <w:spacing w:after="0"/>
              <w:rPr>
                <w:sz w:val="23"/>
                <w:szCs w:val="23"/>
                <w:color w:val="auto"/>
              </w:rPr>
            </w:pPr>
          </w:p>
        </w:tc>
      </w:tr>
      <w:tr>
        <w:trPr>
          <w:trHeight w:val="279"/>
        </w:trPr>
        <w:tc>
          <w:tcPr>
            <w:tcW w:w="6980" w:type="dxa"/>
            <w:vAlign w:val="bottom"/>
            <w:tcBorders>
              <w:bottom w:val="single" w:sz="8" w:color="F2F2F2"/>
            </w:tcBorders>
            <w:shd w:val="clear" w:color="auto" w:fill="F2F2F2"/>
          </w:tcPr>
          <w:p>
            <w:pPr>
              <w:ind w:left="360"/>
              <w:spacing w:after="0"/>
              <w:rPr>
                <w:sz w:val="20"/>
                <w:szCs w:val="20"/>
                <w:color w:val="auto"/>
              </w:rPr>
            </w:pPr>
            <w:r>
              <w:rPr>
                <w:rFonts w:ascii="Arial" w:cs="Arial" w:eastAsia="Arial" w:hAnsi="Arial"/>
                <w:sz w:val="14"/>
                <w:szCs w:val="14"/>
                <w:b w:val="1"/>
                <w:bCs w:val="1"/>
                <w:color w:val="auto"/>
              </w:rPr>
              <w:t>Total audit-related fees</w:t>
            </w:r>
          </w:p>
        </w:tc>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2,460</w:t>
            </w:r>
          </w:p>
        </w:tc>
        <w:tc>
          <w:tcPr>
            <w:tcW w:w="8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15% </w:t>
            </w:r>
          </w:p>
        </w:tc>
        <w:tc>
          <w:tcPr>
            <w:tcW w:w="3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2,666</w:t>
            </w:r>
          </w:p>
        </w:tc>
        <w:tc>
          <w:tcPr>
            <w:tcW w:w="9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17% </w:t>
            </w:r>
          </w:p>
        </w:tc>
        <w:tc>
          <w:tcPr>
            <w:tcW w:w="30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  </w:t>
            </w:r>
          </w:p>
        </w:tc>
      </w:tr>
      <w:tr>
        <w:trPr>
          <w:trHeight w:val="274"/>
        </w:trPr>
        <w:tc>
          <w:tcPr>
            <w:tcW w:w="698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b w:val="1"/>
                <w:bCs w:val="1"/>
                <w:color w:val="auto"/>
              </w:rPr>
              <w:t>Tax fees</w:t>
            </w:r>
            <w:r>
              <w:rPr>
                <w:rFonts w:ascii="Arial" w:cs="Arial" w:eastAsia="Arial" w:hAnsi="Arial"/>
                <w:sz w:val="21"/>
                <w:szCs w:val="21"/>
                <w:color w:val="auto"/>
                <w:vertAlign w:val="superscript"/>
              </w:rPr>
              <w:t>(B)</w:t>
            </w:r>
          </w:p>
        </w:tc>
        <w:tc>
          <w:tcPr>
            <w:tcW w:w="20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4"/>
                <w:szCs w:val="14"/>
                <w:color w:val="auto"/>
              </w:rPr>
              <w:t>499</w:t>
            </w:r>
          </w:p>
        </w:tc>
        <w:tc>
          <w:tcPr>
            <w:tcW w:w="88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4"/>
                <w:szCs w:val="14"/>
                <w:color w:val="auto"/>
              </w:rPr>
              <w:t>3% </w:t>
            </w:r>
          </w:p>
        </w:tc>
        <w:tc>
          <w:tcPr>
            <w:tcW w:w="320" w:type="dxa"/>
            <w:vAlign w:val="bottom"/>
            <w:tcBorders>
              <w:top w:val="single" w:sz="8" w:color="auto"/>
              <w:bottom w:val="single" w:sz="8" w:color="7F7F7F"/>
            </w:tcBorders>
          </w:tcPr>
          <w:p>
            <w:pPr>
              <w:jc w:val="right"/>
              <w:ind w:right="129"/>
              <w:spacing w:after="0"/>
              <w:rPr>
                <w:sz w:val="20"/>
                <w:szCs w:val="20"/>
                <w:color w:val="auto"/>
              </w:rPr>
            </w:pPr>
            <w:r>
              <w:rPr>
                <w:rFonts w:ascii="Arial" w:cs="Arial" w:eastAsia="Arial" w:hAnsi="Arial"/>
                <w:sz w:val="14"/>
                <w:szCs w:val="14"/>
                <w:color w:val="auto"/>
              </w:rPr>
              <w:t>  </w:t>
            </w:r>
          </w:p>
        </w:tc>
        <w:tc>
          <w:tcPr>
            <w:tcW w:w="28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4"/>
                <w:szCs w:val="14"/>
                <w:color w:val="auto"/>
              </w:rPr>
              <w:t>299</w:t>
            </w:r>
          </w:p>
        </w:tc>
        <w:tc>
          <w:tcPr>
            <w:tcW w:w="980" w:type="dxa"/>
            <w:vAlign w:val="bottom"/>
            <w:tcBorders>
              <w:top w:val="single" w:sz="8" w:color="auto"/>
              <w:bottom w:val="single" w:sz="8" w:color="7F7F7F"/>
            </w:tcBorders>
          </w:tcPr>
          <w:p>
            <w:pPr>
              <w:jc w:val="right"/>
              <w:spacing w:after="0"/>
              <w:rPr>
                <w:sz w:val="20"/>
                <w:szCs w:val="20"/>
                <w:color w:val="auto"/>
              </w:rPr>
            </w:pPr>
            <w:r>
              <w:rPr>
                <w:rFonts w:ascii="Arial" w:cs="Arial" w:eastAsia="Arial" w:hAnsi="Arial"/>
                <w:sz w:val="14"/>
                <w:szCs w:val="14"/>
                <w:color w:val="auto"/>
              </w:rPr>
              <w:t>2% </w:t>
            </w:r>
          </w:p>
        </w:tc>
        <w:tc>
          <w:tcPr>
            <w:tcW w:w="300" w:type="dxa"/>
            <w:vAlign w:val="bottom"/>
            <w:tcBorders>
              <w:top w:val="single" w:sz="8" w:color="auto"/>
              <w:bottom w:val="single" w:sz="8" w:color="7F7F7F"/>
            </w:tcBorders>
          </w:tcPr>
          <w:p>
            <w:pPr>
              <w:jc w:val="right"/>
              <w:ind w:right="109"/>
              <w:spacing w:after="0"/>
              <w:rPr>
                <w:sz w:val="20"/>
                <w:szCs w:val="20"/>
                <w:color w:val="auto"/>
              </w:rPr>
            </w:pPr>
            <w:r>
              <w:rPr>
                <w:rFonts w:ascii="Arial" w:cs="Arial" w:eastAsia="Arial" w:hAnsi="Arial"/>
                <w:sz w:val="14"/>
                <w:szCs w:val="14"/>
                <w:color w:val="auto"/>
              </w:rPr>
              <w:t>  </w:t>
            </w:r>
          </w:p>
        </w:tc>
      </w:tr>
      <w:tr>
        <w:trPr>
          <w:trHeight w:val="274"/>
        </w:trPr>
        <w:tc>
          <w:tcPr>
            <w:tcW w:w="698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All other fees</w:t>
            </w:r>
            <w:r>
              <w:rPr>
                <w:rFonts w:ascii="Arial" w:cs="Arial" w:eastAsia="Arial" w:hAnsi="Arial"/>
                <w:sz w:val="21"/>
                <w:szCs w:val="21"/>
                <w:color w:val="auto"/>
                <w:vertAlign w:val="superscript"/>
              </w:rPr>
              <w:t>(C)</w:t>
            </w:r>
          </w:p>
        </w:tc>
        <w:tc>
          <w:tcPr>
            <w:tcW w:w="20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74</w:t>
            </w:r>
          </w:p>
        </w:tc>
        <w:tc>
          <w:tcPr>
            <w:tcW w:w="1200" w:type="dxa"/>
            <w:vAlign w:val="bottom"/>
            <w:tcBorders>
              <w:bottom w:val="single" w:sz="8" w:color="auto"/>
            </w:tcBorders>
            <w:gridSpan w:val="2"/>
            <w:shd w:val="clear" w:color="auto" w:fill="F2F2F2"/>
          </w:tcPr>
          <w:p>
            <w:pPr>
              <w:jc w:val="right"/>
              <w:ind w:right="129"/>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auto"/>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F2F2F2"/>
          </w:tcPr>
          <w:p>
            <w:pPr>
              <w:jc w:val="right"/>
              <w:ind w:right="9"/>
              <w:spacing w:after="0"/>
              <w:rPr>
                <w:sz w:val="20"/>
                <w:szCs w:val="20"/>
                <w:color w:val="auto"/>
              </w:rPr>
            </w:pPr>
            <w:r>
              <w:rPr>
                <w:rFonts w:ascii="Arial" w:cs="Arial" w:eastAsia="Arial" w:hAnsi="Arial"/>
                <w:sz w:val="14"/>
                <w:szCs w:val="14"/>
                <w:color w:val="auto"/>
              </w:rPr>
              <w:t>40</w:t>
            </w:r>
          </w:p>
        </w:tc>
        <w:tc>
          <w:tcPr>
            <w:tcW w:w="1280" w:type="dxa"/>
            <w:vAlign w:val="bottom"/>
            <w:tcBorders>
              <w:bottom w:val="single" w:sz="8" w:color="auto"/>
            </w:tcBorders>
            <w:gridSpan w:val="2"/>
            <w:shd w:val="clear" w:color="auto" w:fill="F2F2F2"/>
          </w:tcPr>
          <w:p>
            <w:pPr>
              <w:jc w:val="right"/>
              <w:ind w:right="109"/>
              <w:spacing w:after="0"/>
              <w:rPr>
                <w:sz w:val="20"/>
                <w:szCs w:val="20"/>
                <w:color w:val="auto"/>
              </w:rPr>
            </w:pPr>
            <w:r>
              <w:rPr>
                <w:rFonts w:ascii="Arial" w:cs="Arial" w:eastAsia="Arial" w:hAnsi="Arial"/>
                <w:sz w:val="14"/>
                <w:szCs w:val="14"/>
                <w:color w:val="auto"/>
              </w:rPr>
              <w:t>—        </w:t>
            </w:r>
          </w:p>
        </w:tc>
      </w:tr>
      <w:tr>
        <w:trPr>
          <w:trHeight w:val="233"/>
        </w:trPr>
        <w:tc>
          <w:tcPr>
            <w:tcW w:w="6980" w:type="dxa"/>
            <w:vAlign w:val="bottom"/>
          </w:tcPr>
          <w:p>
            <w:pPr>
              <w:ind w:left="360"/>
              <w:spacing w:after="0"/>
              <w:rPr>
                <w:sz w:val="20"/>
                <w:szCs w:val="20"/>
                <w:color w:val="auto"/>
              </w:rPr>
            </w:pPr>
            <w:r>
              <w:rPr>
                <w:rFonts w:ascii="Arial" w:cs="Arial" w:eastAsia="Arial" w:hAnsi="Arial"/>
                <w:sz w:val="14"/>
                <w:szCs w:val="14"/>
                <w:b w:val="1"/>
                <w:bCs w:val="1"/>
                <w:color w:val="auto"/>
              </w:rPr>
              <w:t>Total fees</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16,858</w:t>
            </w:r>
          </w:p>
        </w:tc>
        <w:tc>
          <w:tcPr>
            <w:tcW w:w="880" w:type="dxa"/>
            <w:vAlign w:val="bottom"/>
          </w:tcPr>
          <w:p>
            <w:pPr>
              <w:jc w:val="right"/>
              <w:spacing w:after="0"/>
              <w:rPr>
                <w:sz w:val="20"/>
                <w:szCs w:val="20"/>
                <w:color w:val="auto"/>
              </w:rPr>
            </w:pPr>
            <w:r>
              <w:rPr>
                <w:rFonts w:ascii="Arial" w:cs="Arial" w:eastAsia="Arial" w:hAnsi="Arial"/>
                <w:sz w:val="14"/>
                <w:szCs w:val="14"/>
                <w:color w:val="auto"/>
              </w:rPr>
              <w:t>100% </w:t>
            </w:r>
          </w:p>
        </w:tc>
        <w:tc>
          <w:tcPr>
            <w:tcW w:w="320" w:type="dxa"/>
            <w:vAlign w:val="bottom"/>
          </w:tcPr>
          <w:p>
            <w:pPr>
              <w:jc w:val="right"/>
              <w:ind w:right="129"/>
              <w:spacing w:after="0"/>
              <w:rPr>
                <w:sz w:val="20"/>
                <w:szCs w:val="20"/>
                <w:color w:val="auto"/>
              </w:rPr>
            </w:pPr>
            <w:r>
              <w:rPr>
                <w:rFonts w:ascii="Arial" w:cs="Arial" w:eastAsia="Arial" w:hAnsi="Arial"/>
                <w:sz w:val="14"/>
                <w:szCs w:val="14"/>
                <w:color w:val="auto"/>
              </w:rPr>
              <w:t>  </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9"/>
              <w:spacing w:after="0"/>
              <w:rPr>
                <w:sz w:val="20"/>
                <w:szCs w:val="20"/>
                <w:color w:val="auto"/>
              </w:rPr>
            </w:pPr>
            <w:r>
              <w:rPr>
                <w:rFonts w:ascii="Arial" w:cs="Arial" w:eastAsia="Arial" w:hAnsi="Arial"/>
                <w:sz w:val="14"/>
                <w:szCs w:val="14"/>
                <w:color w:val="auto"/>
                <w:w w:val="93"/>
              </w:rPr>
              <w:t>15,511</w:t>
            </w:r>
          </w:p>
        </w:tc>
        <w:tc>
          <w:tcPr>
            <w:tcW w:w="980" w:type="dxa"/>
            <w:vAlign w:val="bottom"/>
          </w:tcPr>
          <w:p>
            <w:pPr>
              <w:jc w:val="right"/>
              <w:spacing w:after="0"/>
              <w:rPr>
                <w:sz w:val="20"/>
                <w:szCs w:val="20"/>
                <w:color w:val="auto"/>
              </w:rPr>
            </w:pPr>
            <w:r>
              <w:rPr>
                <w:rFonts w:ascii="Arial" w:cs="Arial" w:eastAsia="Arial" w:hAnsi="Arial"/>
                <w:sz w:val="14"/>
                <w:szCs w:val="14"/>
                <w:color w:val="auto"/>
              </w:rPr>
              <w:t>100% </w:t>
            </w:r>
          </w:p>
        </w:tc>
        <w:tc>
          <w:tcPr>
            <w:tcW w:w="300" w:type="dxa"/>
            <w:vAlign w:val="bottom"/>
          </w:tcPr>
          <w:p>
            <w:pPr>
              <w:jc w:val="right"/>
              <w:ind w:right="109"/>
              <w:spacing w:after="0"/>
              <w:rPr>
                <w:sz w:val="20"/>
                <w:szCs w:val="20"/>
                <w:color w:val="auto"/>
              </w:rPr>
            </w:pPr>
            <w:r>
              <w:rPr>
                <w:rFonts w:ascii="Arial" w:cs="Arial" w:eastAsia="Arial" w:hAnsi="Arial"/>
                <w:sz w:val="14"/>
                <w:szCs w:val="14"/>
                <w:color w:val="auto"/>
              </w:rPr>
              <w:t>  </w:t>
            </w:r>
          </w:p>
        </w:tc>
      </w:tr>
      <w:tr>
        <w:trPr>
          <w:trHeight w:val="42"/>
        </w:trPr>
        <w:tc>
          <w:tcPr>
            <w:tcW w:w="6980" w:type="dxa"/>
            <w:vAlign w:val="bottom"/>
            <w:tcBorders>
              <w:bottom w:val="single" w:sz="8" w:color="7F7F7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-2266950</wp:posOffset>
            </wp:positionV>
            <wp:extent cx="24288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42" w:lineRule="exact"/>
        <w:rPr>
          <w:sz w:val="20"/>
          <w:szCs w:val="20"/>
          <w:color w:val="auto"/>
        </w:rPr>
      </w:pPr>
    </w:p>
    <w:p>
      <w:pPr>
        <w:ind w:left="480" w:hanging="313"/>
        <w:spacing w:after="0"/>
        <w:tabs>
          <w:tab w:leader="none" w:pos="4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Other audit-related services primarily relate to statutory audits and agreed-upon procedures.</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Tax fees relate to tax consulting and compliance services.</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All other fees relate to training and conferences.</w:t>
      </w:r>
    </w:p>
    <w:p>
      <w:pPr>
        <w:spacing w:after="0" w:line="111" w:lineRule="exact"/>
        <w:rPr>
          <w:sz w:val="20"/>
          <w:szCs w:val="20"/>
          <w:color w:val="auto"/>
        </w:rPr>
      </w:pPr>
    </w:p>
    <w:p>
      <w:pPr>
        <w:ind w:left="160" w:right="60"/>
        <w:spacing w:after="0" w:line="245" w:lineRule="auto"/>
        <w:rPr>
          <w:sz w:val="20"/>
          <w:szCs w:val="20"/>
          <w:color w:val="auto"/>
        </w:rPr>
      </w:pPr>
      <w:r>
        <w:rPr>
          <w:rFonts w:ascii="Arial" w:cs="Arial" w:eastAsia="Arial" w:hAnsi="Arial"/>
          <w:sz w:val="14"/>
          <w:szCs w:val="14"/>
          <w:color w:val="auto"/>
        </w:rPr>
        <w:t>The Audit Committee is directly responsible for the appointment, compensation, retention and oversight, including the oversight of the audit fee negotiations, of our independent registered public accounting firm. Except where pre-approval is not required by SEC rules, the committee pre-approves all audit, audit-related and permissible non-audit services provided by Deloitte &amp; Touche LLP for Sempra and its subsidiaries, including all services provided by Deloitte &amp; Touche LLP for Sempra in 2025 and 2024. The committee’s pre-approval policies and procedures provide for the general pre-approval of specific types of services and give detailed guidance to management as to the services that are eligible for general pre-approval, and they require specific pre-approval of all other permitted services. For both types of pre-approval, the committee considers whether the services to be provided are consistent with maintaining the firm’s independence. The committee’s policies and procedures also delegate authority to the Chair of the committee to address any requests for pre-approval of services between committee meetings, with any pre-approval decisions to be reported to the committee at its next scheduled meeting.</w:t>
      </w:r>
    </w:p>
    <w:p>
      <w:pPr>
        <w:spacing w:after="0" w:line="76" w:lineRule="exact"/>
        <w:rPr>
          <w:sz w:val="20"/>
          <w:szCs w:val="20"/>
          <w:color w:val="auto"/>
        </w:rPr>
      </w:pPr>
    </w:p>
    <w:p>
      <w:pPr>
        <w:ind w:left="160" w:right="20"/>
        <w:spacing w:after="0" w:line="243" w:lineRule="auto"/>
        <w:rPr>
          <w:sz w:val="20"/>
          <w:szCs w:val="20"/>
          <w:color w:val="auto"/>
        </w:rPr>
      </w:pPr>
      <w:r>
        <w:rPr>
          <w:rFonts w:ascii="Arial" w:cs="Arial" w:eastAsia="Arial" w:hAnsi="Arial"/>
          <w:sz w:val="14"/>
          <w:szCs w:val="14"/>
          <w:color w:val="auto"/>
        </w:rPr>
        <w:t>The Audit Committee regularly meets in executive session with only committee members present and with Deloitte &amp; Touche LLP’s lead audit partner present, in each case without members of management present. This provides an opportunity for the Audit Committee to assess Deloitte &amp; Touche LLP’s effectiveness and independence for determining reappointment as well as consideration of other audit firms. The Audit Committee considers various factors in determining whether to reappoint Deloitte &amp; Touche LLP, including the firm’s level and quality of service and professional integrity and objectivity in executing audits; professional qualifications; understanding of our businesses and industry; capability and expertise in handling the breadth and complexity of our businesses; and independence policies and processes for maintaining independence. The committee also considers external data such as peer reviews and recent Public Company Accounting Oversight Board reports on the firm, as well as the firm’s tenure in serving as our independent registered public accounting firm. Although auditor tenure is one data point to be considered, the Public Company Accounting Oversight Board has acknowledged that there is no conclusive linkage between tenure and audit quality. Deloitte &amp; Touche LLP’s tenure as our independent registered public accounting firm has allowed it to gain institutional knowledge and a deep understanding of our businesses, accounting policies, and internal control over financial reporting, which the Audit Committee considers beneficial. In addition, the Audit Committee and its Chair are directly involved in the selection of the new lead audit partner in connection with the mandated five-year rotation of this role, which most recently occurred in 2024 and is expected to occur again in or before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34               </w:t>
      </w:r>
      <w:r>
        <w:rPr>
          <w:sz w:val="1"/>
          <w:szCs w:val="1"/>
          <w:color w:val="auto"/>
        </w:rPr>
        <w:drawing>
          <wp:inline distT="0" distB="0" distL="0" distR="0">
            <wp:extent cx="739140" cy="144145"/>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Proposals to be Voted 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Proposal to be Voted On, Board Recommendation and Vote Required</w:t>
      </w:r>
    </w:p>
    <w:p>
      <w:pPr>
        <w:spacing w:after="0" w:line="125" w:lineRule="exact"/>
        <w:rPr>
          <w:sz w:val="20"/>
          <w:szCs w:val="20"/>
          <w:color w:val="auto"/>
        </w:rPr>
      </w:pPr>
    </w:p>
    <w:p>
      <w:pPr>
        <w:ind w:left="160" w:right="80"/>
        <w:spacing w:after="0" w:line="249" w:lineRule="auto"/>
        <w:rPr>
          <w:sz w:val="20"/>
          <w:szCs w:val="20"/>
          <w:color w:val="auto"/>
        </w:rPr>
      </w:pPr>
      <w:r>
        <w:rPr>
          <w:rFonts w:ascii="Arial" w:cs="Arial" w:eastAsia="Arial" w:hAnsi="Arial"/>
          <w:sz w:val="14"/>
          <w:szCs w:val="14"/>
          <w:color w:val="auto"/>
        </w:rPr>
        <w:t>We are asking our shareholders to ratify the appointment of Deloitte &amp; Touche LLP as our independent registered public accounting firm for 2026. Ratification would be advisory only, but the Audit Committee may reconsider the appointment if it is not ratified. The members of the Audit Committee and the Board of Directors believe the continued retention of Deloitte &amp; Touche LLP as our independent registered public accounting firm is in the best interests of our company and our shareholders. Ratification requires the receipt of “FOR” votes constituting a majority of the shares represented and voting at the Annual Shareholders Meeting, assuming a quorum is present, and the approving majority also must represent more than 25% of our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38010" cy="3054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38010" cy="305435"/>
                    </a:xfrm>
                    <a:prstGeom prst="rect">
                      <a:avLst/>
                    </a:prstGeom>
                    <a:noFill/>
                  </pic:spPr>
                </pic:pic>
              </a:graphicData>
            </a:graphic>
          </wp:anchor>
        </w:drawing>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21"/>
          <w:szCs w:val="21"/>
          <w:color w:val="001689"/>
        </w:rPr>
        <w:t>The Board of Directors recommends that you vote “FOR”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203200</wp:posOffset>
            </wp:positionV>
            <wp:extent cx="69297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330835</wp:posOffset>
            </wp:positionV>
            <wp:extent cx="739140" cy="144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35</w:t>
      </w:r>
    </w:p>
    <w:p>
      <w:pPr>
        <w:sectPr>
          <w:pgSz w:w="11900" w:h="16838" w:orient="portrait"/>
          <w:cols w:equalWidth="0" w:num="1">
            <w:col w:w="11080"/>
          </w:cols>
          <w:pgMar w:left="320" w:top="478"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Proposals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97790</wp:posOffset>
            </wp:positionV>
            <wp:extent cx="6929755" cy="4584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29755" cy="458470"/>
                    </a:xfrm>
                    <a:prstGeom prst="rect">
                      <a:avLst/>
                    </a:prstGeom>
                    <a:noFill/>
                  </pic:spPr>
                </pic:pic>
              </a:graphicData>
            </a:graphic>
          </wp:anchor>
        </w:drawing>
      </w:r>
    </w:p>
    <w:p>
      <w:pPr>
        <w:spacing w:after="0" w:line="326" w:lineRule="exact"/>
        <w:rPr>
          <w:sz w:val="20"/>
          <w:szCs w:val="20"/>
          <w:color w:val="auto"/>
        </w:rPr>
      </w:pPr>
    </w:p>
    <w:p>
      <w:pPr>
        <w:ind w:left="380"/>
        <w:spacing w:after="0"/>
        <w:rPr>
          <w:sz w:val="20"/>
          <w:szCs w:val="20"/>
          <w:color w:val="auto"/>
        </w:rPr>
      </w:pPr>
      <w:r>
        <w:rPr>
          <w:rFonts w:ascii="Arial" w:cs="Arial" w:eastAsia="Arial" w:hAnsi="Arial"/>
          <w:sz w:val="25"/>
          <w:szCs w:val="25"/>
          <w:color w:val="FFFFFF"/>
        </w:rPr>
        <w:t>Proposal 3: Advisory Approval of Our Executive Compensation</w:t>
      </w:r>
    </w:p>
    <w:p>
      <w:pPr>
        <w:spacing w:after="0" w:line="341" w:lineRule="exact"/>
        <w:rPr>
          <w:sz w:val="20"/>
          <w:szCs w:val="20"/>
          <w:color w:val="auto"/>
        </w:rPr>
      </w:pPr>
    </w:p>
    <w:p>
      <w:pPr>
        <w:ind w:left="160"/>
        <w:spacing w:after="0" w:line="253" w:lineRule="auto"/>
        <w:rPr>
          <w:sz w:val="20"/>
          <w:szCs w:val="20"/>
          <w:color w:val="auto"/>
        </w:rPr>
      </w:pPr>
      <w:r>
        <w:rPr>
          <w:rFonts w:ascii="Arial" w:cs="Arial" w:eastAsia="Arial" w:hAnsi="Arial"/>
          <w:sz w:val="14"/>
          <w:szCs w:val="14"/>
          <w:color w:val="auto"/>
        </w:rPr>
        <w:t>Pursuant to Section 14A of the Exchange Act, we are asking our shareholders to approve, on an advisory basis, a resolution on the compensation of the named executive officers as reported in this proxy statement. This proposal, commonly known as a “say-on-pay” proposal, gives our shareholders the opportunity to express their views on our 2025 executive compensation program. We currently provide our shareholders the opportunity to vote on a say-on-pay proposal every year, and as a result, the next vote on a say-on-pay proposal following the Annual Shareholders Meeting is expected to occur at our 2027 annual shareholders meeting.</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Proposal to be Voted on, Board Recommendation and Vote Required</w:t>
      </w:r>
    </w:p>
    <w:p>
      <w:pPr>
        <w:spacing w:after="0" w:line="125" w:lineRule="exact"/>
        <w:rPr>
          <w:sz w:val="20"/>
          <w:szCs w:val="20"/>
          <w:color w:val="auto"/>
        </w:rPr>
      </w:pPr>
    </w:p>
    <w:p>
      <w:pPr>
        <w:ind w:left="160" w:right="140"/>
        <w:spacing w:after="0" w:line="281" w:lineRule="auto"/>
        <w:rPr>
          <w:sz w:val="20"/>
          <w:szCs w:val="20"/>
          <w:color w:val="auto"/>
        </w:rPr>
      </w:pPr>
      <w:r>
        <w:rPr>
          <w:rFonts w:ascii="Arial" w:cs="Arial" w:eastAsia="Arial" w:hAnsi="Arial"/>
          <w:sz w:val="14"/>
          <w:szCs w:val="14"/>
          <w:color w:val="auto"/>
        </w:rPr>
        <w:t>We are asking our shareholders to indicate their support for the compensation of our named executive officers as described in this proxy statement by voting in favor of the following resolution:</w:t>
      </w:r>
    </w:p>
    <w:p>
      <w:pPr>
        <w:spacing w:after="0" w:line="51" w:lineRule="exact"/>
        <w:rPr>
          <w:sz w:val="20"/>
          <w:szCs w:val="20"/>
          <w:color w:val="auto"/>
        </w:rPr>
      </w:pPr>
    </w:p>
    <w:p>
      <w:pPr>
        <w:jc w:val="both"/>
        <w:ind w:left="160" w:right="440"/>
        <w:spacing w:after="0" w:line="260" w:lineRule="auto"/>
        <w:rPr>
          <w:sz w:val="20"/>
          <w:szCs w:val="20"/>
          <w:color w:val="auto"/>
        </w:rPr>
      </w:pPr>
      <w:r>
        <w:rPr>
          <w:rFonts w:ascii="Arial" w:cs="Arial" w:eastAsia="Arial" w:hAnsi="Arial"/>
          <w:sz w:val="14"/>
          <w:szCs w:val="14"/>
          <w:color w:val="auto"/>
        </w:rPr>
        <w:t>“RESOLVED, that, as an advisory matter, the shareholders of Sempra approve the compensation paid to the company’s named executive officers as disclosed in the company’s 2026 proxy statement pursuant to Item 402 of Regulation S-K promulgated by the U.S. Securities and Exchange Commission, including the Compensation Discussion and Analysis, compensation tables and narrative discussion.”</w:t>
      </w:r>
    </w:p>
    <w:p>
      <w:pPr>
        <w:spacing w:after="0" w:line="65" w:lineRule="exact"/>
        <w:rPr>
          <w:sz w:val="20"/>
          <w:szCs w:val="20"/>
          <w:color w:val="auto"/>
        </w:rPr>
      </w:pPr>
    </w:p>
    <w:p>
      <w:pPr>
        <w:ind w:left="160" w:right="540"/>
        <w:spacing w:after="0" w:line="281" w:lineRule="auto"/>
        <w:rPr>
          <w:sz w:val="20"/>
          <w:szCs w:val="20"/>
          <w:color w:val="auto"/>
        </w:rPr>
      </w:pPr>
      <w:r>
        <w:rPr>
          <w:rFonts w:ascii="Arial" w:cs="Arial" w:eastAsia="Arial" w:hAnsi="Arial"/>
          <w:sz w:val="14"/>
          <w:szCs w:val="14"/>
          <w:color w:val="auto"/>
        </w:rPr>
        <w:t>Approval requires the receipt of “FOR” votes constituting a majority of the shares represented and voting at the Annual Shareholders Meeting, assuming a quorum is present, and the approving majority also must represent more than 25% of our outstanding shares.</w:t>
      </w:r>
    </w:p>
    <w:p>
      <w:pPr>
        <w:spacing w:after="0" w:line="51" w:lineRule="exact"/>
        <w:rPr>
          <w:sz w:val="20"/>
          <w:szCs w:val="20"/>
          <w:color w:val="auto"/>
        </w:rPr>
      </w:pPr>
    </w:p>
    <w:p>
      <w:pPr>
        <w:ind w:left="160"/>
        <w:spacing w:after="0" w:line="246" w:lineRule="auto"/>
        <w:rPr>
          <w:sz w:val="20"/>
          <w:szCs w:val="20"/>
          <w:color w:val="auto"/>
        </w:rPr>
      </w:pPr>
      <w:r>
        <w:rPr>
          <w:rFonts w:ascii="Arial" w:cs="Arial" w:eastAsia="Arial" w:hAnsi="Arial"/>
          <w:sz w:val="14"/>
          <w:szCs w:val="14"/>
          <w:color w:val="auto"/>
        </w:rPr>
        <w:t>Even though this say-on-pay vote is advisory and will not be binding on the company, the Compensation and Talent Development Committee and the Board of Directors value the opinions of our shareholders. Accordingly, to the extent there is a significant vote against the compensation of our named executive officers, we will consider our shareholders’ concerns, and the Compensation and Talent Development Committee will evaluate and determine what actions may be necessary or appropriate to address those concerns when making future executive compensation decisions. However, shareholders should note that this advisory vote on executive compensation occurs well after the beginning of the current compensation year. In addition, the different elements of our executive compensation programs are designed to operate in an integrated manner and to complement one another. Therefore, in many cases, it may not be appropriate or feasible to change our executive compensation programs in consideration of any one year’s advisory vote on executive compensation by the time of the following year’s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138430</wp:posOffset>
            </wp:positionV>
            <wp:extent cx="6938010" cy="3054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38010" cy="305435"/>
                    </a:xfrm>
                    <a:prstGeom prst="rect">
                      <a:avLst/>
                    </a:prstGeom>
                    <a:noFill/>
                  </pic:spPr>
                </pic:pic>
              </a:graphicData>
            </a:graphic>
          </wp:anchor>
        </w:drawing>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21"/>
          <w:szCs w:val="21"/>
          <w:color w:val="001689"/>
        </w:rPr>
        <w:t>The Board of Directors recommends that you vote “FOR”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432435</wp:posOffset>
            </wp:positionV>
            <wp:extent cx="69297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36               </w:t>
      </w:r>
      <w:r>
        <w:rPr>
          <w:sz w:val="1"/>
          <w:szCs w:val="1"/>
          <w:color w:val="auto"/>
        </w:rPr>
        <w:drawing>
          <wp:inline distT="0" distB="0" distL="0" distR="0">
            <wp:extent cx="739140" cy="14414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60"/>
          </w:cols>
          <w:pgMar w:left="320" w:top="478"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Proposals to be Voted 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Shareholder Proposal</w:t>
      </w:r>
    </w:p>
    <w:p>
      <w:pPr>
        <w:spacing w:after="0" w:line="132" w:lineRule="exact"/>
        <w:rPr>
          <w:sz w:val="20"/>
          <w:szCs w:val="20"/>
          <w:color w:val="auto"/>
        </w:rPr>
      </w:pPr>
    </w:p>
    <w:p>
      <w:pPr>
        <w:ind w:left="160" w:right="100"/>
        <w:spacing w:after="0" w:line="247" w:lineRule="auto"/>
        <w:rPr>
          <w:sz w:val="20"/>
          <w:szCs w:val="20"/>
          <w:color w:val="auto"/>
        </w:rPr>
      </w:pPr>
      <w:r>
        <w:rPr>
          <w:rFonts w:ascii="Arial" w:cs="Arial" w:eastAsia="Arial" w:hAnsi="Arial"/>
          <w:sz w:val="14"/>
          <w:szCs w:val="14"/>
          <w:color w:val="auto"/>
        </w:rPr>
        <w:t>Proposal 4 was submitted for inclusion in this proxy statement at the direction of a shareholder of the company and will be submitted to a vote at the Annual Shareholders Meeting if properly presented at the meeting. The board recommends that you vote “AGAINST” Proposal 4. In accordance with SEC rules, the proposal and its supporting statement are being reprinted exactly as they were submitted to Sempra by the proponent and Sempra takes no responsibility for them. The proposal and its supporting statement may contain assertions about the company or other statements that we do not endorse or that we believe are incorrect, but the board has not attempted to refute these assertions. We have put a box around the materials provided by the proponent so that readers can easily distinguish between material provided by the proponent and material provided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6929755" cy="4584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29755" cy="458470"/>
                    </a:xfrm>
                    <a:prstGeom prst="rect">
                      <a:avLst/>
                    </a:prstGeom>
                    <a:noFill/>
                  </pic:spPr>
                </pic:pic>
              </a:graphicData>
            </a:graphic>
          </wp:anchor>
        </w:drawing>
      </w:r>
    </w:p>
    <w:p>
      <w:pPr>
        <w:spacing w:after="0" w:line="364" w:lineRule="exact"/>
        <w:rPr>
          <w:sz w:val="20"/>
          <w:szCs w:val="20"/>
          <w:color w:val="auto"/>
        </w:rPr>
      </w:pPr>
    </w:p>
    <w:p>
      <w:pPr>
        <w:ind w:left="380"/>
        <w:spacing w:after="0"/>
        <w:rPr>
          <w:sz w:val="20"/>
          <w:szCs w:val="20"/>
          <w:color w:val="auto"/>
        </w:rPr>
      </w:pPr>
      <w:r>
        <w:rPr>
          <w:rFonts w:ascii="Arial" w:cs="Arial" w:eastAsia="Arial" w:hAnsi="Arial"/>
          <w:sz w:val="25"/>
          <w:szCs w:val="25"/>
          <w:color w:val="FFFFFF"/>
        </w:rPr>
        <w:t>Proposal 4: Shareholder Proposal Requesting an Independent Board Chairman</w:t>
      </w:r>
    </w:p>
    <w:p>
      <w:pPr>
        <w:spacing w:after="0" w:line="368" w:lineRule="exact"/>
        <w:rPr>
          <w:sz w:val="20"/>
          <w:szCs w:val="20"/>
          <w:color w:val="auto"/>
        </w:rPr>
      </w:pPr>
    </w:p>
    <w:p>
      <w:pPr>
        <w:ind w:left="160" w:right="420"/>
        <w:spacing w:after="0" w:line="260" w:lineRule="auto"/>
        <w:rPr>
          <w:sz w:val="20"/>
          <w:szCs w:val="20"/>
          <w:color w:val="auto"/>
        </w:rPr>
      </w:pPr>
      <w:r>
        <w:rPr>
          <w:rFonts w:ascii="Arial" w:cs="Arial" w:eastAsia="Arial" w:hAnsi="Arial"/>
          <w:sz w:val="14"/>
          <w:szCs w:val="14"/>
          <w:color w:val="auto"/>
        </w:rPr>
        <w:t>Proposal 4 was submitted by Mr. John Chevedden, who has advised us that he or a representative intends to introduce the proposal included below at the Annual Shareholders Meeting. Sempra has been advised that Mr. Chevedden is the owner of no fewer than 40 shares of Sempra common stock. The company will furnish the address of Mr. Chevedden promptly upon a shareholder’s oral or written request.</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66675</wp:posOffset>
            </wp:positionV>
            <wp:extent cx="6934200" cy="46666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34200" cy="4666615"/>
                    </a:xfrm>
                    <a:prstGeom prst="rect">
                      <a:avLst/>
                    </a:prstGeom>
                    <a:noFill/>
                  </pic:spPr>
                </pic:pic>
              </a:graphicData>
            </a:graphic>
          </wp:anchor>
        </w:drawing>
      </w: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Proposal 4 - Independent Board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 w:right="440"/>
        <w:spacing w:after="0" w:line="281" w:lineRule="auto"/>
        <w:rPr>
          <w:sz w:val="20"/>
          <w:szCs w:val="20"/>
          <w:color w:val="auto"/>
        </w:rPr>
      </w:pPr>
      <w:r>
        <w:rPr>
          <w:rFonts w:ascii="Arial" w:cs="Arial" w:eastAsia="Arial" w:hAnsi="Arial"/>
          <w:sz w:val="14"/>
          <w:szCs w:val="14"/>
          <w:color w:val="auto"/>
        </w:rPr>
        <w:t>Shareholders request that the Board of Directors adopt an enduring policy, and amend the governing documents as necessary in order that 2 separate people hold the office of the Chairman and the office of the CEO as soon as possible.</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Chairman of the Board shall be an Independent Director. A Lead Director shall not be a substitute for an independent Board Chairman.</w:t>
      </w:r>
    </w:p>
    <w:p>
      <w:pPr>
        <w:spacing w:after="0" w:line="106" w:lineRule="exact"/>
        <w:rPr>
          <w:sz w:val="20"/>
          <w:szCs w:val="20"/>
          <w:color w:val="auto"/>
        </w:rPr>
      </w:pPr>
    </w:p>
    <w:p>
      <w:pPr>
        <w:ind w:left="400" w:right="240"/>
        <w:spacing w:after="0" w:line="260" w:lineRule="auto"/>
        <w:rPr>
          <w:sz w:val="20"/>
          <w:szCs w:val="20"/>
          <w:color w:val="auto"/>
        </w:rPr>
      </w:pPr>
      <w:r>
        <w:rPr>
          <w:rFonts w:ascii="Arial" w:cs="Arial" w:eastAsia="Arial" w:hAnsi="Arial"/>
          <w:sz w:val="14"/>
          <w:szCs w:val="14"/>
          <w:color w:val="auto"/>
        </w:rPr>
        <w:t>The Board shall have the discretion to select an interim Chairman of the Board, who is not an Independent Director, to serve while the Board is required to seek an Independent Chairman of the Board on an accelerated basis. This policy could be phased in when there is a contract renewal for our current CEO or for the next CEO transition although it is better to adopt it now.</w:t>
      </w:r>
    </w:p>
    <w:p>
      <w:pPr>
        <w:spacing w:after="0" w:line="65" w:lineRule="exact"/>
        <w:rPr>
          <w:sz w:val="20"/>
          <w:szCs w:val="20"/>
          <w:color w:val="auto"/>
        </w:rPr>
      </w:pPr>
    </w:p>
    <w:p>
      <w:pPr>
        <w:ind w:left="400" w:right="420"/>
        <w:spacing w:after="0" w:line="281" w:lineRule="auto"/>
        <w:rPr>
          <w:sz w:val="20"/>
          <w:szCs w:val="20"/>
          <w:color w:val="auto"/>
        </w:rPr>
      </w:pPr>
      <w:r>
        <w:rPr>
          <w:rFonts w:ascii="Arial" w:cs="Arial" w:eastAsia="Arial" w:hAnsi="Arial"/>
          <w:sz w:val="14"/>
          <w:szCs w:val="14"/>
          <w:color w:val="auto"/>
        </w:rPr>
        <w:t>An independent Board Chairman at all times improves corporate governance by bringing impartiality, objective oversight, and external expertise to board decisions, mitigating conflicts of interest, enhancing transparency, and boosting shareholder confidence.</w:t>
      </w:r>
    </w:p>
    <w:p>
      <w:pPr>
        <w:spacing w:after="0" w:line="51" w:lineRule="exact"/>
        <w:rPr>
          <w:sz w:val="20"/>
          <w:szCs w:val="20"/>
          <w:color w:val="auto"/>
        </w:rPr>
      </w:pPr>
    </w:p>
    <w:p>
      <w:pPr>
        <w:ind w:left="400" w:right="420"/>
        <w:spacing w:after="0" w:line="281" w:lineRule="auto"/>
        <w:rPr>
          <w:sz w:val="20"/>
          <w:szCs w:val="20"/>
          <w:color w:val="auto"/>
        </w:rPr>
      </w:pPr>
      <w:r>
        <w:rPr>
          <w:rFonts w:ascii="Arial" w:cs="Arial" w:eastAsia="Arial" w:hAnsi="Arial"/>
          <w:sz w:val="14"/>
          <w:szCs w:val="14"/>
          <w:color w:val="auto"/>
        </w:rPr>
        <w:t>This detached perspective allows the chairman to focus on shareholder interests, strengthen management accountability, and provide critical checks and balances, ultimately contributing to long-term sustainability and credibility.</w:t>
      </w:r>
    </w:p>
    <w:p>
      <w:pPr>
        <w:spacing w:after="0" w:line="51" w:lineRule="exact"/>
        <w:rPr>
          <w:sz w:val="20"/>
          <w:szCs w:val="20"/>
          <w:color w:val="auto"/>
        </w:rPr>
      </w:pPr>
    </w:p>
    <w:p>
      <w:pPr>
        <w:ind w:left="400" w:right="640"/>
        <w:spacing w:after="0" w:line="281" w:lineRule="auto"/>
        <w:rPr>
          <w:sz w:val="20"/>
          <w:szCs w:val="20"/>
          <w:color w:val="auto"/>
        </w:rPr>
      </w:pPr>
      <w:r>
        <w:rPr>
          <w:rFonts w:ascii="Arial" w:cs="Arial" w:eastAsia="Arial" w:hAnsi="Arial"/>
          <w:sz w:val="14"/>
          <w:szCs w:val="14"/>
          <w:color w:val="auto"/>
        </w:rPr>
        <w:t>This may be a particularly good time to consider the merits of this proposal. Sempra stock was at $80 in 2020 and at only $91 in late 2025 during a robust stock market.</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Several unfavorable news reports and developments regarding Sempra Energy emerged in 2025.</w:t>
      </w:r>
    </w:p>
    <w:p>
      <w:pPr>
        <w:spacing w:after="0" w:line="106" w:lineRule="exact"/>
        <w:rPr>
          <w:sz w:val="20"/>
          <w:szCs w:val="20"/>
          <w:color w:val="auto"/>
        </w:rPr>
      </w:pPr>
    </w:p>
    <w:p>
      <w:pPr>
        <w:ind w:left="400" w:right="360"/>
        <w:spacing w:after="0" w:line="260" w:lineRule="auto"/>
        <w:rPr>
          <w:sz w:val="20"/>
          <w:szCs w:val="20"/>
          <w:color w:val="auto"/>
        </w:rPr>
      </w:pPr>
      <w:r>
        <w:rPr>
          <w:rFonts w:ascii="Arial" w:cs="Arial" w:eastAsia="Arial" w:hAnsi="Arial"/>
          <w:sz w:val="14"/>
          <w:szCs w:val="14"/>
          <w:color w:val="auto"/>
        </w:rPr>
        <w:t>In February 2025, Sempra reported disappointing fourth-quarter 2024 results and cut its 2025 earnings-per-share outlook. Following this lowered forecast, Sempra’s stock dropped by nearly 20% in a single day, leading the S&amp;P 500 in declines. While the company’s stock trended upward at times, it has been a significant underperformer compared to the broader utility sector throughout 2025.</w:t>
      </w:r>
    </w:p>
    <w:p>
      <w:pPr>
        <w:spacing w:after="0" w:line="65"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Sempra’s second quarter 2025 revenue fell short. GAAP earnings were also significantly lower compared to the same period in 2024.</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Analysts have pointed to Sempra’s exposure to “regulatory shifts and policy risks” in its key markets of California and Texas as a major risk factor.</w:t>
      </w:r>
    </w:p>
    <w:p>
      <w:pPr>
        <w:spacing w:after="0" w:line="106" w:lineRule="exact"/>
        <w:rPr>
          <w:sz w:val="20"/>
          <w:szCs w:val="20"/>
          <w:color w:val="auto"/>
        </w:rPr>
      </w:pPr>
    </w:p>
    <w:p>
      <w:pPr>
        <w:ind w:left="400" w:right="360"/>
        <w:spacing w:after="0" w:line="281" w:lineRule="auto"/>
        <w:rPr>
          <w:sz w:val="20"/>
          <w:szCs w:val="20"/>
          <w:color w:val="auto"/>
        </w:rPr>
      </w:pPr>
      <w:r>
        <w:rPr>
          <w:rFonts w:ascii="Arial" w:cs="Arial" w:eastAsia="Arial" w:hAnsi="Arial"/>
          <w:sz w:val="14"/>
          <w:szCs w:val="14"/>
          <w:color w:val="auto"/>
        </w:rPr>
        <w:t>ln January 2025, and reiterated after a September transaction, S&amp;P Global assigned a “negative outlook” to Sempra’s credit rating. The negative outlook was based on several risk factors, including:</w:t>
      </w:r>
    </w:p>
    <w:p>
      <w:pPr>
        <w:spacing w:after="0" w:line="64" w:lineRule="exact"/>
        <w:rPr>
          <w:sz w:val="20"/>
          <w:szCs w:val="20"/>
          <w:color w:val="auto"/>
        </w:rPr>
      </w:pPr>
    </w:p>
    <w:p>
      <w:pPr>
        <w:ind w:left="600" w:hanging="205"/>
        <w:spacing w:after="0"/>
        <w:tabs>
          <w:tab w:leader="none" w:pos="600" w:val="left"/>
        </w:tabs>
        <w:numPr>
          <w:ilvl w:val="0"/>
          <w:numId w:val="52"/>
        </w:numPr>
        <w:rPr>
          <w:rFonts w:ascii="Times New Roman" w:cs="Times New Roman" w:eastAsia="Times New Roman" w:hAnsi="Times New Roman"/>
          <w:sz w:val="14"/>
          <w:szCs w:val="14"/>
          <w:color w:val="005CB9"/>
        </w:rPr>
      </w:pPr>
      <w:r>
        <w:rPr>
          <w:rFonts w:ascii="Arial" w:cs="Arial" w:eastAsia="Arial" w:hAnsi="Arial"/>
          <w:sz w:val="14"/>
          <w:szCs w:val="14"/>
          <w:color w:val="auto"/>
        </w:rPr>
        <w:t>Sempra had a minimal financial cushion for its consolidated financial measures.</w:t>
      </w:r>
    </w:p>
    <w:p>
      <w:pPr>
        <w:spacing w:after="0" w:line="119" w:lineRule="exact"/>
        <w:rPr>
          <w:rFonts w:ascii="Times New Roman" w:cs="Times New Roman" w:eastAsia="Times New Roman" w:hAnsi="Times New Roman"/>
          <w:sz w:val="14"/>
          <w:szCs w:val="14"/>
          <w:color w:val="005CB9"/>
        </w:rPr>
      </w:pPr>
    </w:p>
    <w:p>
      <w:pPr>
        <w:ind w:left="600" w:hanging="205"/>
        <w:spacing w:after="0"/>
        <w:tabs>
          <w:tab w:leader="none" w:pos="600" w:val="left"/>
        </w:tabs>
        <w:numPr>
          <w:ilvl w:val="0"/>
          <w:numId w:val="52"/>
        </w:numPr>
        <w:rPr>
          <w:rFonts w:ascii="Times New Roman" w:cs="Times New Roman" w:eastAsia="Times New Roman" w:hAnsi="Times New Roman"/>
          <w:sz w:val="14"/>
          <w:szCs w:val="14"/>
          <w:color w:val="005CB9"/>
        </w:rPr>
      </w:pPr>
      <w:r>
        <w:rPr>
          <w:rFonts w:ascii="Arial" w:cs="Arial" w:eastAsia="Arial" w:hAnsi="Arial"/>
          <w:sz w:val="14"/>
          <w:szCs w:val="14"/>
          <w:color w:val="auto"/>
        </w:rPr>
        <w:t>Sempra faces execution risks related to the construction of large liquefied natural gas projects, including the Port Arthur LNG project.</w:t>
      </w:r>
    </w:p>
    <w:p>
      <w:pPr>
        <w:spacing w:after="0" w:line="119" w:lineRule="exact"/>
        <w:rPr>
          <w:rFonts w:ascii="Times New Roman" w:cs="Times New Roman" w:eastAsia="Times New Roman" w:hAnsi="Times New Roman"/>
          <w:sz w:val="14"/>
          <w:szCs w:val="14"/>
          <w:color w:val="005CB9"/>
        </w:rPr>
      </w:pPr>
    </w:p>
    <w:p>
      <w:pPr>
        <w:ind w:left="600" w:hanging="205"/>
        <w:spacing w:after="0"/>
        <w:tabs>
          <w:tab w:leader="none" w:pos="600" w:val="left"/>
        </w:tabs>
        <w:numPr>
          <w:ilvl w:val="0"/>
          <w:numId w:val="52"/>
        </w:numPr>
        <w:rPr>
          <w:rFonts w:ascii="Times New Roman" w:cs="Times New Roman" w:eastAsia="Times New Roman" w:hAnsi="Times New Roman"/>
          <w:sz w:val="14"/>
          <w:szCs w:val="14"/>
          <w:color w:val="005CB9"/>
        </w:rPr>
      </w:pPr>
      <w:r>
        <w:rPr>
          <w:rFonts w:ascii="Arial" w:cs="Arial" w:eastAsia="Arial" w:hAnsi="Arial"/>
          <w:sz w:val="14"/>
          <w:szCs w:val="14"/>
          <w:color w:val="auto"/>
        </w:rPr>
        <w:t>The credit rating could be lowered if Sempra subsidiary San Diego Gas &amp; Electric were to cause a significant wildfire.</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Please vote yes:</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Independent Board Chairman—Proposal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667385</wp:posOffset>
            </wp:positionV>
            <wp:extent cx="69297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795020</wp:posOffset>
            </wp:positionV>
            <wp:extent cx="739140" cy="153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37</w:t>
      </w:r>
    </w:p>
    <w:p>
      <w:pPr>
        <w:sectPr>
          <w:pgSz w:w="11900" w:h="16838" w:orient="portrait"/>
          <w:cols w:equalWidth="0" w:num="1">
            <w:col w:w="110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Proposals to be Voted On</w:t>
      </w:r>
    </w:p>
    <w:p>
      <w:pPr>
        <w:spacing w:after="0" w:line="126" w:lineRule="exact"/>
        <w:rPr>
          <w:sz w:val="20"/>
          <w:szCs w:val="20"/>
          <w:color w:val="auto"/>
        </w:rPr>
      </w:pPr>
    </w:p>
    <w:p>
      <w:pPr>
        <w:ind w:left="160" w:right="600"/>
        <w:spacing w:after="0" w:line="293" w:lineRule="auto"/>
        <w:rPr>
          <w:sz w:val="20"/>
          <w:szCs w:val="20"/>
          <w:color w:val="auto"/>
        </w:rPr>
      </w:pPr>
      <w:r>
        <w:rPr>
          <w:rFonts w:ascii="Arial" w:cs="Arial" w:eastAsia="Arial" w:hAnsi="Arial"/>
          <w:sz w:val="21"/>
          <w:szCs w:val="21"/>
          <w:b w:val="1"/>
          <w:bCs w:val="1"/>
          <w:color w:val="auto"/>
        </w:rPr>
        <w:t>Board of Directors’ Statement Opposing the Shareholder Proposal Requesting an Independent Board Chairman</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Board of Directors recommends a vote “AGAINST” 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38010" cy="9683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38010" cy="968375"/>
                    </a:xfrm>
                    <a:prstGeom prst="rect">
                      <a:avLst/>
                    </a:prstGeom>
                    <a:noFill/>
                  </pic:spPr>
                </pic:pic>
              </a:graphicData>
            </a:graphic>
          </wp:anchor>
        </w:drawing>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The board believes its flexible leadership structure is in the best interest of our company and our shareholders</w:t>
      </w:r>
    </w:p>
    <w:p>
      <w:pPr>
        <w:spacing w:after="0" w:line="106" w:lineRule="exact"/>
        <w:rPr>
          <w:sz w:val="20"/>
          <w:szCs w:val="20"/>
          <w:color w:val="auto"/>
        </w:rPr>
      </w:pPr>
    </w:p>
    <w:p>
      <w:pPr>
        <w:ind w:left="680" w:right="60"/>
        <w:spacing w:after="0" w:line="289" w:lineRule="auto"/>
        <w:rPr>
          <w:sz w:val="20"/>
          <w:szCs w:val="20"/>
          <w:color w:val="auto"/>
        </w:rPr>
      </w:pPr>
      <w:r>
        <w:rPr>
          <w:rFonts w:ascii="Arial" w:cs="Arial" w:eastAsia="Arial" w:hAnsi="Arial"/>
          <w:sz w:val="14"/>
          <w:szCs w:val="14"/>
          <w:b w:val="1"/>
          <w:bCs w:val="1"/>
          <w:color w:val="auto"/>
        </w:rPr>
        <w:t>The board regularly evaluates its leadership structure and believes the current structure, including our strong Lead Independent Director role, facilitates effective oversight</w:t>
      </w:r>
    </w:p>
    <w:p>
      <w:pPr>
        <w:spacing w:after="0" w:line="94" w:lineRule="exact"/>
        <w:rPr>
          <w:sz w:val="20"/>
          <w:szCs w:val="20"/>
          <w:color w:val="auto"/>
        </w:rPr>
      </w:pPr>
    </w:p>
    <w:p>
      <w:pPr>
        <w:ind w:left="680" w:right="3780"/>
        <w:spacing w:after="0" w:line="509" w:lineRule="auto"/>
        <w:rPr>
          <w:sz w:val="20"/>
          <w:szCs w:val="20"/>
          <w:color w:val="auto"/>
        </w:rPr>
      </w:pPr>
      <w:r>
        <w:rPr>
          <w:rFonts w:ascii="Arial" w:cs="Arial" w:eastAsia="Arial" w:hAnsi="Arial"/>
          <w:sz w:val="14"/>
          <w:szCs w:val="14"/>
          <w:b w:val="1"/>
          <w:bCs w:val="1"/>
          <w:color w:val="auto"/>
        </w:rPr>
        <w:t>Sempra has achieved strong corporate performance under its existing board leadership structure We have received positive shareholder feedback on our board leadership structure</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Board Believes Its Flexible Leadership Structure is in the Best Interest of Our Company and Our Shareholders</w:t>
      </w:r>
    </w:p>
    <w:p>
      <w:pPr>
        <w:spacing w:after="0" w:line="110"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The board’s flexible leadership structure enables it to re-evaluate the needs of our company periodically and make determinations regarding board leadership based upon then-existing conditions, including business needs, individual director skills and experiences, the overall composition of the board and shareholder preferences. This is contrary to the proposal’s request for a strict policy that would never permit the Chief Executive Officer to also serve as Chairman even if the board believes it to be in the best interests of our company and our shareholders at any given time.</w:t>
      </w:r>
    </w:p>
    <w:p>
      <w:pPr>
        <w:spacing w:after="0" w:line="70" w:lineRule="exact"/>
        <w:rPr>
          <w:sz w:val="20"/>
          <w:szCs w:val="20"/>
          <w:color w:val="auto"/>
        </w:rPr>
      </w:pPr>
    </w:p>
    <w:p>
      <w:pPr>
        <w:ind w:left="160" w:right="40"/>
        <w:spacing w:after="0" w:line="249" w:lineRule="auto"/>
        <w:rPr>
          <w:sz w:val="20"/>
          <w:szCs w:val="20"/>
          <w:color w:val="auto"/>
        </w:rPr>
      </w:pPr>
      <w:r>
        <w:rPr>
          <w:rFonts w:ascii="Arial" w:cs="Arial" w:eastAsia="Arial" w:hAnsi="Arial"/>
          <w:sz w:val="14"/>
          <w:szCs w:val="14"/>
          <w:color w:val="auto"/>
        </w:rPr>
        <w:t>Requiring that the Chairman of the Board be an independent director is not necessary to achieve independent and effective oversight of our businesses. Such oversight is maintained regardless of the Chairman’s independence through the composition of our board, which consists of directors elected annually by our shareholders to oversee the company, the active engagement of our independent directors, constituting 82% of our board, and our board committees, and our robust corporate governance practices as detailed above in “Proxy Statement Summary—Strong Governance Practices.” These factors, as well as the clearly defined responsibilities of our Lead Independent Director, contribute to strong independent board leadership that we believe is consistent with best governance practices.</w:t>
      </w:r>
    </w:p>
    <w:p>
      <w:pPr>
        <w:spacing w:after="0" w:line="172" w:lineRule="exact"/>
        <w:rPr>
          <w:sz w:val="20"/>
          <w:szCs w:val="20"/>
          <w:color w:val="auto"/>
        </w:rPr>
      </w:pPr>
    </w:p>
    <w:p>
      <w:pPr>
        <w:ind w:left="160" w:right="820"/>
        <w:spacing w:after="0" w:line="277" w:lineRule="auto"/>
        <w:rPr>
          <w:sz w:val="20"/>
          <w:szCs w:val="20"/>
          <w:color w:val="auto"/>
        </w:rPr>
      </w:pPr>
      <w:r>
        <w:rPr>
          <w:rFonts w:ascii="Arial" w:cs="Arial" w:eastAsia="Arial" w:hAnsi="Arial"/>
          <w:sz w:val="18"/>
          <w:szCs w:val="18"/>
          <w:b w:val="1"/>
          <w:bCs w:val="1"/>
          <w:color w:val="auto"/>
        </w:rPr>
        <w:t>The Board Regularly Evaluates Its Leadership Structure and Believes the Current Structure, Including Our Strong Lead Independent Director Role, Facilitates Effective Oversight</w:t>
      </w:r>
    </w:p>
    <w:p>
      <w:pPr>
        <w:spacing w:after="0" w:line="40" w:lineRule="exact"/>
        <w:rPr>
          <w:sz w:val="20"/>
          <w:szCs w:val="20"/>
          <w:color w:val="auto"/>
        </w:rPr>
      </w:pPr>
    </w:p>
    <w:p>
      <w:pPr>
        <w:ind w:left="160" w:right="40"/>
        <w:spacing w:after="0" w:line="249" w:lineRule="auto"/>
        <w:rPr>
          <w:sz w:val="20"/>
          <w:szCs w:val="20"/>
          <w:color w:val="auto"/>
        </w:rPr>
      </w:pPr>
      <w:r>
        <w:rPr>
          <w:rFonts w:ascii="Arial" w:cs="Arial" w:eastAsia="Arial" w:hAnsi="Arial"/>
          <w:sz w:val="14"/>
          <w:szCs w:val="14"/>
          <w:color w:val="auto"/>
        </w:rPr>
        <w:t>The board has a robust annual process for evaluating its leadership structure. This process involves a comprehensive review of the company’s performance, a thorough evaluation of the role of the company’s independent directors and the composition of the board as a whole, extensive shareholder engagement, and thoughtful consideration of the potential benefits of different leadership structures in facilitating board effectiveness. In addition, each year the board reviews the effectiveness of the acting Chairman of the Board and the Lead Independent Director in fulfilling their respective responsibilities, including evaluating the level of leadership of the Lead Independent Director role. As part of each annual evaluation, these and other relevant factors are considered by the full board and by the non-management directors meeting separately.</w:t>
      </w:r>
    </w:p>
    <w:p>
      <w:pPr>
        <w:spacing w:after="0" w:line="74" w:lineRule="exact"/>
        <w:rPr>
          <w:sz w:val="20"/>
          <w:szCs w:val="20"/>
          <w:color w:val="auto"/>
        </w:rPr>
      </w:pPr>
    </w:p>
    <w:p>
      <w:pPr>
        <w:ind w:left="160" w:right="140"/>
        <w:spacing w:after="0" w:line="249" w:lineRule="auto"/>
        <w:rPr>
          <w:sz w:val="20"/>
          <w:szCs w:val="20"/>
          <w:color w:val="auto"/>
        </w:rPr>
      </w:pPr>
      <w:r>
        <w:rPr>
          <w:rFonts w:ascii="Arial" w:cs="Arial" w:eastAsia="Arial" w:hAnsi="Arial"/>
          <w:sz w:val="14"/>
          <w:szCs w:val="14"/>
          <w:color w:val="auto"/>
        </w:rPr>
        <w:t>During periods in which we do not have an independent Chairman of the Board, our Corporate Governance Guidelines require the independent directors to select annually an independent director to serve as the Lead Independent Director and prescribe certain functions and responsibilities of this role, in addition to any other duties the independent directors may assign to the Lead Independent Director from time to time as they deem appropriate. These defined functions and responsibilities, which were substantially strengthened in 2012 and have been further augmented over time, are broad and similar to those of an independent Chairman of the Board, as described further above in “Corporate Governance—Board of Directors—Leadership Structure,” including:</w:t>
      </w:r>
    </w:p>
    <w:p>
      <w:pPr>
        <w:spacing w:after="0" w:line="88" w:lineRule="exact"/>
        <w:rPr>
          <w:sz w:val="20"/>
          <w:szCs w:val="20"/>
          <w:color w:val="auto"/>
        </w:rPr>
      </w:pPr>
    </w:p>
    <w:p>
      <w:pPr>
        <w:ind w:left="800" w:right="480" w:hanging="312"/>
        <w:spacing w:after="0" w:line="280" w:lineRule="auto"/>
        <w:tabs>
          <w:tab w:leader="none" w:pos="800" w:val="left"/>
        </w:tabs>
        <w:numPr>
          <w:ilvl w:val="0"/>
          <w:numId w:val="53"/>
        </w:numPr>
        <w:rPr>
          <w:rFonts w:ascii="Times New Roman" w:cs="Times New Roman" w:eastAsia="Times New Roman" w:hAnsi="Times New Roman"/>
          <w:sz w:val="14"/>
          <w:szCs w:val="14"/>
          <w:color w:val="005CB9"/>
        </w:rPr>
      </w:pPr>
      <w:r>
        <w:rPr>
          <w:rFonts w:ascii="Arial" w:cs="Arial" w:eastAsia="Arial" w:hAnsi="Arial"/>
          <w:sz w:val="14"/>
          <w:szCs w:val="14"/>
          <w:color w:val="auto"/>
        </w:rPr>
        <w:t>Provide leadership to the Board of Directors if circumstances arise in which the role of the Chairman of the Board may be, or may be perceived by the Lead Independent Director or by the other independent directors to be, in conflict</w:t>
      </w:r>
    </w:p>
    <w:p>
      <w:pPr>
        <w:spacing w:after="0" w:line="64" w:lineRule="exact"/>
        <w:rPr>
          <w:rFonts w:ascii="Times New Roman" w:cs="Times New Roman" w:eastAsia="Times New Roman" w:hAnsi="Times New Roman"/>
          <w:sz w:val="14"/>
          <w:szCs w:val="14"/>
          <w:color w:val="005CB9"/>
        </w:rPr>
      </w:pPr>
    </w:p>
    <w:p>
      <w:pPr>
        <w:ind w:left="800" w:right="180" w:hanging="312"/>
        <w:spacing w:after="0" w:line="280" w:lineRule="auto"/>
        <w:tabs>
          <w:tab w:leader="none" w:pos="800" w:val="left"/>
        </w:tabs>
        <w:numPr>
          <w:ilvl w:val="0"/>
          <w:numId w:val="53"/>
        </w:numPr>
        <w:rPr>
          <w:rFonts w:ascii="Times New Roman" w:cs="Times New Roman" w:eastAsia="Times New Roman" w:hAnsi="Times New Roman"/>
          <w:sz w:val="14"/>
          <w:szCs w:val="14"/>
          <w:color w:val="005CB9"/>
        </w:rPr>
      </w:pPr>
      <w:r>
        <w:rPr>
          <w:rFonts w:ascii="Arial" w:cs="Arial" w:eastAsia="Arial" w:hAnsi="Arial"/>
          <w:sz w:val="14"/>
          <w:szCs w:val="14"/>
          <w:color w:val="auto"/>
        </w:rPr>
        <w:t>Organize, convene and preside over executive sessions of the non-management directors. The Lead Independent Director also holds an executive session with only the independent directors present at least once annually and more frequently as needed.</w:t>
      </w:r>
    </w:p>
    <w:p>
      <w:pPr>
        <w:spacing w:after="0" w:line="64" w:lineRule="exact"/>
        <w:rPr>
          <w:rFonts w:ascii="Times New Roman" w:cs="Times New Roman" w:eastAsia="Times New Roman" w:hAnsi="Times New Roman"/>
          <w:sz w:val="14"/>
          <w:szCs w:val="14"/>
          <w:color w:val="005CB9"/>
        </w:rPr>
      </w:pPr>
    </w:p>
    <w:p>
      <w:pPr>
        <w:ind w:left="800" w:hanging="312"/>
        <w:spacing w:after="0" w:line="280" w:lineRule="auto"/>
        <w:tabs>
          <w:tab w:leader="none" w:pos="800" w:val="left"/>
        </w:tabs>
        <w:numPr>
          <w:ilvl w:val="0"/>
          <w:numId w:val="53"/>
        </w:numPr>
        <w:rPr>
          <w:rFonts w:ascii="Times New Roman" w:cs="Times New Roman" w:eastAsia="Times New Roman" w:hAnsi="Times New Roman"/>
          <w:sz w:val="14"/>
          <w:szCs w:val="14"/>
          <w:color w:val="005CB9"/>
        </w:rPr>
      </w:pPr>
      <w:r>
        <w:rPr>
          <w:rFonts w:ascii="Arial" w:cs="Arial" w:eastAsia="Arial" w:hAnsi="Arial"/>
          <w:sz w:val="14"/>
          <w:szCs w:val="14"/>
          <w:color w:val="auto"/>
        </w:rPr>
        <w:t>Review and approve all board and committee agendas and approve information sent to the board, providing input to management on the scope and quality of such information</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53"/>
        </w:numPr>
        <w:rPr>
          <w:rFonts w:ascii="Times New Roman" w:cs="Times New Roman" w:eastAsia="Times New Roman" w:hAnsi="Times New Roman"/>
          <w:sz w:val="14"/>
          <w:szCs w:val="14"/>
          <w:color w:val="005CB9"/>
        </w:rPr>
      </w:pPr>
      <w:r>
        <w:rPr>
          <w:rFonts w:ascii="Arial" w:cs="Arial" w:eastAsia="Arial" w:hAnsi="Arial"/>
          <w:sz w:val="14"/>
          <w:szCs w:val="14"/>
          <w:color w:val="auto"/>
        </w:rPr>
        <w:t>Call a special meeting of the Board of Directors or the independent directors at any time, at any place and for any purpose</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53"/>
        </w:numPr>
        <w:rPr>
          <w:rFonts w:ascii="Times New Roman" w:cs="Times New Roman" w:eastAsia="Times New Roman" w:hAnsi="Times New Roman"/>
          <w:sz w:val="14"/>
          <w:szCs w:val="14"/>
          <w:color w:val="005CB9"/>
        </w:rPr>
      </w:pPr>
      <w:r>
        <w:rPr>
          <w:rFonts w:ascii="Arial" w:cs="Arial" w:eastAsia="Arial" w:hAnsi="Arial"/>
          <w:sz w:val="14"/>
          <w:szCs w:val="14"/>
          <w:color w:val="auto"/>
        </w:rPr>
        <w:t>Be available for consultation and direct communication with the company’s major shareholders</w:t>
      </w:r>
    </w:p>
    <w:p>
      <w:pPr>
        <w:spacing w:after="0" w:line="106" w:lineRule="exact"/>
        <w:rPr>
          <w:sz w:val="20"/>
          <w:szCs w:val="20"/>
          <w:color w:val="auto"/>
        </w:rPr>
      </w:pPr>
    </w:p>
    <w:p>
      <w:pPr>
        <w:ind w:left="160" w:right="140"/>
        <w:spacing w:after="0" w:line="260" w:lineRule="auto"/>
        <w:rPr>
          <w:sz w:val="20"/>
          <w:szCs w:val="20"/>
          <w:color w:val="auto"/>
        </w:rPr>
      </w:pPr>
      <w:r>
        <w:rPr>
          <w:rFonts w:ascii="Arial" w:cs="Arial" w:eastAsia="Arial" w:hAnsi="Arial"/>
          <w:sz w:val="14"/>
          <w:szCs w:val="14"/>
          <w:color w:val="auto"/>
        </w:rPr>
        <w:t>Our current board leadership structure includes our Chairman and Chief Executive Officer, Jeffrey W. Martin, and our Lead Independent Director, Cynthia J. Warner. Based on the evaluation described above, the board believes the benefits of combining the Chairman and Chief Executive Officer roles are particularly impactful in light of the continuing evolution of our businesses and the industries in which we operate.</w:t>
      </w:r>
    </w:p>
    <w:p>
      <w:pPr>
        <w:spacing w:after="0" w:line="65" w:lineRule="exact"/>
        <w:rPr>
          <w:sz w:val="20"/>
          <w:szCs w:val="20"/>
          <w:color w:val="auto"/>
        </w:rPr>
      </w:pPr>
    </w:p>
    <w:p>
      <w:pPr>
        <w:ind w:left="160" w:right="40"/>
        <w:spacing w:after="0" w:line="249" w:lineRule="auto"/>
        <w:rPr>
          <w:sz w:val="20"/>
          <w:szCs w:val="20"/>
          <w:color w:val="auto"/>
        </w:rPr>
      </w:pPr>
      <w:r>
        <w:rPr>
          <w:rFonts w:ascii="Arial" w:cs="Arial" w:eastAsia="Arial" w:hAnsi="Arial"/>
          <w:sz w:val="14"/>
          <w:szCs w:val="14"/>
          <w:color w:val="auto"/>
        </w:rPr>
        <w:t>Mr. Martin’s combined service as Chairman and Chief Executive Officer has allowed him to lead the board while providing critical strategic leadership to our businesses, acting as a bridge between the board and the operating organization. The board believes this structure has enhanced board oversight and effectiveness, particularly with respect to the execution of our long-term business strategy and the transformative strategic transactions we have undertaken in recent years under Mr. Martin’s leadership. Mr. Martin’s involvement in our day-to-day operations has afforded him deep knowledge of the significant opportunities and challenges facing our businesses, which enables him to help focus our directors’ time and attention on the company’s most critical matters and to directly incorporate the board’s goals in his management of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38               </w:t>
      </w:r>
      <w:r>
        <w:rPr>
          <w:sz w:val="1"/>
          <w:szCs w:val="1"/>
          <w:color w:val="auto"/>
        </w:rPr>
        <w:drawing>
          <wp:inline distT="0" distB="0" distL="0" distR="0">
            <wp:extent cx="739140" cy="14414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60"/>
          </w:cols>
          <w:pgMar w:left="320" w:top="478"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780"/>
        <w:spacing w:after="0"/>
        <w:rPr>
          <w:sz w:val="20"/>
          <w:szCs w:val="20"/>
          <w:color w:val="auto"/>
        </w:rPr>
      </w:pPr>
      <w:r>
        <w:rPr>
          <w:rFonts w:ascii="Arial" w:cs="Arial" w:eastAsia="Arial" w:hAnsi="Arial"/>
          <w:sz w:val="10"/>
          <w:szCs w:val="10"/>
          <w:b w:val="1"/>
          <w:bCs w:val="1"/>
          <w:color w:val="7F7F7F"/>
        </w:rPr>
        <w:t>Proposals to be Voted On</w:t>
      </w:r>
    </w:p>
    <w:p>
      <w:pPr>
        <w:spacing w:after="0" w:line="156" w:lineRule="exact"/>
        <w:rPr>
          <w:sz w:val="20"/>
          <w:szCs w:val="20"/>
          <w:color w:val="auto"/>
        </w:rPr>
      </w:pPr>
    </w:p>
    <w:p>
      <w:pPr>
        <w:ind w:left="160" w:right="80"/>
        <w:spacing w:after="0" w:line="260" w:lineRule="auto"/>
        <w:rPr>
          <w:sz w:val="20"/>
          <w:szCs w:val="20"/>
          <w:color w:val="auto"/>
        </w:rPr>
      </w:pPr>
      <w:r>
        <w:rPr>
          <w:rFonts w:ascii="Arial" w:cs="Arial" w:eastAsia="Arial" w:hAnsi="Arial"/>
          <w:sz w:val="14"/>
          <w:szCs w:val="14"/>
          <w:color w:val="auto"/>
        </w:rPr>
        <w:t>In appointing the Lead Independent Director each year, the independent directors also carefully consider the board’s overall composition and relationships among all directors. Special focus is given to the relationship of the proposed Lead Independent Director with the Chairman of the Board and with the other independent directors, with a view toward enhancing the effectiveness of the Lead Independent Director role and ultimately the board.</w:t>
      </w:r>
    </w:p>
    <w:p>
      <w:pPr>
        <w:spacing w:after="0" w:line="65" w:lineRule="exact"/>
        <w:rPr>
          <w:sz w:val="20"/>
          <w:szCs w:val="20"/>
          <w:color w:val="auto"/>
        </w:rPr>
      </w:pPr>
    </w:p>
    <w:p>
      <w:pPr>
        <w:ind w:left="160" w:right="40"/>
        <w:spacing w:after="0" w:line="247" w:lineRule="auto"/>
        <w:rPr>
          <w:sz w:val="20"/>
          <w:szCs w:val="20"/>
          <w:color w:val="auto"/>
        </w:rPr>
      </w:pPr>
      <w:r>
        <w:rPr>
          <w:rFonts w:ascii="Arial" w:cs="Arial" w:eastAsia="Arial" w:hAnsi="Arial"/>
          <w:sz w:val="14"/>
          <w:szCs w:val="14"/>
          <w:color w:val="auto"/>
        </w:rPr>
        <w:t>In 2022, our board determined to refresh the Lead Independent Director position in accordance with our commitment to thoughtful board refreshment and appointed Cynthia J. Warner to this role. Ms. Warner, who has been a director of Sempra since 2019, has contributed a new perspective and skill set through her extensive experience in the global energy industry and related government service. Ms. Warner has been a highly engaged Lead Independent Director, playing a significant role in crucial board matters such as director onboarding, including attending orientation sessions for our newly elected directors and serving as a point of contact on key topics such as board functions and processes, as well as shareholder engagement, including personally attending meetings with shareholders during our 2025-2026 and prior engagement cycles since her appointment to the Lead Independent Director role.</w:t>
      </w:r>
    </w:p>
    <w:p>
      <w:pPr>
        <w:spacing w:after="0" w:line="76" w:lineRule="exact"/>
        <w:rPr>
          <w:sz w:val="20"/>
          <w:szCs w:val="20"/>
          <w:color w:val="auto"/>
        </w:rPr>
      </w:pPr>
    </w:p>
    <w:p>
      <w:pPr>
        <w:ind w:left="160" w:right="340"/>
        <w:spacing w:after="0" w:line="281" w:lineRule="auto"/>
        <w:rPr>
          <w:sz w:val="20"/>
          <w:szCs w:val="20"/>
          <w:color w:val="auto"/>
        </w:rPr>
      </w:pPr>
      <w:r>
        <w:rPr>
          <w:rFonts w:ascii="Arial" w:cs="Arial" w:eastAsia="Arial" w:hAnsi="Arial"/>
          <w:sz w:val="14"/>
          <w:szCs w:val="14"/>
          <w:color w:val="auto"/>
        </w:rPr>
        <w:t>For more information about the strengths of our acting Chairman and Chief Executive Officer and Lead Independent Director, see “Proposal 1: Election of Directors” and “Corporate Governance—Board of Directors—Leadership Structure.”</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Sempra Has Achieved Strong Corporate Performance Under Its Existing Board Leadership Structure</w:t>
      </w:r>
    </w:p>
    <w:p>
      <w:pPr>
        <w:spacing w:after="0" w:line="110" w:lineRule="exact"/>
        <w:rPr>
          <w:sz w:val="20"/>
          <w:szCs w:val="20"/>
          <w:color w:val="auto"/>
        </w:rPr>
      </w:pPr>
    </w:p>
    <w:p>
      <w:pPr>
        <w:ind w:left="160" w:right="60"/>
        <w:spacing w:after="0"/>
        <w:rPr>
          <w:sz w:val="20"/>
          <w:szCs w:val="20"/>
          <w:color w:val="auto"/>
        </w:rPr>
      </w:pPr>
      <w:r>
        <w:rPr>
          <w:rFonts w:ascii="Arial" w:cs="Arial" w:eastAsia="Arial" w:hAnsi="Arial"/>
          <w:sz w:val="14"/>
          <w:szCs w:val="14"/>
          <w:color w:val="auto"/>
        </w:rPr>
        <w:t>In its annual deliberations on its leadership structure, the board also considers our company’s performance during various periods to help determine the effectiveness of the existing board leadership structure and the acting Chairman of the Board. We implemented our current board leadership structure in 2012, which requires a Lead Independent Director with defined, robust responsibilities whenever the Chairman is not an independent director or the roles of Chairman and Chief Executive Officer are combined. Since then, the board has overseen the company’s execution of a disciplined capital recycling program that has enhanced shareholder value by prioritizing lower-risk, high-value transmission and distribution investments with a sharpening focus on Texas. By recycling capital into regulated U.S. utilities, including through our acquisitions of interests in Texas-based utilities, we achieved a CAGR of nearly 15% for our rate base and delivered total shareholder return of 303%, meaningfully outperforming the S&amp;P 500 Utilities Index, over this period.</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Additionally, with input from the board, we accelerated our capital recycling efforts over the past year through, among other things, our planned sale of a 45% equity interest in SI Partners for $9.99 billion dollars.</w:t>
      </w:r>
      <w:r>
        <w:rPr>
          <w:rFonts w:ascii="Arial" w:cs="Arial" w:eastAsia="Arial" w:hAnsi="Arial"/>
          <w:sz w:val="21"/>
          <w:szCs w:val="21"/>
          <w:color w:val="auto"/>
          <w:vertAlign w:val="superscript"/>
        </w:rPr>
        <w:t>(2)</w:t>
      </w:r>
      <w:r>
        <w:rPr>
          <w:rFonts w:ascii="Arial" w:cs="Arial" w:eastAsia="Arial" w:hAnsi="Arial"/>
          <w:sz w:val="14"/>
          <w:szCs w:val="14"/>
          <w:color w:val="auto"/>
        </w:rPr>
        <w:t xml:space="preserve"> With a strengthening balance sheet, a disciplined approach to capital deployment and a growing share of earnings expected to originate from our U.S. utility businesses, our company remains well positioned to deliver consistent long-term value to shareholders.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 Have Received Positive Shareholder Feedback on Our Board Leadership Structure</w:t>
      </w:r>
    </w:p>
    <w:p>
      <w:pPr>
        <w:spacing w:after="0" w:line="110" w:lineRule="exact"/>
        <w:rPr>
          <w:sz w:val="20"/>
          <w:szCs w:val="20"/>
          <w:color w:val="auto"/>
        </w:rPr>
      </w:pPr>
    </w:p>
    <w:p>
      <w:pPr>
        <w:jc w:val="both"/>
        <w:ind w:left="160" w:right="60"/>
        <w:spacing w:after="0" w:line="260" w:lineRule="auto"/>
        <w:rPr>
          <w:sz w:val="20"/>
          <w:szCs w:val="20"/>
          <w:color w:val="auto"/>
        </w:rPr>
      </w:pPr>
      <w:r>
        <w:rPr>
          <w:rFonts w:ascii="Arial" w:cs="Arial" w:eastAsia="Arial" w:hAnsi="Arial"/>
          <w:sz w:val="14"/>
          <w:szCs w:val="14"/>
          <w:color w:val="auto"/>
        </w:rPr>
        <w:t>We believe our board structure is responsive to the general preferences of the holders of a majority of our shares. Shareholders voted on independent chair policy proposals at our 2019, 2020, 2022 and 2023 annual shareholders meetings, none of which were approved and which received declining support over time (in terms of the percentage of votes cast).</w:t>
      </w:r>
    </w:p>
    <w:p>
      <w:pPr>
        <w:spacing w:after="0" w:line="65" w:lineRule="exact"/>
        <w:rPr>
          <w:sz w:val="20"/>
          <w:szCs w:val="20"/>
          <w:color w:val="auto"/>
        </w:rPr>
      </w:pPr>
    </w:p>
    <w:p>
      <w:pPr>
        <w:ind w:left="160" w:right="180"/>
        <w:spacing w:after="0" w:line="247" w:lineRule="auto"/>
        <w:rPr>
          <w:sz w:val="20"/>
          <w:szCs w:val="20"/>
          <w:color w:val="auto"/>
        </w:rPr>
      </w:pPr>
      <w:r>
        <w:rPr>
          <w:rFonts w:ascii="Arial" w:cs="Arial" w:eastAsia="Arial" w:hAnsi="Arial"/>
          <w:sz w:val="14"/>
          <w:szCs w:val="14"/>
          <w:color w:val="auto"/>
        </w:rPr>
        <w:t>In our robust shareholder engagement efforts in our 2025-2026 engagement cycle, we engaged with holders of approximately 50% of our outstanding shares of common stock on a variety of topics, which in some cases included their views on our board leadership structure. Among the shareholders with whom we engaged, the majority (in terms of number of shares represented) expressed no preference for an independent Chairman of the Board or has no preference for an independent Chairman of the Board, in some cases after taking into account certain additional factors such as the appointment of a Lead Independent Director with significant duties, as is the case with our board leadership structure. Based upon this feedback and various other factors, the board believes its existing flexible leadership structure is consistent with the preferences of the holders of a majority of our shares.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Retaining the Board’s Ability to Determine Its Optimal Leadership Structure is in Shareholders’ Interests</w:t>
      </w:r>
    </w:p>
    <w:p>
      <w:pPr>
        <w:spacing w:after="0" w:line="110" w:lineRule="exact"/>
        <w:rPr>
          <w:sz w:val="20"/>
          <w:szCs w:val="20"/>
          <w:color w:val="auto"/>
        </w:rPr>
      </w:pPr>
    </w:p>
    <w:p>
      <w:pPr>
        <w:ind w:left="160" w:right="60"/>
        <w:spacing w:after="0" w:line="246" w:lineRule="auto"/>
        <w:rPr>
          <w:sz w:val="20"/>
          <w:szCs w:val="20"/>
          <w:color w:val="auto"/>
        </w:rPr>
      </w:pPr>
      <w:r>
        <w:rPr>
          <w:rFonts w:ascii="Arial" w:cs="Arial" w:eastAsia="Arial" w:hAnsi="Arial"/>
          <w:sz w:val="14"/>
          <w:szCs w:val="14"/>
          <w:color w:val="auto"/>
        </w:rPr>
        <w:t>The board believes it should retain the flexibility to select the board leadership structure that is best suited to meet the needs of Sempra and our shareholders in light of prevailing circumstances. Adopting a rigid independent chair policy as requested by this proposal would unduly impair the board’s ability to annually name the director it believes is best suited for the role as Chairman of the Board and structure its leadership in the manner it believes most effectively serves company and shareholder interests at the time. In addition, our board believes the adoption of such a policy is contrary to the preferences of the holders of a majority of our shares and unnecessary due to Sempra’s strong governance practices, including our robust Lead Independent Director role and active and engaged independent directors, as well as the performance of our businesses and the value we have created for our shareholders since 2012, when we instituted a strong Lead Independent Director role with functions similar to an independent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138430</wp:posOffset>
            </wp:positionV>
            <wp:extent cx="6938010" cy="3054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38010" cy="305435"/>
                    </a:xfrm>
                    <a:prstGeom prst="rect">
                      <a:avLst/>
                    </a:prstGeom>
                    <a:noFill/>
                  </pic:spPr>
                </pic:pic>
              </a:graphicData>
            </a:graphic>
          </wp:anchor>
        </w:drawing>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21"/>
          <w:szCs w:val="21"/>
          <w:color w:val="001689"/>
        </w:rPr>
        <w:t>The Board of Directors recommends that you vote “AGAINST”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80" w:right="200" w:hanging="313"/>
        <w:spacing w:after="0" w:line="209" w:lineRule="auto"/>
        <w:tabs>
          <w:tab w:leader="none" w:pos="480" w:val="left"/>
        </w:tabs>
        <w:numPr>
          <w:ilvl w:val="0"/>
          <w:numId w:val="54"/>
        </w:numPr>
        <w:rPr>
          <w:rFonts w:ascii="Arial" w:cs="Arial" w:eastAsia="Arial" w:hAnsi="Arial"/>
          <w:sz w:val="19"/>
          <w:szCs w:val="19"/>
          <w:color w:val="auto"/>
          <w:vertAlign w:val="superscript"/>
        </w:rPr>
      </w:pPr>
      <w:r>
        <w:rPr>
          <w:rFonts w:ascii="Arial" w:cs="Arial" w:eastAsia="Arial" w:hAnsi="Arial"/>
          <w:sz w:val="12"/>
          <w:szCs w:val="12"/>
          <w:color w:val="auto"/>
        </w:rPr>
        <w:t>The board adopted revisions to our bylaws and Corporate Governance Guidelines on September 12, 2012 to implement our current board leadership structure. As a result, total shareholder return was calculated for the period from September 12, 2012 through December 31, 2025, and rate base CAGR, which can only be calculated on an annual basis, was calculated for the period from December 31, 2012 through December 31, 2025.</w:t>
      </w:r>
    </w:p>
    <w:p>
      <w:pPr>
        <w:spacing w:after="0" w:line="10" w:lineRule="exact"/>
        <w:rPr>
          <w:rFonts w:ascii="Arial" w:cs="Arial" w:eastAsia="Arial" w:hAnsi="Arial"/>
          <w:sz w:val="19"/>
          <w:szCs w:val="19"/>
          <w:color w:val="auto"/>
          <w:vertAlign w:val="superscript"/>
        </w:rPr>
      </w:pPr>
    </w:p>
    <w:p>
      <w:pPr>
        <w:ind w:left="480" w:right="160" w:hanging="313"/>
        <w:spacing w:after="0" w:line="209" w:lineRule="auto"/>
        <w:tabs>
          <w:tab w:leader="none" w:pos="480" w:val="left"/>
        </w:tabs>
        <w:numPr>
          <w:ilvl w:val="0"/>
          <w:numId w:val="54"/>
        </w:numPr>
        <w:rPr>
          <w:rFonts w:ascii="Arial" w:cs="Arial" w:eastAsia="Arial" w:hAnsi="Arial"/>
          <w:sz w:val="19"/>
          <w:szCs w:val="19"/>
          <w:color w:val="auto"/>
          <w:vertAlign w:val="superscript"/>
        </w:rPr>
      </w:pPr>
      <w:r>
        <w:rPr>
          <w:rFonts w:ascii="Arial" w:cs="Arial" w:eastAsia="Arial" w:hAnsi="Arial"/>
          <w:sz w:val="12"/>
          <w:szCs w:val="12"/>
          <w:color w:val="auto"/>
        </w:rPr>
        <w:t>The sale is subject to closing conditions, and the consideration reflects gross proceeds, which are subject to adjustments. Gross proceeds are before fee reimbursement of $338 million, development credit of $340 million and other closing and post-closing adjustments. Of the total gross proceeds, $5.3 billion are to be received post-closing under notes and other instruments expected to mature in December 2027 and December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297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222250</wp:posOffset>
            </wp:positionV>
            <wp:extent cx="739140" cy="144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39</w:t>
      </w:r>
    </w:p>
    <w:p>
      <w:pPr>
        <w:sectPr>
          <w:pgSz w:w="11900" w:h="16838" w:orient="portrait"/>
          <w:cols w:equalWidth="0" w:num="1">
            <w:col w:w="11080"/>
          </w:cols>
          <w:pgMar w:left="320" w:top="478"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Executive Compensation</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Compensation Discussion and Analysis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Executive Summary</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this Compensation Discussion and Analysis, we:</w:t>
      </w:r>
    </w:p>
    <w:p>
      <w:pPr>
        <w:spacing w:after="0" w:line="106" w:lineRule="exact"/>
        <w:rPr>
          <w:sz w:val="20"/>
          <w:szCs w:val="20"/>
          <w:color w:val="auto"/>
        </w:rPr>
      </w:pPr>
    </w:p>
    <w:p>
      <w:pPr>
        <w:ind w:left="480"/>
        <w:spacing w:after="0"/>
        <w:tabs>
          <w:tab w:leader="none" w:pos="780" w:val="left"/>
        </w:tabs>
        <w:rPr>
          <w:sz w:val="20"/>
          <w:szCs w:val="20"/>
          <w:color w:val="auto"/>
        </w:rPr>
      </w:pPr>
      <w:r>
        <w:rPr>
          <w:rFonts w:ascii="Times New Roman" w:cs="Times New Roman" w:eastAsia="Times New Roman" w:hAnsi="Times New Roman"/>
          <w:sz w:val="14"/>
          <w:szCs w:val="14"/>
          <w:color w:val="005CB9"/>
        </w:rPr>
        <w:t>•</w:t>
      </w:r>
      <w:r>
        <w:rPr>
          <w:sz w:val="20"/>
          <w:szCs w:val="20"/>
          <w:color w:val="auto"/>
        </w:rPr>
        <w:tab/>
      </w:r>
      <w:r>
        <w:rPr>
          <w:rFonts w:ascii="Arial" w:cs="Arial" w:eastAsia="Arial" w:hAnsi="Arial"/>
          <w:sz w:val="14"/>
          <w:szCs w:val="14"/>
          <w:color w:val="auto"/>
        </w:rPr>
        <w:t>Outline our compensation philosophy and program goals</w:t>
      </w:r>
    </w:p>
    <w:p>
      <w:pPr>
        <w:spacing w:after="0" w:line="119" w:lineRule="exact"/>
        <w:rPr>
          <w:sz w:val="20"/>
          <w:szCs w:val="20"/>
          <w:color w:val="auto"/>
        </w:rPr>
      </w:pPr>
    </w:p>
    <w:p>
      <w:pPr>
        <w:ind w:left="480"/>
        <w:spacing w:after="0"/>
        <w:tabs>
          <w:tab w:leader="none" w:pos="780" w:val="left"/>
        </w:tabs>
        <w:rPr>
          <w:sz w:val="20"/>
          <w:szCs w:val="20"/>
          <w:color w:val="auto"/>
        </w:rPr>
      </w:pPr>
      <w:r>
        <w:rPr>
          <w:rFonts w:ascii="Times New Roman" w:cs="Times New Roman" w:eastAsia="Times New Roman" w:hAnsi="Times New Roman"/>
          <w:sz w:val="14"/>
          <w:szCs w:val="14"/>
          <w:color w:val="005CB9"/>
        </w:rPr>
        <w:t>•</w:t>
      </w:r>
      <w:r>
        <w:rPr>
          <w:sz w:val="20"/>
          <w:szCs w:val="20"/>
          <w:color w:val="auto"/>
        </w:rPr>
        <w:tab/>
      </w:r>
      <w:r>
        <w:rPr>
          <w:rFonts w:ascii="Arial" w:cs="Arial" w:eastAsia="Arial" w:hAnsi="Arial"/>
          <w:sz w:val="14"/>
          <w:szCs w:val="14"/>
          <w:color w:val="auto"/>
        </w:rPr>
        <w:t>Discuss how the Compensation and Talent Development Committee determines executive pay</w:t>
      </w:r>
    </w:p>
    <w:p>
      <w:pPr>
        <w:spacing w:after="0" w:line="119" w:lineRule="exact"/>
        <w:rPr>
          <w:sz w:val="20"/>
          <w:szCs w:val="20"/>
          <w:color w:val="auto"/>
        </w:rPr>
      </w:pPr>
    </w:p>
    <w:p>
      <w:pPr>
        <w:ind w:left="480"/>
        <w:spacing w:after="0"/>
        <w:tabs>
          <w:tab w:leader="none" w:pos="780" w:val="left"/>
        </w:tabs>
        <w:rPr>
          <w:sz w:val="20"/>
          <w:szCs w:val="20"/>
          <w:color w:val="auto"/>
        </w:rPr>
      </w:pPr>
      <w:r>
        <w:rPr>
          <w:rFonts w:ascii="Times New Roman" w:cs="Times New Roman" w:eastAsia="Times New Roman" w:hAnsi="Times New Roman"/>
          <w:sz w:val="14"/>
          <w:szCs w:val="14"/>
          <w:color w:val="005CB9"/>
        </w:rPr>
        <w:t>•</w:t>
      </w:r>
      <w:r>
        <w:rPr>
          <w:sz w:val="20"/>
          <w:szCs w:val="20"/>
          <w:color w:val="auto"/>
        </w:rPr>
        <w:tab/>
      </w:r>
      <w:r>
        <w:rPr>
          <w:rFonts w:ascii="Arial" w:cs="Arial" w:eastAsia="Arial" w:hAnsi="Arial"/>
          <w:sz w:val="14"/>
          <w:szCs w:val="14"/>
          <w:color w:val="auto"/>
        </w:rPr>
        <w:t>Describe each element of executive pay, including base salaries, short-term and long-term incentives and executive benefits</w:t>
      </w:r>
    </w:p>
    <w:p>
      <w:pPr>
        <w:spacing w:after="0" w:line="119" w:lineRule="exact"/>
        <w:rPr>
          <w:sz w:val="20"/>
          <w:szCs w:val="20"/>
          <w:color w:val="auto"/>
        </w:rPr>
      </w:pPr>
    </w:p>
    <w:p>
      <w:pPr>
        <w:ind w:left="480"/>
        <w:spacing w:after="0"/>
        <w:tabs>
          <w:tab w:leader="none" w:pos="780" w:val="left"/>
        </w:tabs>
        <w:rPr>
          <w:sz w:val="20"/>
          <w:szCs w:val="20"/>
          <w:color w:val="auto"/>
        </w:rPr>
      </w:pPr>
      <w:r>
        <w:rPr>
          <w:rFonts w:ascii="Times New Roman" w:cs="Times New Roman" w:eastAsia="Times New Roman" w:hAnsi="Times New Roman"/>
          <w:sz w:val="14"/>
          <w:szCs w:val="14"/>
          <w:color w:val="005CB9"/>
        </w:rPr>
        <w:t>•</w:t>
      </w:r>
      <w:r>
        <w:rPr>
          <w:sz w:val="20"/>
          <w:szCs w:val="20"/>
          <w:color w:val="auto"/>
        </w:rPr>
        <w:tab/>
      </w:r>
      <w:r>
        <w:rPr>
          <w:rFonts w:ascii="Arial" w:cs="Arial" w:eastAsia="Arial" w:hAnsi="Arial"/>
          <w:sz w:val="14"/>
          <w:szCs w:val="14"/>
          <w:color w:val="auto"/>
        </w:rPr>
        <w:t>Describe the rationale for each element of executive pay in the context of our compensation philosophy and program goals</w:t>
      </w: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80" w:type="dxa"/>
            <w:vAlign w:val="bottom"/>
            <w:shd w:val="clear" w:color="auto" w:fill="005CB9"/>
          </w:tcPr>
          <w:p>
            <w:pPr>
              <w:spacing w:after="0"/>
              <w:rPr>
                <w:sz w:val="24"/>
                <w:szCs w:val="24"/>
                <w:color w:val="auto"/>
              </w:rPr>
            </w:pPr>
          </w:p>
        </w:tc>
        <w:tc>
          <w:tcPr>
            <w:tcW w:w="2200" w:type="dxa"/>
            <w:vAlign w:val="bottom"/>
            <w:gridSpan w:val="11"/>
            <w:shd w:val="clear" w:color="auto" w:fill="005CB9"/>
          </w:tcPr>
          <w:p>
            <w:pPr>
              <w:spacing w:after="0"/>
              <w:rPr>
                <w:sz w:val="20"/>
                <w:szCs w:val="20"/>
                <w:color w:val="auto"/>
              </w:rPr>
            </w:pPr>
            <w:r>
              <w:rPr>
                <w:rFonts w:ascii="Arial" w:cs="Arial" w:eastAsia="Arial" w:hAnsi="Arial"/>
                <w:sz w:val="14"/>
                <w:szCs w:val="14"/>
                <w:b w:val="1"/>
                <w:bCs w:val="1"/>
                <w:color w:val="FFFFFF"/>
              </w:rPr>
              <w:t>Section</w:t>
            </w:r>
          </w:p>
        </w:tc>
        <w:tc>
          <w:tcPr>
            <w:tcW w:w="20" w:type="dxa"/>
            <w:vAlign w:val="bottom"/>
            <w:shd w:val="clear" w:color="auto" w:fill="005CB9"/>
          </w:tcPr>
          <w:p>
            <w:pPr>
              <w:spacing w:after="0"/>
              <w:rPr>
                <w:sz w:val="24"/>
                <w:szCs w:val="24"/>
                <w:color w:val="auto"/>
              </w:rPr>
            </w:pPr>
          </w:p>
        </w:tc>
        <w:tc>
          <w:tcPr>
            <w:tcW w:w="180" w:type="dxa"/>
            <w:vAlign w:val="bottom"/>
            <w:shd w:val="clear" w:color="auto" w:fill="005CB9"/>
          </w:tcPr>
          <w:p>
            <w:pPr>
              <w:spacing w:after="0"/>
              <w:rPr>
                <w:sz w:val="24"/>
                <w:szCs w:val="24"/>
                <w:color w:val="auto"/>
              </w:rPr>
            </w:pPr>
          </w:p>
        </w:tc>
        <w:tc>
          <w:tcPr>
            <w:tcW w:w="140" w:type="dxa"/>
            <w:vAlign w:val="bottom"/>
            <w:shd w:val="clear" w:color="auto" w:fill="005CB9"/>
          </w:tcPr>
          <w:p>
            <w:pPr>
              <w:spacing w:after="0"/>
              <w:rPr>
                <w:sz w:val="24"/>
                <w:szCs w:val="24"/>
                <w:color w:val="auto"/>
              </w:rPr>
            </w:pPr>
          </w:p>
        </w:tc>
        <w:tc>
          <w:tcPr>
            <w:tcW w:w="100" w:type="dxa"/>
            <w:vAlign w:val="bottom"/>
            <w:shd w:val="clear" w:color="auto" w:fill="005CB9"/>
          </w:tcPr>
          <w:p>
            <w:pPr>
              <w:spacing w:after="0"/>
              <w:rPr>
                <w:sz w:val="24"/>
                <w:szCs w:val="24"/>
                <w:color w:val="auto"/>
              </w:rPr>
            </w:pPr>
          </w:p>
        </w:tc>
        <w:tc>
          <w:tcPr>
            <w:tcW w:w="260" w:type="dxa"/>
            <w:vAlign w:val="bottom"/>
            <w:shd w:val="clear" w:color="auto" w:fill="005CB9"/>
          </w:tcPr>
          <w:p>
            <w:pPr>
              <w:spacing w:after="0"/>
              <w:rPr>
                <w:sz w:val="24"/>
                <w:szCs w:val="24"/>
                <w:color w:val="auto"/>
              </w:rPr>
            </w:pPr>
          </w:p>
        </w:tc>
        <w:tc>
          <w:tcPr>
            <w:tcW w:w="60" w:type="dxa"/>
            <w:vAlign w:val="bottom"/>
            <w:shd w:val="clear" w:color="auto" w:fill="005CB9"/>
          </w:tcPr>
          <w:p>
            <w:pPr>
              <w:spacing w:after="0"/>
              <w:rPr>
                <w:sz w:val="24"/>
                <w:szCs w:val="24"/>
                <w:color w:val="auto"/>
              </w:rPr>
            </w:pPr>
          </w:p>
        </w:tc>
        <w:tc>
          <w:tcPr>
            <w:tcW w:w="60" w:type="dxa"/>
            <w:vAlign w:val="bottom"/>
            <w:shd w:val="clear" w:color="auto" w:fill="005CB9"/>
          </w:tcPr>
          <w:p>
            <w:pPr>
              <w:spacing w:after="0"/>
              <w:rPr>
                <w:sz w:val="24"/>
                <w:szCs w:val="24"/>
                <w:color w:val="auto"/>
              </w:rPr>
            </w:pPr>
          </w:p>
        </w:tc>
        <w:tc>
          <w:tcPr>
            <w:tcW w:w="60" w:type="dxa"/>
            <w:vAlign w:val="bottom"/>
            <w:shd w:val="clear" w:color="auto" w:fill="005CB9"/>
          </w:tcPr>
          <w:p>
            <w:pPr>
              <w:spacing w:after="0"/>
              <w:rPr>
                <w:sz w:val="24"/>
                <w:szCs w:val="24"/>
                <w:color w:val="auto"/>
              </w:rPr>
            </w:pPr>
          </w:p>
        </w:tc>
        <w:tc>
          <w:tcPr>
            <w:tcW w:w="80" w:type="dxa"/>
            <w:vAlign w:val="bottom"/>
            <w:shd w:val="clear" w:color="auto" w:fill="005CB9"/>
          </w:tcPr>
          <w:p>
            <w:pPr>
              <w:spacing w:after="0"/>
              <w:rPr>
                <w:sz w:val="24"/>
                <w:szCs w:val="24"/>
                <w:color w:val="auto"/>
              </w:rPr>
            </w:pPr>
          </w:p>
        </w:tc>
        <w:tc>
          <w:tcPr>
            <w:tcW w:w="220" w:type="dxa"/>
            <w:vAlign w:val="bottom"/>
            <w:shd w:val="clear" w:color="auto" w:fill="005CB9"/>
          </w:tcPr>
          <w:p>
            <w:pPr>
              <w:spacing w:after="0"/>
              <w:rPr>
                <w:sz w:val="24"/>
                <w:szCs w:val="24"/>
                <w:color w:val="auto"/>
              </w:rPr>
            </w:pPr>
          </w:p>
        </w:tc>
        <w:tc>
          <w:tcPr>
            <w:tcW w:w="460" w:type="dxa"/>
            <w:vAlign w:val="bottom"/>
            <w:shd w:val="clear" w:color="auto" w:fill="005CB9"/>
          </w:tcPr>
          <w:p>
            <w:pPr>
              <w:spacing w:after="0"/>
              <w:rPr>
                <w:sz w:val="24"/>
                <w:szCs w:val="24"/>
                <w:color w:val="auto"/>
              </w:rPr>
            </w:pPr>
          </w:p>
        </w:tc>
        <w:tc>
          <w:tcPr>
            <w:tcW w:w="1460" w:type="dxa"/>
            <w:vAlign w:val="bottom"/>
            <w:shd w:val="clear" w:color="auto" w:fill="005CB9"/>
          </w:tcPr>
          <w:p>
            <w:pPr>
              <w:spacing w:after="0"/>
              <w:rPr>
                <w:sz w:val="24"/>
                <w:szCs w:val="24"/>
                <w:color w:val="auto"/>
              </w:rPr>
            </w:pPr>
          </w:p>
        </w:tc>
        <w:tc>
          <w:tcPr>
            <w:tcW w:w="4760" w:type="dxa"/>
            <w:vAlign w:val="bottom"/>
            <w:shd w:val="clear" w:color="auto" w:fill="005CB9"/>
          </w:tcPr>
          <w:p>
            <w:pPr>
              <w:spacing w:after="0"/>
              <w:rPr>
                <w:sz w:val="24"/>
                <w:szCs w:val="24"/>
                <w:color w:val="auto"/>
              </w:rPr>
            </w:pPr>
          </w:p>
        </w:tc>
        <w:tc>
          <w:tcPr>
            <w:tcW w:w="780" w:type="dxa"/>
            <w:vAlign w:val="bottom"/>
            <w:shd w:val="clear" w:color="auto" w:fill="005CB9"/>
          </w:tcPr>
          <w:p>
            <w:pPr>
              <w:jc w:val="right"/>
              <w:ind w:right="149"/>
              <w:spacing w:after="0"/>
              <w:rPr>
                <w:sz w:val="20"/>
                <w:szCs w:val="20"/>
                <w:color w:val="auto"/>
              </w:rPr>
            </w:pPr>
            <w:r>
              <w:rPr>
                <w:rFonts w:ascii="Arial" w:cs="Arial" w:eastAsia="Arial" w:hAnsi="Arial"/>
                <w:sz w:val="14"/>
                <w:szCs w:val="14"/>
                <w:b w:val="1"/>
                <w:bCs w:val="1"/>
                <w:color w:val="FFFFFF"/>
              </w:rPr>
              <w:t>Page</w:t>
            </w:r>
          </w:p>
        </w:tc>
      </w:tr>
      <w:tr>
        <w:trPr>
          <w:trHeight w:val="82"/>
        </w:trPr>
        <w:tc>
          <w:tcPr>
            <w:tcW w:w="80" w:type="dxa"/>
            <w:vAlign w:val="bottom"/>
            <w:shd w:val="clear" w:color="auto" w:fill="005CB9"/>
          </w:tcPr>
          <w:p>
            <w:pPr>
              <w:spacing w:after="0"/>
              <w:rPr>
                <w:sz w:val="7"/>
                <w:szCs w:val="7"/>
                <w:color w:val="auto"/>
              </w:rPr>
            </w:pPr>
          </w:p>
        </w:tc>
        <w:tc>
          <w:tcPr>
            <w:tcW w:w="140" w:type="dxa"/>
            <w:vAlign w:val="bottom"/>
            <w:shd w:val="clear" w:color="auto" w:fill="005CB9"/>
          </w:tcPr>
          <w:p>
            <w:pPr>
              <w:spacing w:after="0"/>
              <w:rPr>
                <w:sz w:val="7"/>
                <w:szCs w:val="7"/>
                <w:color w:val="auto"/>
              </w:rPr>
            </w:pPr>
          </w:p>
        </w:tc>
        <w:tc>
          <w:tcPr>
            <w:tcW w:w="1040" w:type="dxa"/>
            <w:vAlign w:val="bottom"/>
            <w:shd w:val="clear" w:color="auto" w:fill="005CB9"/>
          </w:tcPr>
          <w:p>
            <w:pPr>
              <w:spacing w:after="0"/>
              <w:rPr>
                <w:sz w:val="7"/>
                <w:szCs w:val="7"/>
                <w:color w:val="auto"/>
              </w:rPr>
            </w:pPr>
          </w:p>
        </w:tc>
        <w:tc>
          <w:tcPr>
            <w:tcW w:w="140" w:type="dxa"/>
            <w:vAlign w:val="bottom"/>
            <w:shd w:val="clear" w:color="auto" w:fill="005CB9"/>
          </w:tcPr>
          <w:p>
            <w:pPr>
              <w:spacing w:after="0"/>
              <w:rPr>
                <w:sz w:val="7"/>
                <w:szCs w:val="7"/>
                <w:color w:val="auto"/>
              </w:rPr>
            </w:pPr>
          </w:p>
        </w:tc>
        <w:tc>
          <w:tcPr>
            <w:tcW w:w="40" w:type="dxa"/>
            <w:vAlign w:val="bottom"/>
            <w:shd w:val="clear" w:color="auto" w:fill="005CB9"/>
          </w:tcPr>
          <w:p>
            <w:pPr>
              <w:spacing w:after="0"/>
              <w:rPr>
                <w:sz w:val="7"/>
                <w:szCs w:val="7"/>
                <w:color w:val="auto"/>
              </w:rPr>
            </w:pPr>
          </w:p>
        </w:tc>
        <w:tc>
          <w:tcPr>
            <w:tcW w:w="140" w:type="dxa"/>
            <w:vAlign w:val="bottom"/>
            <w:shd w:val="clear" w:color="auto" w:fill="005CB9"/>
          </w:tcPr>
          <w:p>
            <w:pPr>
              <w:spacing w:after="0"/>
              <w:rPr>
                <w:sz w:val="7"/>
                <w:szCs w:val="7"/>
                <w:color w:val="auto"/>
              </w:rPr>
            </w:pPr>
          </w:p>
        </w:tc>
        <w:tc>
          <w:tcPr>
            <w:tcW w:w="260" w:type="dxa"/>
            <w:vAlign w:val="bottom"/>
            <w:shd w:val="clear" w:color="auto" w:fill="005CB9"/>
          </w:tcPr>
          <w:p>
            <w:pPr>
              <w:spacing w:after="0"/>
              <w:rPr>
                <w:sz w:val="7"/>
                <w:szCs w:val="7"/>
                <w:color w:val="auto"/>
              </w:rPr>
            </w:pPr>
          </w:p>
        </w:tc>
        <w:tc>
          <w:tcPr>
            <w:tcW w:w="140" w:type="dxa"/>
            <w:vAlign w:val="bottom"/>
            <w:shd w:val="clear" w:color="auto" w:fill="005CB9"/>
          </w:tcPr>
          <w:p>
            <w:pPr>
              <w:spacing w:after="0"/>
              <w:rPr>
                <w:sz w:val="7"/>
                <w:szCs w:val="7"/>
                <w:color w:val="auto"/>
              </w:rPr>
            </w:pPr>
          </w:p>
        </w:tc>
        <w:tc>
          <w:tcPr>
            <w:tcW w:w="40" w:type="dxa"/>
            <w:vAlign w:val="bottom"/>
            <w:shd w:val="clear" w:color="auto" w:fill="005CB9"/>
          </w:tcPr>
          <w:p>
            <w:pPr>
              <w:spacing w:after="0"/>
              <w:rPr>
                <w:sz w:val="7"/>
                <w:szCs w:val="7"/>
                <w:color w:val="auto"/>
              </w:rPr>
            </w:pPr>
          </w:p>
        </w:tc>
        <w:tc>
          <w:tcPr>
            <w:tcW w:w="140" w:type="dxa"/>
            <w:vAlign w:val="bottom"/>
            <w:shd w:val="clear" w:color="auto" w:fill="005CB9"/>
          </w:tcPr>
          <w:p>
            <w:pPr>
              <w:spacing w:after="0"/>
              <w:rPr>
                <w:sz w:val="7"/>
                <w:szCs w:val="7"/>
                <w:color w:val="auto"/>
              </w:rPr>
            </w:pPr>
          </w:p>
        </w:tc>
        <w:tc>
          <w:tcPr>
            <w:tcW w:w="60" w:type="dxa"/>
            <w:vAlign w:val="bottom"/>
            <w:shd w:val="clear" w:color="auto" w:fill="005CB9"/>
          </w:tcPr>
          <w:p>
            <w:pPr>
              <w:spacing w:after="0"/>
              <w:rPr>
                <w:sz w:val="7"/>
                <w:szCs w:val="7"/>
                <w:color w:val="auto"/>
              </w:rPr>
            </w:pPr>
          </w:p>
        </w:tc>
        <w:tc>
          <w:tcPr>
            <w:tcW w:w="60" w:type="dxa"/>
            <w:vAlign w:val="bottom"/>
            <w:shd w:val="clear" w:color="auto" w:fill="005CB9"/>
          </w:tcPr>
          <w:p>
            <w:pPr>
              <w:spacing w:after="0"/>
              <w:rPr>
                <w:sz w:val="7"/>
                <w:szCs w:val="7"/>
                <w:color w:val="auto"/>
              </w:rPr>
            </w:pPr>
          </w:p>
        </w:tc>
        <w:tc>
          <w:tcPr>
            <w:tcW w:w="20" w:type="dxa"/>
            <w:vAlign w:val="bottom"/>
            <w:shd w:val="clear" w:color="auto" w:fill="005CB9"/>
          </w:tcPr>
          <w:p>
            <w:pPr>
              <w:spacing w:after="0"/>
              <w:rPr>
                <w:sz w:val="7"/>
                <w:szCs w:val="7"/>
                <w:color w:val="auto"/>
              </w:rPr>
            </w:pPr>
          </w:p>
        </w:tc>
        <w:tc>
          <w:tcPr>
            <w:tcW w:w="180" w:type="dxa"/>
            <w:vAlign w:val="bottom"/>
            <w:shd w:val="clear" w:color="auto" w:fill="005CB9"/>
          </w:tcPr>
          <w:p>
            <w:pPr>
              <w:spacing w:after="0"/>
              <w:rPr>
                <w:sz w:val="7"/>
                <w:szCs w:val="7"/>
                <w:color w:val="auto"/>
              </w:rPr>
            </w:pPr>
          </w:p>
        </w:tc>
        <w:tc>
          <w:tcPr>
            <w:tcW w:w="140" w:type="dxa"/>
            <w:vAlign w:val="bottom"/>
            <w:shd w:val="clear" w:color="auto" w:fill="005CB9"/>
          </w:tcPr>
          <w:p>
            <w:pPr>
              <w:spacing w:after="0"/>
              <w:rPr>
                <w:sz w:val="7"/>
                <w:szCs w:val="7"/>
                <w:color w:val="auto"/>
              </w:rPr>
            </w:pPr>
          </w:p>
        </w:tc>
        <w:tc>
          <w:tcPr>
            <w:tcW w:w="100" w:type="dxa"/>
            <w:vAlign w:val="bottom"/>
            <w:shd w:val="clear" w:color="auto" w:fill="005CB9"/>
          </w:tcPr>
          <w:p>
            <w:pPr>
              <w:spacing w:after="0"/>
              <w:rPr>
                <w:sz w:val="7"/>
                <w:szCs w:val="7"/>
                <w:color w:val="auto"/>
              </w:rPr>
            </w:pPr>
          </w:p>
        </w:tc>
        <w:tc>
          <w:tcPr>
            <w:tcW w:w="260" w:type="dxa"/>
            <w:vAlign w:val="bottom"/>
            <w:shd w:val="clear" w:color="auto" w:fill="005CB9"/>
          </w:tcPr>
          <w:p>
            <w:pPr>
              <w:spacing w:after="0"/>
              <w:rPr>
                <w:sz w:val="7"/>
                <w:szCs w:val="7"/>
                <w:color w:val="auto"/>
              </w:rPr>
            </w:pPr>
          </w:p>
        </w:tc>
        <w:tc>
          <w:tcPr>
            <w:tcW w:w="60" w:type="dxa"/>
            <w:vAlign w:val="bottom"/>
            <w:shd w:val="clear" w:color="auto" w:fill="005CB9"/>
          </w:tcPr>
          <w:p>
            <w:pPr>
              <w:spacing w:after="0"/>
              <w:rPr>
                <w:sz w:val="7"/>
                <w:szCs w:val="7"/>
                <w:color w:val="auto"/>
              </w:rPr>
            </w:pPr>
          </w:p>
        </w:tc>
        <w:tc>
          <w:tcPr>
            <w:tcW w:w="60" w:type="dxa"/>
            <w:vAlign w:val="bottom"/>
            <w:shd w:val="clear" w:color="auto" w:fill="005CB9"/>
          </w:tcPr>
          <w:p>
            <w:pPr>
              <w:spacing w:after="0"/>
              <w:rPr>
                <w:sz w:val="7"/>
                <w:szCs w:val="7"/>
                <w:color w:val="auto"/>
              </w:rPr>
            </w:pPr>
          </w:p>
        </w:tc>
        <w:tc>
          <w:tcPr>
            <w:tcW w:w="60" w:type="dxa"/>
            <w:vAlign w:val="bottom"/>
            <w:shd w:val="clear" w:color="auto" w:fill="005CB9"/>
          </w:tcPr>
          <w:p>
            <w:pPr>
              <w:spacing w:after="0"/>
              <w:rPr>
                <w:sz w:val="7"/>
                <w:szCs w:val="7"/>
                <w:color w:val="auto"/>
              </w:rPr>
            </w:pPr>
          </w:p>
        </w:tc>
        <w:tc>
          <w:tcPr>
            <w:tcW w:w="80" w:type="dxa"/>
            <w:vAlign w:val="bottom"/>
            <w:shd w:val="clear" w:color="auto" w:fill="005CB9"/>
          </w:tcPr>
          <w:p>
            <w:pPr>
              <w:spacing w:after="0"/>
              <w:rPr>
                <w:sz w:val="7"/>
                <w:szCs w:val="7"/>
                <w:color w:val="auto"/>
              </w:rPr>
            </w:pPr>
          </w:p>
        </w:tc>
        <w:tc>
          <w:tcPr>
            <w:tcW w:w="220" w:type="dxa"/>
            <w:vAlign w:val="bottom"/>
            <w:shd w:val="clear" w:color="auto" w:fill="005CB9"/>
          </w:tcPr>
          <w:p>
            <w:pPr>
              <w:spacing w:after="0"/>
              <w:rPr>
                <w:sz w:val="7"/>
                <w:szCs w:val="7"/>
                <w:color w:val="auto"/>
              </w:rPr>
            </w:pPr>
          </w:p>
        </w:tc>
        <w:tc>
          <w:tcPr>
            <w:tcW w:w="460" w:type="dxa"/>
            <w:vAlign w:val="bottom"/>
            <w:shd w:val="clear" w:color="auto" w:fill="005CB9"/>
          </w:tcPr>
          <w:p>
            <w:pPr>
              <w:spacing w:after="0"/>
              <w:rPr>
                <w:sz w:val="7"/>
                <w:szCs w:val="7"/>
                <w:color w:val="auto"/>
              </w:rPr>
            </w:pPr>
          </w:p>
        </w:tc>
        <w:tc>
          <w:tcPr>
            <w:tcW w:w="1460" w:type="dxa"/>
            <w:vAlign w:val="bottom"/>
            <w:shd w:val="clear" w:color="auto" w:fill="005CB9"/>
          </w:tcPr>
          <w:p>
            <w:pPr>
              <w:spacing w:after="0"/>
              <w:rPr>
                <w:sz w:val="7"/>
                <w:szCs w:val="7"/>
                <w:color w:val="auto"/>
              </w:rPr>
            </w:pPr>
          </w:p>
        </w:tc>
        <w:tc>
          <w:tcPr>
            <w:tcW w:w="4760" w:type="dxa"/>
            <w:vAlign w:val="bottom"/>
            <w:shd w:val="clear" w:color="auto" w:fill="005CB9"/>
          </w:tcPr>
          <w:p>
            <w:pPr>
              <w:spacing w:after="0"/>
              <w:rPr>
                <w:sz w:val="7"/>
                <w:szCs w:val="7"/>
                <w:color w:val="auto"/>
              </w:rPr>
            </w:pPr>
          </w:p>
        </w:tc>
        <w:tc>
          <w:tcPr>
            <w:tcW w:w="780" w:type="dxa"/>
            <w:vAlign w:val="bottom"/>
            <w:shd w:val="clear" w:color="auto" w:fill="005CB9"/>
          </w:tcPr>
          <w:p>
            <w:pPr>
              <w:spacing w:after="0"/>
              <w:rPr>
                <w:sz w:val="7"/>
                <w:szCs w:val="7"/>
                <w:color w:val="auto"/>
              </w:rPr>
            </w:pPr>
          </w:p>
        </w:tc>
      </w:tr>
      <w:tr>
        <w:trPr>
          <w:trHeight w:val="254"/>
        </w:trPr>
        <w:tc>
          <w:tcPr>
            <w:tcW w:w="80" w:type="dxa"/>
            <w:vAlign w:val="bottom"/>
          </w:tcPr>
          <w:p>
            <w:pPr>
              <w:spacing w:after="0"/>
              <w:rPr>
                <w:sz w:val="22"/>
                <w:szCs w:val="22"/>
                <w:color w:val="auto"/>
              </w:rPr>
            </w:pPr>
          </w:p>
        </w:tc>
        <w:tc>
          <w:tcPr>
            <w:tcW w:w="2200" w:type="dxa"/>
            <w:vAlign w:val="bottom"/>
            <w:gridSpan w:val="11"/>
          </w:tcPr>
          <w:p>
            <w:pPr>
              <w:spacing w:after="0"/>
              <w:rPr>
                <w:sz w:val="20"/>
                <w:szCs w:val="20"/>
                <w:color w:val="auto"/>
              </w:rPr>
            </w:pPr>
            <w:r>
              <w:rPr>
                <w:rFonts w:ascii="Arial" w:cs="Arial" w:eastAsia="Arial" w:hAnsi="Arial"/>
                <w:sz w:val="14"/>
                <w:szCs w:val="14"/>
                <w:b w:val="1"/>
                <w:bCs w:val="1"/>
                <w:color w:val="0000EE"/>
              </w:rPr>
              <w:t>Executive Summary</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40</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20" w:type="dxa"/>
            <w:vAlign w:val="bottom"/>
            <w:tcBorders>
              <w:bottom w:val="single" w:sz="8" w:color="7F7F7F"/>
            </w:tcBorders>
          </w:tcPr>
          <w:p>
            <w:pPr>
              <w:spacing w:after="0"/>
              <w:rPr>
                <w:sz w:val="8"/>
                <w:szCs w:val="8"/>
                <w:color w:val="auto"/>
              </w:rPr>
            </w:pPr>
          </w:p>
        </w:tc>
        <w:tc>
          <w:tcPr>
            <w:tcW w:w="1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2200" w:type="dxa"/>
            <w:vAlign w:val="bottom"/>
            <w:gridSpan w:val="11"/>
            <w:shd w:val="clear" w:color="auto" w:fill="F2F2F2"/>
          </w:tcPr>
          <w:p>
            <w:pPr>
              <w:ind w:left="140"/>
              <w:spacing w:after="0"/>
              <w:rPr>
                <w:sz w:val="20"/>
                <w:szCs w:val="20"/>
                <w:color w:val="auto"/>
              </w:rPr>
            </w:pPr>
            <w:r>
              <w:rPr>
                <w:rFonts w:ascii="Arial" w:cs="Arial" w:eastAsia="Arial" w:hAnsi="Arial"/>
                <w:sz w:val="14"/>
                <w:szCs w:val="14"/>
                <w:color w:val="0000EE"/>
              </w:rPr>
              <w:t>Business Overview and Strategy</w:t>
            </w:r>
          </w:p>
        </w:tc>
        <w:tc>
          <w:tcPr>
            <w:tcW w:w="20" w:type="dxa"/>
            <w:vAlign w:val="bottom"/>
            <w:shd w:val="clear" w:color="auto" w:fill="F2F2F2"/>
          </w:tcPr>
          <w:p>
            <w:pPr>
              <w:spacing w:after="0"/>
              <w:rPr>
                <w:sz w:val="20"/>
                <w:szCs w:val="20"/>
                <w:color w:val="auto"/>
              </w:rPr>
            </w:pPr>
          </w:p>
        </w:tc>
        <w:tc>
          <w:tcPr>
            <w:tcW w:w="180" w:type="dxa"/>
            <w:vAlign w:val="bottom"/>
            <w:shd w:val="clear" w:color="auto" w:fill="F2F2F2"/>
          </w:tcPr>
          <w:p>
            <w:pPr>
              <w:spacing w:after="0"/>
              <w:rPr>
                <w:sz w:val="20"/>
                <w:szCs w:val="20"/>
                <w:color w:val="auto"/>
              </w:rPr>
            </w:pPr>
          </w:p>
        </w:tc>
        <w:tc>
          <w:tcPr>
            <w:tcW w:w="140" w:type="dxa"/>
            <w:vAlign w:val="bottom"/>
            <w:shd w:val="clear" w:color="auto" w:fill="F2F2F2"/>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2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1460" w:type="dxa"/>
            <w:vAlign w:val="bottom"/>
            <w:shd w:val="clear" w:color="auto" w:fill="F2F2F2"/>
          </w:tcPr>
          <w:p>
            <w:pPr>
              <w:spacing w:after="0"/>
              <w:rPr>
                <w:sz w:val="20"/>
                <w:szCs w:val="20"/>
                <w:color w:val="auto"/>
              </w:rPr>
            </w:pPr>
          </w:p>
        </w:tc>
        <w:tc>
          <w:tcPr>
            <w:tcW w:w="4760" w:type="dxa"/>
            <w:vAlign w:val="bottom"/>
            <w:shd w:val="clear" w:color="auto" w:fill="F2F2F2"/>
          </w:tcPr>
          <w:p>
            <w:pPr>
              <w:spacing w:after="0"/>
              <w:rPr>
                <w:sz w:val="20"/>
                <w:szCs w:val="20"/>
                <w:color w:val="auto"/>
              </w:rPr>
            </w:pP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41</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20" w:type="dxa"/>
            <w:vAlign w:val="bottom"/>
            <w:tcBorders>
              <w:top w:val="single" w:sz="8" w:color="F2F2F2"/>
              <w:bottom w:val="single" w:sz="8" w:color="7F7F7F"/>
            </w:tcBorders>
            <w:shd w:val="clear" w:color="auto" w:fill="F2F2F2"/>
          </w:tcPr>
          <w:p>
            <w:pPr>
              <w:spacing w:after="0"/>
              <w:rPr>
                <w:sz w:val="8"/>
                <w:szCs w:val="8"/>
                <w:color w:val="auto"/>
              </w:rPr>
            </w:pPr>
          </w:p>
        </w:tc>
        <w:tc>
          <w:tcPr>
            <w:tcW w:w="1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0" w:type="dxa"/>
            <w:vAlign w:val="bottom"/>
            <w:tcBorders>
              <w:top w:val="single" w:sz="8" w:color="F2F2F2"/>
              <w:bottom w:val="single" w:sz="8" w:color="7F7F7F"/>
            </w:tcBorders>
            <w:shd w:val="clear" w:color="auto" w:fill="F2F2F2"/>
          </w:tcPr>
          <w:p>
            <w:pPr>
              <w:spacing w:after="0"/>
              <w:rPr>
                <w:sz w:val="8"/>
                <w:szCs w:val="8"/>
                <w:color w:val="auto"/>
              </w:rPr>
            </w:pPr>
          </w:p>
        </w:tc>
        <w:tc>
          <w:tcPr>
            <w:tcW w:w="2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2200" w:type="dxa"/>
            <w:vAlign w:val="bottom"/>
            <w:gridSpan w:val="11"/>
          </w:tcPr>
          <w:p>
            <w:pPr>
              <w:ind w:left="140"/>
              <w:spacing w:after="0"/>
              <w:rPr>
                <w:sz w:val="20"/>
                <w:szCs w:val="20"/>
                <w:color w:val="auto"/>
              </w:rPr>
            </w:pPr>
            <w:r>
              <w:rPr>
                <w:rFonts w:ascii="Arial" w:cs="Arial" w:eastAsia="Arial" w:hAnsi="Arial"/>
                <w:sz w:val="14"/>
                <w:szCs w:val="14"/>
                <w:color w:val="0000EE"/>
              </w:rPr>
              <w:t>Long-Term Growth</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41</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20" w:type="dxa"/>
            <w:vAlign w:val="bottom"/>
            <w:tcBorders>
              <w:bottom w:val="single" w:sz="8" w:color="7F7F7F"/>
            </w:tcBorders>
          </w:tcPr>
          <w:p>
            <w:pPr>
              <w:spacing w:after="0"/>
              <w:rPr>
                <w:sz w:val="8"/>
                <w:szCs w:val="8"/>
                <w:color w:val="auto"/>
              </w:rPr>
            </w:pPr>
          </w:p>
        </w:tc>
        <w:tc>
          <w:tcPr>
            <w:tcW w:w="1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10060" w:type="dxa"/>
            <w:vAlign w:val="bottom"/>
            <w:gridSpan w:val="24"/>
            <w:shd w:val="clear" w:color="auto" w:fill="F2F2F2"/>
          </w:tcPr>
          <w:p>
            <w:pPr>
              <w:ind w:left="140"/>
              <w:spacing w:after="0"/>
              <w:rPr>
                <w:sz w:val="20"/>
                <w:szCs w:val="20"/>
                <w:color w:val="auto"/>
              </w:rPr>
            </w:pPr>
            <w:r>
              <w:rPr>
                <w:rFonts w:ascii="Arial" w:cs="Arial" w:eastAsia="Arial" w:hAnsi="Arial"/>
                <w:sz w:val="14"/>
                <w:szCs w:val="14"/>
                <w:color w:val="0000EE"/>
              </w:rPr>
              <w:t>Strategic Performance Highlights</w:t>
            </w: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43</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20" w:type="dxa"/>
            <w:vAlign w:val="bottom"/>
            <w:tcBorders>
              <w:top w:val="single" w:sz="8" w:color="0000EE"/>
              <w:bottom w:val="single" w:sz="8" w:color="7F7F7F"/>
            </w:tcBorders>
            <w:shd w:val="clear" w:color="auto" w:fill="F2F2F2"/>
          </w:tcPr>
          <w:p>
            <w:pPr>
              <w:spacing w:after="0"/>
              <w:rPr>
                <w:sz w:val="8"/>
                <w:szCs w:val="8"/>
                <w:color w:val="auto"/>
              </w:rPr>
            </w:pPr>
          </w:p>
        </w:tc>
        <w:tc>
          <w:tcPr>
            <w:tcW w:w="1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0" w:type="dxa"/>
            <w:vAlign w:val="bottom"/>
            <w:tcBorders>
              <w:top w:val="single" w:sz="8" w:color="F2F2F2"/>
              <w:bottom w:val="single" w:sz="8" w:color="7F7F7F"/>
            </w:tcBorders>
            <w:shd w:val="clear" w:color="auto" w:fill="F2F2F2"/>
          </w:tcPr>
          <w:p>
            <w:pPr>
              <w:spacing w:after="0"/>
              <w:rPr>
                <w:sz w:val="8"/>
                <w:szCs w:val="8"/>
                <w:color w:val="auto"/>
              </w:rPr>
            </w:pPr>
          </w:p>
        </w:tc>
        <w:tc>
          <w:tcPr>
            <w:tcW w:w="2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2200" w:type="dxa"/>
            <w:vAlign w:val="bottom"/>
            <w:gridSpan w:val="11"/>
          </w:tcPr>
          <w:p>
            <w:pPr>
              <w:ind w:left="140"/>
              <w:spacing w:after="0"/>
              <w:rPr>
                <w:sz w:val="20"/>
                <w:szCs w:val="20"/>
                <w:color w:val="auto"/>
              </w:rPr>
            </w:pPr>
            <w:r>
              <w:rPr>
                <w:rFonts w:ascii="Arial" w:cs="Arial" w:eastAsia="Arial" w:hAnsi="Arial"/>
                <w:sz w:val="14"/>
                <w:szCs w:val="14"/>
                <w:color w:val="0000EE"/>
              </w:rPr>
              <w:t>Shareholder Engagement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44</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20" w:type="dxa"/>
            <w:vAlign w:val="bottom"/>
            <w:tcBorders>
              <w:bottom w:val="single" w:sz="8" w:color="7F7F7F"/>
            </w:tcBorders>
          </w:tcPr>
          <w:p>
            <w:pPr>
              <w:spacing w:after="0"/>
              <w:rPr>
                <w:sz w:val="8"/>
                <w:szCs w:val="8"/>
                <w:color w:val="auto"/>
              </w:rPr>
            </w:pPr>
          </w:p>
        </w:tc>
        <w:tc>
          <w:tcPr>
            <w:tcW w:w="1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10060" w:type="dxa"/>
            <w:vAlign w:val="bottom"/>
            <w:gridSpan w:val="24"/>
            <w:shd w:val="clear" w:color="auto" w:fill="F2F2F2"/>
          </w:tcPr>
          <w:p>
            <w:pPr>
              <w:ind w:left="140"/>
              <w:spacing w:after="0"/>
              <w:rPr>
                <w:sz w:val="20"/>
                <w:szCs w:val="20"/>
                <w:color w:val="auto"/>
              </w:rPr>
            </w:pPr>
            <w:r>
              <w:rPr>
                <w:rFonts w:ascii="Arial" w:cs="Arial" w:eastAsia="Arial" w:hAnsi="Arial"/>
                <w:sz w:val="14"/>
                <w:szCs w:val="14"/>
                <w:color w:val="0000EE"/>
              </w:rPr>
              <w:t>2025 Compensation Program Overview</w:t>
            </w: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45</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20" w:type="dxa"/>
            <w:vAlign w:val="bottom"/>
            <w:tcBorders>
              <w:top w:val="single" w:sz="8" w:color="0000EE"/>
              <w:bottom w:val="single" w:sz="8" w:color="7F7F7F"/>
            </w:tcBorders>
            <w:shd w:val="clear" w:color="auto" w:fill="F2F2F2"/>
          </w:tcPr>
          <w:p>
            <w:pPr>
              <w:spacing w:after="0"/>
              <w:rPr>
                <w:sz w:val="8"/>
                <w:szCs w:val="8"/>
                <w:color w:val="auto"/>
              </w:rPr>
            </w:pPr>
          </w:p>
        </w:tc>
        <w:tc>
          <w:tcPr>
            <w:tcW w:w="18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2200" w:type="dxa"/>
            <w:vAlign w:val="bottom"/>
            <w:gridSpan w:val="11"/>
          </w:tcPr>
          <w:p>
            <w:pPr>
              <w:ind w:left="140"/>
              <w:spacing w:after="0"/>
              <w:rPr>
                <w:sz w:val="20"/>
                <w:szCs w:val="20"/>
                <w:color w:val="auto"/>
              </w:rPr>
            </w:pPr>
            <w:r>
              <w:rPr>
                <w:rFonts w:ascii="Arial" w:cs="Arial" w:eastAsia="Arial" w:hAnsi="Arial"/>
                <w:sz w:val="14"/>
                <w:szCs w:val="14"/>
                <w:color w:val="0000EE"/>
              </w:rPr>
              <w:t>Target Compensation Summary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46</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20" w:type="dxa"/>
            <w:vAlign w:val="bottom"/>
            <w:tcBorders>
              <w:bottom w:val="single" w:sz="8" w:color="7F7F7F"/>
            </w:tcBorders>
          </w:tcPr>
          <w:p>
            <w:pPr>
              <w:spacing w:after="0"/>
              <w:rPr>
                <w:sz w:val="8"/>
                <w:szCs w:val="8"/>
                <w:color w:val="auto"/>
              </w:rPr>
            </w:pPr>
          </w:p>
        </w:tc>
        <w:tc>
          <w:tcPr>
            <w:tcW w:w="1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2200" w:type="dxa"/>
            <w:vAlign w:val="bottom"/>
            <w:gridSpan w:val="11"/>
            <w:shd w:val="clear" w:color="auto" w:fill="F2F2F2"/>
          </w:tcPr>
          <w:p>
            <w:pPr>
              <w:ind w:left="140"/>
              <w:spacing w:after="0"/>
              <w:rPr>
                <w:sz w:val="20"/>
                <w:szCs w:val="20"/>
                <w:color w:val="auto"/>
              </w:rPr>
            </w:pPr>
            <w:r>
              <w:rPr>
                <w:rFonts w:ascii="Arial" w:cs="Arial" w:eastAsia="Arial" w:hAnsi="Arial"/>
                <w:sz w:val="14"/>
                <w:szCs w:val="14"/>
                <w:color w:val="0000EE"/>
              </w:rPr>
              <w:t>Pay-for-Performance Alignment</w:t>
            </w:r>
          </w:p>
        </w:tc>
        <w:tc>
          <w:tcPr>
            <w:tcW w:w="20" w:type="dxa"/>
            <w:vAlign w:val="bottom"/>
            <w:shd w:val="clear" w:color="auto" w:fill="F2F2F2"/>
          </w:tcPr>
          <w:p>
            <w:pPr>
              <w:spacing w:after="0"/>
              <w:rPr>
                <w:sz w:val="20"/>
                <w:szCs w:val="20"/>
                <w:color w:val="auto"/>
              </w:rPr>
            </w:pPr>
          </w:p>
        </w:tc>
        <w:tc>
          <w:tcPr>
            <w:tcW w:w="180" w:type="dxa"/>
            <w:vAlign w:val="bottom"/>
            <w:shd w:val="clear" w:color="auto" w:fill="F2F2F2"/>
          </w:tcPr>
          <w:p>
            <w:pPr>
              <w:spacing w:after="0"/>
              <w:rPr>
                <w:sz w:val="20"/>
                <w:szCs w:val="20"/>
                <w:color w:val="auto"/>
              </w:rPr>
            </w:pPr>
          </w:p>
        </w:tc>
        <w:tc>
          <w:tcPr>
            <w:tcW w:w="140" w:type="dxa"/>
            <w:vAlign w:val="bottom"/>
            <w:shd w:val="clear" w:color="auto" w:fill="F2F2F2"/>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2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1460" w:type="dxa"/>
            <w:vAlign w:val="bottom"/>
            <w:shd w:val="clear" w:color="auto" w:fill="F2F2F2"/>
          </w:tcPr>
          <w:p>
            <w:pPr>
              <w:spacing w:after="0"/>
              <w:rPr>
                <w:sz w:val="20"/>
                <w:szCs w:val="20"/>
                <w:color w:val="auto"/>
              </w:rPr>
            </w:pPr>
          </w:p>
        </w:tc>
        <w:tc>
          <w:tcPr>
            <w:tcW w:w="4760" w:type="dxa"/>
            <w:vAlign w:val="bottom"/>
            <w:shd w:val="clear" w:color="auto" w:fill="F2F2F2"/>
          </w:tcPr>
          <w:p>
            <w:pPr>
              <w:spacing w:after="0"/>
              <w:rPr>
                <w:sz w:val="20"/>
                <w:szCs w:val="20"/>
                <w:color w:val="auto"/>
              </w:rPr>
            </w:pP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48</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20" w:type="dxa"/>
            <w:vAlign w:val="bottom"/>
            <w:tcBorders>
              <w:top w:val="single" w:sz="8" w:color="F2F2F2"/>
              <w:bottom w:val="single" w:sz="8" w:color="7F7F7F"/>
            </w:tcBorders>
            <w:shd w:val="clear" w:color="auto" w:fill="F2F2F2"/>
          </w:tcPr>
          <w:p>
            <w:pPr>
              <w:spacing w:after="0"/>
              <w:rPr>
                <w:sz w:val="8"/>
                <w:szCs w:val="8"/>
                <w:color w:val="auto"/>
              </w:rPr>
            </w:pPr>
          </w:p>
        </w:tc>
        <w:tc>
          <w:tcPr>
            <w:tcW w:w="1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0" w:type="dxa"/>
            <w:vAlign w:val="bottom"/>
            <w:tcBorders>
              <w:top w:val="single" w:sz="8" w:color="F2F2F2"/>
              <w:bottom w:val="single" w:sz="8" w:color="7F7F7F"/>
            </w:tcBorders>
            <w:shd w:val="clear" w:color="auto" w:fill="F2F2F2"/>
          </w:tcPr>
          <w:p>
            <w:pPr>
              <w:spacing w:after="0"/>
              <w:rPr>
                <w:sz w:val="8"/>
                <w:szCs w:val="8"/>
                <w:color w:val="auto"/>
              </w:rPr>
            </w:pPr>
          </w:p>
        </w:tc>
        <w:tc>
          <w:tcPr>
            <w:tcW w:w="2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2200" w:type="dxa"/>
            <w:vAlign w:val="bottom"/>
            <w:gridSpan w:val="11"/>
          </w:tcPr>
          <w:p>
            <w:pPr>
              <w:ind w:left="140"/>
              <w:spacing w:after="0"/>
              <w:rPr>
                <w:sz w:val="20"/>
                <w:szCs w:val="20"/>
                <w:color w:val="auto"/>
              </w:rPr>
            </w:pPr>
            <w:r>
              <w:rPr>
                <w:rFonts w:ascii="Arial" w:cs="Arial" w:eastAsia="Arial" w:hAnsi="Arial"/>
                <w:sz w:val="14"/>
                <w:szCs w:val="14"/>
                <w:color w:val="0000EE"/>
              </w:rPr>
              <w:t>Rigor of Incentive Targets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48</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20" w:type="dxa"/>
            <w:vAlign w:val="bottom"/>
            <w:tcBorders>
              <w:bottom w:val="single" w:sz="8" w:color="7F7F7F"/>
            </w:tcBorders>
          </w:tcPr>
          <w:p>
            <w:pPr>
              <w:spacing w:after="0"/>
              <w:rPr>
                <w:sz w:val="8"/>
                <w:szCs w:val="8"/>
                <w:color w:val="auto"/>
              </w:rPr>
            </w:pPr>
          </w:p>
        </w:tc>
        <w:tc>
          <w:tcPr>
            <w:tcW w:w="1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10060" w:type="dxa"/>
            <w:vAlign w:val="bottom"/>
            <w:gridSpan w:val="24"/>
            <w:shd w:val="clear" w:color="auto" w:fill="F2F2F2"/>
          </w:tcPr>
          <w:p>
            <w:pPr>
              <w:ind w:left="140"/>
              <w:spacing w:after="0"/>
              <w:rPr>
                <w:sz w:val="20"/>
                <w:szCs w:val="20"/>
                <w:color w:val="auto"/>
              </w:rPr>
            </w:pPr>
            <w:r>
              <w:rPr>
                <w:rFonts w:ascii="Arial" w:cs="Arial" w:eastAsia="Arial" w:hAnsi="Arial"/>
                <w:sz w:val="14"/>
                <w:szCs w:val="14"/>
                <w:color w:val="0000EE"/>
              </w:rPr>
              <w:t>Strong Compensation Governance Practices</w:t>
            </w: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50</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20" w:type="dxa"/>
            <w:vAlign w:val="bottom"/>
            <w:tcBorders>
              <w:top w:val="single" w:sz="8" w:color="0000EE"/>
              <w:bottom w:val="single" w:sz="8" w:color="7F7F7F"/>
            </w:tcBorders>
            <w:shd w:val="clear" w:color="auto" w:fill="F2F2F2"/>
          </w:tcPr>
          <w:p>
            <w:pPr>
              <w:spacing w:after="0"/>
              <w:rPr>
                <w:sz w:val="8"/>
                <w:szCs w:val="8"/>
                <w:color w:val="auto"/>
              </w:rPr>
            </w:pPr>
          </w:p>
        </w:tc>
        <w:tc>
          <w:tcPr>
            <w:tcW w:w="18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10060" w:type="dxa"/>
            <w:vAlign w:val="bottom"/>
            <w:gridSpan w:val="24"/>
          </w:tcPr>
          <w:p>
            <w:pPr>
              <w:spacing w:after="0"/>
              <w:rPr>
                <w:sz w:val="20"/>
                <w:szCs w:val="20"/>
                <w:color w:val="auto"/>
              </w:rPr>
            </w:pPr>
            <w:r>
              <w:rPr>
                <w:rFonts w:ascii="Arial" w:cs="Arial" w:eastAsia="Arial" w:hAnsi="Arial"/>
                <w:sz w:val="14"/>
                <w:szCs w:val="14"/>
                <w:b w:val="1"/>
                <w:bCs w:val="1"/>
                <w:color w:val="0000EE"/>
              </w:rPr>
              <w:t>Compensation Philosophy and Program Goals</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51</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20" w:type="dxa"/>
            <w:vAlign w:val="bottom"/>
            <w:tcBorders>
              <w:top w:val="single" w:sz="8" w:color="0000EE"/>
              <w:bottom w:val="single" w:sz="8" w:color="7F7F7F"/>
            </w:tcBorders>
          </w:tcPr>
          <w:p>
            <w:pPr>
              <w:spacing w:after="0"/>
              <w:rPr>
                <w:sz w:val="8"/>
                <w:szCs w:val="8"/>
                <w:color w:val="auto"/>
              </w:rPr>
            </w:pPr>
          </w:p>
        </w:tc>
        <w:tc>
          <w:tcPr>
            <w:tcW w:w="18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80" w:type="dxa"/>
            <w:vAlign w:val="bottom"/>
            <w:tcBorders>
              <w:top w:val="single" w:sz="8" w:color="0000EE"/>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2200" w:type="dxa"/>
            <w:vAlign w:val="bottom"/>
            <w:gridSpan w:val="11"/>
            <w:shd w:val="clear" w:color="auto" w:fill="F2F2F2"/>
          </w:tcPr>
          <w:p>
            <w:pPr>
              <w:spacing w:after="0"/>
              <w:rPr>
                <w:sz w:val="20"/>
                <w:szCs w:val="20"/>
                <w:color w:val="auto"/>
              </w:rPr>
            </w:pPr>
            <w:r>
              <w:rPr>
                <w:rFonts w:ascii="Arial" w:cs="Arial" w:eastAsia="Arial" w:hAnsi="Arial"/>
                <w:sz w:val="14"/>
                <w:szCs w:val="14"/>
                <w:b w:val="1"/>
                <w:bCs w:val="1"/>
                <w:color w:val="0000EE"/>
              </w:rPr>
              <w:t>Labor Market Reviews</w:t>
            </w:r>
          </w:p>
        </w:tc>
        <w:tc>
          <w:tcPr>
            <w:tcW w:w="20" w:type="dxa"/>
            <w:vAlign w:val="bottom"/>
            <w:shd w:val="clear" w:color="auto" w:fill="F2F2F2"/>
          </w:tcPr>
          <w:p>
            <w:pPr>
              <w:spacing w:after="0"/>
              <w:rPr>
                <w:sz w:val="20"/>
                <w:szCs w:val="20"/>
                <w:color w:val="auto"/>
              </w:rPr>
            </w:pPr>
          </w:p>
        </w:tc>
        <w:tc>
          <w:tcPr>
            <w:tcW w:w="180" w:type="dxa"/>
            <w:vAlign w:val="bottom"/>
            <w:shd w:val="clear" w:color="auto" w:fill="F2F2F2"/>
          </w:tcPr>
          <w:p>
            <w:pPr>
              <w:spacing w:after="0"/>
              <w:rPr>
                <w:sz w:val="20"/>
                <w:szCs w:val="20"/>
                <w:color w:val="auto"/>
              </w:rPr>
            </w:pPr>
          </w:p>
        </w:tc>
        <w:tc>
          <w:tcPr>
            <w:tcW w:w="140" w:type="dxa"/>
            <w:vAlign w:val="bottom"/>
            <w:shd w:val="clear" w:color="auto" w:fill="F2F2F2"/>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2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1460" w:type="dxa"/>
            <w:vAlign w:val="bottom"/>
            <w:shd w:val="clear" w:color="auto" w:fill="F2F2F2"/>
          </w:tcPr>
          <w:p>
            <w:pPr>
              <w:spacing w:after="0"/>
              <w:rPr>
                <w:sz w:val="20"/>
                <w:szCs w:val="20"/>
                <w:color w:val="auto"/>
              </w:rPr>
            </w:pPr>
          </w:p>
        </w:tc>
        <w:tc>
          <w:tcPr>
            <w:tcW w:w="4760" w:type="dxa"/>
            <w:vAlign w:val="bottom"/>
            <w:shd w:val="clear" w:color="auto" w:fill="F2F2F2"/>
          </w:tcPr>
          <w:p>
            <w:pPr>
              <w:spacing w:after="0"/>
              <w:rPr>
                <w:sz w:val="20"/>
                <w:szCs w:val="20"/>
                <w:color w:val="auto"/>
              </w:rPr>
            </w:pP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51</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4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20" w:type="dxa"/>
            <w:vAlign w:val="bottom"/>
            <w:tcBorders>
              <w:top w:val="single" w:sz="8" w:color="F2F2F2"/>
              <w:bottom w:val="single" w:sz="8" w:color="7F7F7F"/>
            </w:tcBorders>
            <w:shd w:val="clear" w:color="auto" w:fill="F2F2F2"/>
          </w:tcPr>
          <w:p>
            <w:pPr>
              <w:spacing w:after="0"/>
              <w:rPr>
                <w:sz w:val="8"/>
                <w:szCs w:val="8"/>
                <w:color w:val="auto"/>
              </w:rPr>
            </w:pPr>
          </w:p>
        </w:tc>
        <w:tc>
          <w:tcPr>
            <w:tcW w:w="1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0" w:type="dxa"/>
            <w:vAlign w:val="bottom"/>
            <w:tcBorders>
              <w:top w:val="single" w:sz="8" w:color="F2F2F2"/>
              <w:bottom w:val="single" w:sz="8" w:color="7F7F7F"/>
            </w:tcBorders>
            <w:shd w:val="clear" w:color="auto" w:fill="F2F2F2"/>
          </w:tcPr>
          <w:p>
            <w:pPr>
              <w:spacing w:after="0"/>
              <w:rPr>
                <w:sz w:val="8"/>
                <w:szCs w:val="8"/>
                <w:color w:val="auto"/>
              </w:rPr>
            </w:pPr>
          </w:p>
        </w:tc>
        <w:tc>
          <w:tcPr>
            <w:tcW w:w="2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2200" w:type="dxa"/>
            <w:vAlign w:val="bottom"/>
            <w:gridSpan w:val="11"/>
          </w:tcPr>
          <w:p>
            <w:pPr>
              <w:spacing w:after="0"/>
              <w:rPr>
                <w:sz w:val="20"/>
                <w:szCs w:val="20"/>
                <w:color w:val="auto"/>
              </w:rPr>
            </w:pPr>
            <w:r>
              <w:rPr>
                <w:rFonts w:ascii="Arial" w:cs="Arial" w:eastAsia="Arial" w:hAnsi="Arial"/>
                <w:sz w:val="14"/>
                <w:szCs w:val="14"/>
                <w:b w:val="1"/>
                <w:bCs w:val="1"/>
                <w:color w:val="0000EE"/>
              </w:rPr>
              <w:t>Compensation Components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54</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20" w:type="dxa"/>
            <w:vAlign w:val="bottom"/>
            <w:tcBorders>
              <w:bottom w:val="single" w:sz="8" w:color="7F7F7F"/>
            </w:tcBorders>
          </w:tcPr>
          <w:p>
            <w:pPr>
              <w:spacing w:after="0"/>
              <w:rPr>
                <w:sz w:val="8"/>
                <w:szCs w:val="8"/>
                <w:color w:val="auto"/>
              </w:rPr>
            </w:pPr>
          </w:p>
        </w:tc>
        <w:tc>
          <w:tcPr>
            <w:tcW w:w="1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10060" w:type="dxa"/>
            <w:vAlign w:val="bottom"/>
            <w:gridSpan w:val="24"/>
            <w:shd w:val="clear" w:color="auto" w:fill="F2F2F2"/>
          </w:tcPr>
          <w:p>
            <w:pPr>
              <w:ind w:left="140"/>
              <w:spacing w:after="0"/>
              <w:rPr>
                <w:sz w:val="20"/>
                <w:szCs w:val="20"/>
                <w:color w:val="auto"/>
              </w:rPr>
            </w:pPr>
            <w:r>
              <w:rPr>
                <w:rFonts w:ascii="Arial" w:cs="Arial" w:eastAsia="Arial" w:hAnsi="Arial"/>
                <w:sz w:val="14"/>
                <w:szCs w:val="14"/>
                <w:color w:val="0000EE"/>
              </w:rPr>
              <w:t>Primary Components of Executive Compensation Program</w:t>
            </w: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54</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20" w:type="dxa"/>
            <w:vAlign w:val="bottom"/>
            <w:tcBorders>
              <w:top w:val="single" w:sz="8" w:color="0000EE"/>
              <w:bottom w:val="single" w:sz="8" w:color="7F7F7F"/>
            </w:tcBorders>
            <w:shd w:val="clear" w:color="auto" w:fill="F2F2F2"/>
          </w:tcPr>
          <w:p>
            <w:pPr>
              <w:spacing w:after="0"/>
              <w:rPr>
                <w:sz w:val="8"/>
                <w:szCs w:val="8"/>
                <w:color w:val="auto"/>
              </w:rPr>
            </w:pPr>
          </w:p>
        </w:tc>
        <w:tc>
          <w:tcPr>
            <w:tcW w:w="18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80" w:type="dxa"/>
            <w:vAlign w:val="bottom"/>
            <w:tcBorders>
              <w:top w:val="single" w:sz="8" w:color="0000EE"/>
              <w:bottom w:val="single" w:sz="8" w:color="7F7F7F"/>
            </w:tcBorders>
            <w:shd w:val="clear" w:color="auto" w:fill="F2F2F2"/>
          </w:tcPr>
          <w:p>
            <w:pPr>
              <w:spacing w:after="0"/>
              <w:rPr>
                <w:sz w:val="8"/>
                <w:szCs w:val="8"/>
                <w:color w:val="auto"/>
              </w:rPr>
            </w:pPr>
          </w:p>
        </w:tc>
        <w:tc>
          <w:tcPr>
            <w:tcW w:w="220" w:type="dxa"/>
            <w:vAlign w:val="bottom"/>
            <w:tcBorders>
              <w:top w:val="single" w:sz="8" w:color="0000EE"/>
              <w:bottom w:val="single" w:sz="8" w:color="7F7F7F"/>
            </w:tcBorders>
            <w:shd w:val="clear" w:color="auto" w:fill="F2F2F2"/>
          </w:tcPr>
          <w:p>
            <w:pPr>
              <w:spacing w:after="0"/>
              <w:rPr>
                <w:sz w:val="8"/>
                <w:szCs w:val="8"/>
                <w:color w:val="auto"/>
              </w:rPr>
            </w:pPr>
          </w:p>
        </w:tc>
        <w:tc>
          <w:tcPr>
            <w:tcW w:w="460" w:type="dxa"/>
            <w:vAlign w:val="bottom"/>
            <w:tcBorders>
              <w:top w:val="single" w:sz="8" w:color="0000EE"/>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2200" w:type="dxa"/>
            <w:vAlign w:val="bottom"/>
            <w:gridSpan w:val="11"/>
          </w:tcPr>
          <w:p>
            <w:pPr>
              <w:ind w:left="140"/>
              <w:spacing w:after="0"/>
              <w:rPr>
                <w:sz w:val="20"/>
                <w:szCs w:val="20"/>
                <w:color w:val="auto"/>
              </w:rPr>
            </w:pPr>
            <w:r>
              <w:rPr>
                <w:rFonts w:ascii="Arial" w:cs="Arial" w:eastAsia="Arial" w:hAnsi="Arial"/>
                <w:sz w:val="14"/>
                <w:szCs w:val="14"/>
                <w:color w:val="0000EE"/>
              </w:rPr>
              <w:t>1. Base Salaries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54</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4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20" w:type="dxa"/>
            <w:vAlign w:val="bottom"/>
            <w:tcBorders>
              <w:bottom w:val="single" w:sz="8" w:color="7F7F7F"/>
            </w:tcBorders>
          </w:tcPr>
          <w:p>
            <w:pPr>
              <w:spacing w:after="0"/>
              <w:rPr>
                <w:sz w:val="8"/>
                <w:szCs w:val="8"/>
                <w:color w:val="auto"/>
              </w:rPr>
            </w:pPr>
          </w:p>
        </w:tc>
        <w:tc>
          <w:tcPr>
            <w:tcW w:w="1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10060" w:type="dxa"/>
            <w:vAlign w:val="bottom"/>
            <w:gridSpan w:val="24"/>
            <w:shd w:val="clear" w:color="auto" w:fill="F2F2F2"/>
          </w:tcPr>
          <w:p>
            <w:pPr>
              <w:ind w:left="140"/>
              <w:spacing w:after="0"/>
              <w:rPr>
                <w:sz w:val="20"/>
                <w:szCs w:val="20"/>
                <w:color w:val="auto"/>
              </w:rPr>
            </w:pPr>
            <w:r>
              <w:rPr>
                <w:rFonts w:ascii="Arial" w:cs="Arial" w:eastAsia="Arial" w:hAnsi="Arial"/>
                <w:sz w:val="14"/>
                <w:szCs w:val="14"/>
                <w:color w:val="0000EE"/>
              </w:rPr>
              <w:t>2. Performance-Based Annual Bonuses</w:t>
            </w: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54</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20" w:type="dxa"/>
            <w:vAlign w:val="bottom"/>
            <w:tcBorders>
              <w:top w:val="single" w:sz="8" w:color="0000EE"/>
              <w:bottom w:val="single" w:sz="8" w:color="7F7F7F"/>
            </w:tcBorders>
            <w:shd w:val="clear" w:color="auto" w:fill="F2F2F2"/>
          </w:tcPr>
          <w:p>
            <w:pPr>
              <w:spacing w:after="0"/>
              <w:rPr>
                <w:sz w:val="8"/>
                <w:szCs w:val="8"/>
                <w:color w:val="auto"/>
              </w:rPr>
            </w:pPr>
          </w:p>
        </w:tc>
        <w:tc>
          <w:tcPr>
            <w:tcW w:w="18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10060" w:type="dxa"/>
            <w:vAlign w:val="bottom"/>
            <w:gridSpan w:val="24"/>
          </w:tcPr>
          <w:p>
            <w:pPr>
              <w:ind w:left="140"/>
              <w:spacing w:after="0"/>
              <w:rPr>
                <w:sz w:val="20"/>
                <w:szCs w:val="20"/>
                <w:color w:val="auto"/>
              </w:rPr>
            </w:pPr>
            <w:r>
              <w:rPr>
                <w:rFonts w:ascii="Arial" w:cs="Arial" w:eastAsia="Arial" w:hAnsi="Arial"/>
                <w:sz w:val="14"/>
                <w:szCs w:val="14"/>
                <w:color w:val="0000EE"/>
              </w:rPr>
              <w:t>3. Long-Term Equity-Based Incentives</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57</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20" w:type="dxa"/>
            <w:vAlign w:val="bottom"/>
            <w:tcBorders>
              <w:top w:val="single" w:sz="8" w:color="0000EE"/>
              <w:bottom w:val="single" w:sz="8" w:color="7F7F7F"/>
            </w:tcBorders>
          </w:tcPr>
          <w:p>
            <w:pPr>
              <w:spacing w:after="0"/>
              <w:rPr>
                <w:sz w:val="8"/>
                <w:szCs w:val="8"/>
                <w:color w:val="auto"/>
              </w:rPr>
            </w:pPr>
          </w:p>
        </w:tc>
        <w:tc>
          <w:tcPr>
            <w:tcW w:w="18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10060" w:type="dxa"/>
            <w:vAlign w:val="bottom"/>
            <w:gridSpan w:val="24"/>
            <w:shd w:val="clear" w:color="auto" w:fill="F2F2F2"/>
          </w:tcPr>
          <w:p>
            <w:pPr>
              <w:ind w:left="140"/>
              <w:spacing w:after="0"/>
              <w:rPr>
                <w:sz w:val="20"/>
                <w:szCs w:val="20"/>
                <w:color w:val="auto"/>
              </w:rPr>
            </w:pPr>
            <w:r>
              <w:rPr>
                <w:rFonts w:ascii="Arial" w:cs="Arial" w:eastAsia="Arial" w:hAnsi="Arial"/>
                <w:sz w:val="14"/>
                <w:szCs w:val="14"/>
                <w:color w:val="0000EE"/>
              </w:rPr>
              <w:t>4. Benefit Plans and Other Executive Benefits</w:t>
            </w: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61</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20" w:type="dxa"/>
            <w:vAlign w:val="bottom"/>
            <w:tcBorders>
              <w:top w:val="single" w:sz="8" w:color="0000EE"/>
              <w:bottom w:val="single" w:sz="8" w:color="7F7F7F"/>
            </w:tcBorders>
            <w:shd w:val="clear" w:color="auto" w:fill="F2F2F2"/>
          </w:tcPr>
          <w:p>
            <w:pPr>
              <w:spacing w:after="0"/>
              <w:rPr>
                <w:sz w:val="8"/>
                <w:szCs w:val="8"/>
                <w:color w:val="auto"/>
              </w:rPr>
            </w:pPr>
          </w:p>
        </w:tc>
        <w:tc>
          <w:tcPr>
            <w:tcW w:w="18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10060" w:type="dxa"/>
            <w:vAlign w:val="bottom"/>
            <w:gridSpan w:val="24"/>
          </w:tcPr>
          <w:p>
            <w:pPr>
              <w:ind w:left="140"/>
              <w:spacing w:after="0"/>
              <w:rPr>
                <w:sz w:val="20"/>
                <w:szCs w:val="20"/>
                <w:color w:val="auto"/>
              </w:rPr>
            </w:pPr>
            <w:r>
              <w:rPr>
                <w:rFonts w:ascii="Arial" w:cs="Arial" w:eastAsia="Arial" w:hAnsi="Arial"/>
                <w:sz w:val="14"/>
                <w:szCs w:val="14"/>
                <w:color w:val="0000EE"/>
              </w:rPr>
              <w:t>5. Severance and Change in Control Arrangements</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63</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20" w:type="dxa"/>
            <w:vAlign w:val="bottom"/>
            <w:tcBorders>
              <w:top w:val="single" w:sz="8" w:color="0000EE"/>
              <w:bottom w:val="single" w:sz="8" w:color="7F7F7F"/>
            </w:tcBorders>
          </w:tcPr>
          <w:p>
            <w:pPr>
              <w:spacing w:after="0"/>
              <w:rPr>
                <w:sz w:val="8"/>
                <w:szCs w:val="8"/>
                <w:color w:val="auto"/>
              </w:rPr>
            </w:pPr>
          </w:p>
        </w:tc>
        <w:tc>
          <w:tcPr>
            <w:tcW w:w="18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80" w:type="dxa"/>
            <w:vAlign w:val="bottom"/>
            <w:tcBorders>
              <w:top w:val="single" w:sz="8" w:color="0000EE"/>
              <w:bottom w:val="single" w:sz="8" w:color="7F7F7F"/>
            </w:tcBorders>
          </w:tcPr>
          <w:p>
            <w:pPr>
              <w:spacing w:after="0"/>
              <w:rPr>
                <w:sz w:val="8"/>
                <w:szCs w:val="8"/>
                <w:color w:val="auto"/>
              </w:rPr>
            </w:pPr>
          </w:p>
        </w:tc>
        <w:tc>
          <w:tcPr>
            <w:tcW w:w="220" w:type="dxa"/>
            <w:vAlign w:val="bottom"/>
            <w:tcBorders>
              <w:top w:val="single" w:sz="8" w:color="0000EE"/>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10060" w:type="dxa"/>
            <w:vAlign w:val="bottom"/>
            <w:gridSpan w:val="24"/>
            <w:shd w:val="clear" w:color="auto" w:fill="F2F2F2"/>
          </w:tcPr>
          <w:p>
            <w:pPr>
              <w:spacing w:after="0"/>
              <w:rPr>
                <w:sz w:val="20"/>
                <w:szCs w:val="20"/>
                <w:color w:val="auto"/>
              </w:rPr>
            </w:pPr>
            <w:r>
              <w:rPr>
                <w:rFonts w:ascii="Arial" w:cs="Arial" w:eastAsia="Arial" w:hAnsi="Arial"/>
                <w:sz w:val="14"/>
                <w:szCs w:val="14"/>
                <w:b w:val="1"/>
                <w:bCs w:val="1"/>
                <w:color w:val="0000EE"/>
              </w:rPr>
              <w:t>Compensation and Talent Development Committee Roles and Responsibilities</w:t>
            </w: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64</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20" w:type="dxa"/>
            <w:vAlign w:val="bottom"/>
            <w:tcBorders>
              <w:top w:val="single" w:sz="8" w:color="0000EE"/>
              <w:bottom w:val="single" w:sz="8" w:color="7F7F7F"/>
            </w:tcBorders>
            <w:shd w:val="clear" w:color="auto" w:fill="F2F2F2"/>
          </w:tcPr>
          <w:p>
            <w:pPr>
              <w:spacing w:after="0"/>
              <w:rPr>
                <w:sz w:val="8"/>
                <w:szCs w:val="8"/>
                <w:color w:val="auto"/>
              </w:rPr>
            </w:pPr>
          </w:p>
        </w:tc>
        <w:tc>
          <w:tcPr>
            <w:tcW w:w="18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80" w:type="dxa"/>
            <w:vAlign w:val="bottom"/>
            <w:tcBorders>
              <w:top w:val="single" w:sz="8" w:color="0000EE"/>
              <w:bottom w:val="single" w:sz="8" w:color="7F7F7F"/>
            </w:tcBorders>
            <w:shd w:val="clear" w:color="auto" w:fill="F2F2F2"/>
          </w:tcPr>
          <w:p>
            <w:pPr>
              <w:spacing w:after="0"/>
              <w:rPr>
                <w:sz w:val="8"/>
                <w:szCs w:val="8"/>
                <w:color w:val="auto"/>
              </w:rPr>
            </w:pPr>
          </w:p>
        </w:tc>
        <w:tc>
          <w:tcPr>
            <w:tcW w:w="220" w:type="dxa"/>
            <w:vAlign w:val="bottom"/>
            <w:tcBorders>
              <w:top w:val="single" w:sz="8" w:color="0000EE"/>
              <w:bottom w:val="single" w:sz="8" w:color="7F7F7F"/>
            </w:tcBorders>
            <w:shd w:val="clear" w:color="auto" w:fill="F2F2F2"/>
          </w:tcPr>
          <w:p>
            <w:pPr>
              <w:spacing w:after="0"/>
              <w:rPr>
                <w:sz w:val="8"/>
                <w:szCs w:val="8"/>
                <w:color w:val="auto"/>
              </w:rPr>
            </w:pPr>
          </w:p>
        </w:tc>
        <w:tc>
          <w:tcPr>
            <w:tcW w:w="460" w:type="dxa"/>
            <w:vAlign w:val="bottom"/>
            <w:tcBorders>
              <w:top w:val="single" w:sz="8" w:color="0000EE"/>
              <w:bottom w:val="single" w:sz="8" w:color="7F7F7F"/>
            </w:tcBorders>
            <w:shd w:val="clear" w:color="auto" w:fill="F2F2F2"/>
          </w:tcPr>
          <w:p>
            <w:pPr>
              <w:spacing w:after="0"/>
              <w:rPr>
                <w:sz w:val="8"/>
                <w:szCs w:val="8"/>
                <w:color w:val="auto"/>
              </w:rPr>
            </w:pPr>
          </w:p>
        </w:tc>
        <w:tc>
          <w:tcPr>
            <w:tcW w:w="1460" w:type="dxa"/>
            <w:vAlign w:val="bottom"/>
            <w:tcBorders>
              <w:top w:val="single" w:sz="8" w:color="0000EE"/>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10060" w:type="dxa"/>
            <w:vAlign w:val="bottom"/>
            <w:gridSpan w:val="24"/>
          </w:tcPr>
          <w:p>
            <w:pPr>
              <w:spacing w:after="0"/>
              <w:rPr>
                <w:sz w:val="20"/>
                <w:szCs w:val="20"/>
                <w:color w:val="auto"/>
              </w:rPr>
            </w:pPr>
            <w:r>
              <w:rPr>
                <w:rFonts w:ascii="Arial" w:cs="Arial" w:eastAsia="Arial" w:hAnsi="Arial"/>
                <w:sz w:val="14"/>
                <w:szCs w:val="14"/>
                <w:b w:val="1"/>
                <w:bCs w:val="1"/>
                <w:color w:val="0000EE"/>
              </w:rPr>
              <w:t>Management’s Role in Compensation Matters</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65</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20" w:type="dxa"/>
            <w:vAlign w:val="bottom"/>
            <w:tcBorders>
              <w:top w:val="single" w:sz="8" w:color="0000EE"/>
              <w:bottom w:val="single" w:sz="8" w:color="7F7F7F"/>
            </w:tcBorders>
          </w:tcPr>
          <w:p>
            <w:pPr>
              <w:spacing w:after="0"/>
              <w:rPr>
                <w:sz w:val="8"/>
                <w:szCs w:val="8"/>
                <w:color w:val="auto"/>
              </w:rPr>
            </w:pPr>
          </w:p>
        </w:tc>
        <w:tc>
          <w:tcPr>
            <w:tcW w:w="18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10060" w:type="dxa"/>
            <w:vAlign w:val="bottom"/>
            <w:gridSpan w:val="24"/>
            <w:shd w:val="clear" w:color="auto" w:fill="F2F2F2"/>
          </w:tcPr>
          <w:p>
            <w:pPr>
              <w:spacing w:after="0"/>
              <w:rPr>
                <w:sz w:val="20"/>
                <w:szCs w:val="20"/>
                <w:color w:val="auto"/>
              </w:rPr>
            </w:pPr>
            <w:r>
              <w:rPr>
                <w:rFonts w:ascii="Arial" w:cs="Arial" w:eastAsia="Arial" w:hAnsi="Arial"/>
                <w:sz w:val="14"/>
                <w:szCs w:val="14"/>
                <w:b w:val="1"/>
                <w:bCs w:val="1"/>
                <w:color w:val="0000EE"/>
              </w:rPr>
              <w:t>Managing Risk in Compensation Programs</w:t>
            </w: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65</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0000EE"/>
              <w:bottom w:val="single" w:sz="8" w:color="7F7F7F"/>
            </w:tcBorders>
            <w:shd w:val="clear" w:color="auto" w:fill="F2F2F2"/>
          </w:tcPr>
          <w:p>
            <w:pPr>
              <w:spacing w:after="0"/>
              <w:rPr>
                <w:sz w:val="8"/>
                <w:szCs w:val="8"/>
                <w:color w:val="auto"/>
              </w:rPr>
            </w:pPr>
          </w:p>
        </w:tc>
        <w:tc>
          <w:tcPr>
            <w:tcW w:w="20" w:type="dxa"/>
            <w:vAlign w:val="bottom"/>
            <w:tcBorders>
              <w:top w:val="single" w:sz="8" w:color="0000EE"/>
              <w:bottom w:val="single" w:sz="8" w:color="7F7F7F"/>
            </w:tcBorders>
            <w:shd w:val="clear" w:color="auto" w:fill="F2F2F2"/>
          </w:tcPr>
          <w:p>
            <w:pPr>
              <w:spacing w:after="0"/>
              <w:rPr>
                <w:sz w:val="8"/>
                <w:szCs w:val="8"/>
                <w:color w:val="auto"/>
              </w:rPr>
            </w:pPr>
          </w:p>
        </w:tc>
        <w:tc>
          <w:tcPr>
            <w:tcW w:w="18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2200" w:type="dxa"/>
            <w:vAlign w:val="bottom"/>
            <w:gridSpan w:val="11"/>
          </w:tcPr>
          <w:p>
            <w:pPr>
              <w:spacing w:after="0"/>
              <w:rPr>
                <w:sz w:val="20"/>
                <w:szCs w:val="20"/>
                <w:color w:val="auto"/>
              </w:rPr>
            </w:pPr>
            <w:r>
              <w:rPr>
                <w:rFonts w:ascii="Arial" w:cs="Arial" w:eastAsia="Arial" w:hAnsi="Arial"/>
                <w:sz w:val="14"/>
                <w:szCs w:val="14"/>
                <w:b w:val="1"/>
                <w:bCs w:val="1"/>
                <w:color w:val="0000EE"/>
              </w:rPr>
              <w:t>Equity Award Timing Practices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67</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20" w:type="dxa"/>
            <w:vAlign w:val="bottom"/>
            <w:tcBorders>
              <w:bottom w:val="single" w:sz="8" w:color="7F7F7F"/>
            </w:tcBorders>
          </w:tcPr>
          <w:p>
            <w:pPr>
              <w:spacing w:after="0"/>
              <w:rPr>
                <w:sz w:val="8"/>
                <w:szCs w:val="8"/>
                <w:color w:val="auto"/>
              </w:rPr>
            </w:pPr>
          </w:p>
        </w:tc>
        <w:tc>
          <w:tcPr>
            <w:tcW w:w="180" w:type="dxa"/>
            <w:vAlign w:val="bottom"/>
            <w:tcBorders>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234"/>
        </w:trPr>
        <w:tc>
          <w:tcPr>
            <w:tcW w:w="80" w:type="dxa"/>
            <w:vAlign w:val="bottom"/>
            <w:shd w:val="clear" w:color="auto" w:fill="F2F2F2"/>
          </w:tcPr>
          <w:p>
            <w:pPr>
              <w:spacing w:after="0"/>
              <w:rPr>
                <w:sz w:val="20"/>
                <w:szCs w:val="20"/>
                <w:color w:val="auto"/>
              </w:rPr>
            </w:pPr>
          </w:p>
        </w:tc>
        <w:tc>
          <w:tcPr>
            <w:tcW w:w="2200" w:type="dxa"/>
            <w:vAlign w:val="bottom"/>
            <w:gridSpan w:val="11"/>
            <w:shd w:val="clear" w:color="auto" w:fill="F2F2F2"/>
          </w:tcPr>
          <w:p>
            <w:pPr>
              <w:spacing w:after="0"/>
              <w:rPr>
                <w:sz w:val="20"/>
                <w:szCs w:val="20"/>
                <w:color w:val="auto"/>
              </w:rPr>
            </w:pPr>
            <w:r>
              <w:rPr>
                <w:rFonts w:ascii="Arial" w:cs="Arial" w:eastAsia="Arial" w:hAnsi="Arial"/>
                <w:sz w:val="14"/>
                <w:szCs w:val="14"/>
                <w:b w:val="1"/>
                <w:bCs w:val="1"/>
                <w:color w:val="0000EE"/>
              </w:rPr>
              <w:t>Share Ownership Guidelines</w:t>
            </w:r>
          </w:p>
        </w:tc>
        <w:tc>
          <w:tcPr>
            <w:tcW w:w="20" w:type="dxa"/>
            <w:vAlign w:val="bottom"/>
            <w:shd w:val="clear" w:color="auto" w:fill="F2F2F2"/>
          </w:tcPr>
          <w:p>
            <w:pPr>
              <w:spacing w:after="0"/>
              <w:rPr>
                <w:sz w:val="20"/>
                <w:szCs w:val="20"/>
                <w:color w:val="auto"/>
              </w:rPr>
            </w:pPr>
          </w:p>
        </w:tc>
        <w:tc>
          <w:tcPr>
            <w:tcW w:w="180" w:type="dxa"/>
            <w:vAlign w:val="bottom"/>
            <w:shd w:val="clear" w:color="auto" w:fill="F2F2F2"/>
          </w:tcPr>
          <w:p>
            <w:pPr>
              <w:spacing w:after="0"/>
              <w:rPr>
                <w:sz w:val="20"/>
                <w:szCs w:val="20"/>
                <w:color w:val="auto"/>
              </w:rPr>
            </w:pPr>
          </w:p>
        </w:tc>
        <w:tc>
          <w:tcPr>
            <w:tcW w:w="140" w:type="dxa"/>
            <w:vAlign w:val="bottom"/>
            <w:shd w:val="clear" w:color="auto" w:fill="F2F2F2"/>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2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60" w:type="dxa"/>
            <w:vAlign w:val="bottom"/>
            <w:shd w:val="clear" w:color="auto" w:fill="F2F2F2"/>
          </w:tcPr>
          <w:p>
            <w:pPr>
              <w:spacing w:after="0"/>
              <w:rPr>
                <w:sz w:val="20"/>
                <w:szCs w:val="20"/>
                <w:color w:val="auto"/>
              </w:rPr>
            </w:pPr>
          </w:p>
        </w:tc>
        <w:tc>
          <w:tcPr>
            <w:tcW w:w="80" w:type="dxa"/>
            <w:vAlign w:val="bottom"/>
            <w:shd w:val="clear" w:color="auto" w:fill="F2F2F2"/>
          </w:tcPr>
          <w:p>
            <w:pPr>
              <w:spacing w:after="0"/>
              <w:rPr>
                <w:sz w:val="20"/>
                <w:szCs w:val="20"/>
                <w:color w:val="auto"/>
              </w:rPr>
            </w:pPr>
          </w:p>
        </w:tc>
        <w:tc>
          <w:tcPr>
            <w:tcW w:w="220" w:type="dxa"/>
            <w:vAlign w:val="bottom"/>
            <w:shd w:val="clear" w:color="auto" w:fill="F2F2F2"/>
          </w:tcPr>
          <w:p>
            <w:pPr>
              <w:spacing w:after="0"/>
              <w:rPr>
                <w:sz w:val="20"/>
                <w:szCs w:val="20"/>
                <w:color w:val="auto"/>
              </w:rPr>
            </w:pPr>
          </w:p>
        </w:tc>
        <w:tc>
          <w:tcPr>
            <w:tcW w:w="460" w:type="dxa"/>
            <w:vAlign w:val="bottom"/>
            <w:shd w:val="clear" w:color="auto" w:fill="F2F2F2"/>
          </w:tcPr>
          <w:p>
            <w:pPr>
              <w:spacing w:after="0"/>
              <w:rPr>
                <w:sz w:val="20"/>
                <w:szCs w:val="20"/>
                <w:color w:val="auto"/>
              </w:rPr>
            </w:pPr>
          </w:p>
        </w:tc>
        <w:tc>
          <w:tcPr>
            <w:tcW w:w="1460" w:type="dxa"/>
            <w:vAlign w:val="bottom"/>
            <w:shd w:val="clear" w:color="auto" w:fill="F2F2F2"/>
          </w:tcPr>
          <w:p>
            <w:pPr>
              <w:spacing w:after="0"/>
              <w:rPr>
                <w:sz w:val="20"/>
                <w:szCs w:val="20"/>
                <w:color w:val="auto"/>
              </w:rPr>
            </w:pPr>
          </w:p>
        </w:tc>
        <w:tc>
          <w:tcPr>
            <w:tcW w:w="4760" w:type="dxa"/>
            <w:vAlign w:val="bottom"/>
            <w:shd w:val="clear" w:color="auto" w:fill="F2F2F2"/>
          </w:tcPr>
          <w:p>
            <w:pPr>
              <w:spacing w:after="0"/>
              <w:rPr>
                <w:sz w:val="20"/>
                <w:szCs w:val="20"/>
                <w:color w:val="auto"/>
              </w:rPr>
            </w:pPr>
          </w:p>
        </w:tc>
        <w:tc>
          <w:tcPr>
            <w:tcW w:w="78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67</w:t>
            </w:r>
          </w:p>
        </w:tc>
      </w:tr>
      <w:tr>
        <w:trPr>
          <w:trHeight w:val="100"/>
        </w:trPr>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10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26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0000EE"/>
              <w:bottom w:val="single" w:sz="8" w:color="7F7F7F"/>
            </w:tcBorders>
            <w:shd w:val="clear" w:color="auto" w:fill="F2F2F2"/>
          </w:tcPr>
          <w:p>
            <w:pPr>
              <w:spacing w:after="0"/>
              <w:rPr>
                <w:sz w:val="8"/>
                <w:szCs w:val="8"/>
                <w:color w:val="auto"/>
              </w:rPr>
            </w:pPr>
          </w:p>
        </w:tc>
        <w:tc>
          <w:tcPr>
            <w:tcW w:w="40" w:type="dxa"/>
            <w:vAlign w:val="bottom"/>
            <w:tcBorders>
              <w:top w:val="single" w:sz="8" w:color="0000EE"/>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20" w:type="dxa"/>
            <w:vAlign w:val="bottom"/>
            <w:tcBorders>
              <w:top w:val="single" w:sz="8" w:color="F2F2F2"/>
              <w:bottom w:val="single" w:sz="8" w:color="7F7F7F"/>
            </w:tcBorders>
            <w:shd w:val="clear" w:color="auto" w:fill="F2F2F2"/>
          </w:tcPr>
          <w:p>
            <w:pPr>
              <w:spacing w:after="0"/>
              <w:rPr>
                <w:sz w:val="8"/>
                <w:szCs w:val="8"/>
                <w:color w:val="auto"/>
              </w:rPr>
            </w:pPr>
          </w:p>
        </w:tc>
        <w:tc>
          <w:tcPr>
            <w:tcW w:w="180" w:type="dxa"/>
            <w:vAlign w:val="bottom"/>
            <w:tcBorders>
              <w:top w:val="single" w:sz="8" w:color="F2F2F2"/>
              <w:bottom w:val="single" w:sz="8" w:color="7F7F7F"/>
            </w:tcBorders>
            <w:shd w:val="clear" w:color="auto" w:fill="F2F2F2"/>
          </w:tcPr>
          <w:p>
            <w:pPr>
              <w:spacing w:after="0"/>
              <w:rPr>
                <w:sz w:val="8"/>
                <w:szCs w:val="8"/>
                <w:color w:val="auto"/>
              </w:rPr>
            </w:pPr>
          </w:p>
        </w:tc>
        <w:tc>
          <w:tcPr>
            <w:tcW w:w="140" w:type="dxa"/>
            <w:vAlign w:val="bottom"/>
            <w:tcBorders>
              <w:top w:val="single" w:sz="8" w:color="F2F2F2"/>
              <w:bottom w:val="single" w:sz="8" w:color="7F7F7F"/>
            </w:tcBorders>
            <w:shd w:val="clear" w:color="auto" w:fill="F2F2F2"/>
          </w:tcPr>
          <w:p>
            <w:pPr>
              <w:spacing w:after="0"/>
              <w:rPr>
                <w:sz w:val="8"/>
                <w:szCs w:val="8"/>
                <w:color w:val="auto"/>
              </w:rPr>
            </w:pPr>
          </w:p>
        </w:tc>
        <w:tc>
          <w:tcPr>
            <w:tcW w:w="100" w:type="dxa"/>
            <w:vAlign w:val="bottom"/>
            <w:tcBorders>
              <w:top w:val="single" w:sz="8" w:color="F2F2F2"/>
              <w:bottom w:val="single" w:sz="8" w:color="7F7F7F"/>
            </w:tcBorders>
            <w:shd w:val="clear" w:color="auto" w:fill="F2F2F2"/>
          </w:tcPr>
          <w:p>
            <w:pPr>
              <w:spacing w:after="0"/>
              <w:rPr>
                <w:sz w:val="8"/>
                <w:szCs w:val="8"/>
                <w:color w:val="auto"/>
              </w:rPr>
            </w:pPr>
          </w:p>
        </w:tc>
        <w:tc>
          <w:tcPr>
            <w:tcW w:w="2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60" w:type="dxa"/>
            <w:vAlign w:val="bottom"/>
            <w:tcBorders>
              <w:top w:val="single" w:sz="8" w:color="F2F2F2"/>
              <w:bottom w:val="single" w:sz="8" w:color="7F7F7F"/>
            </w:tcBorders>
            <w:shd w:val="clear" w:color="auto" w:fill="F2F2F2"/>
          </w:tcPr>
          <w:p>
            <w:pPr>
              <w:spacing w:after="0"/>
              <w:rPr>
                <w:sz w:val="8"/>
                <w:szCs w:val="8"/>
                <w:color w:val="auto"/>
              </w:rPr>
            </w:pPr>
          </w:p>
        </w:tc>
        <w:tc>
          <w:tcPr>
            <w:tcW w:w="80" w:type="dxa"/>
            <w:vAlign w:val="bottom"/>
            <w:tcBorders>
              <w:top w:val="single" w:sz="8" w:color="F2F2F2"/>
              <w:bottom w:val="single" w:sz="8" w:color="7F7F7F"/>
            </w:tcBorders>
            <w:shd w:val="clear" w:color="auto" w:fill="F2F2F2"/>
          </w:tcPr>
          <w:p>
            <w:pPr>
              <w:spacing w:after="0"/>
              <w:rPr>
                <w:sz w:val="8"/>
                <w:szCs w:val="8"/>
                <w:color w:val="auto"/>
              </w:rPr>
            </w:pPr>
          </w:p>
        </w:tc>
        <w:tc>
          <w:tcPr>
            <w:tcW w:w="220" w:type="dxa"/>
            <w:vAlign w:val="bottom"/>
            <w:tcBorders>
              <w:top w:val="single" w:sz="8" w:color="F2F2F2"/>
              <w:bottom w:val="single" w:sz="8" w:color="7F7F7F"/>
            </w:tcBorders>
            <w:shd w:val="clear" w:color="auto" w:fill="F2F2F2"/>
          </w:tcPr>
          <w:p>
            <w:pPr>
              <w:spacing w:after="0"/>
              <w:rPr>
                <w:sz w:val="8"/>
                <w:szCs w:val="8"/>
                <w:color w:val="auto"/>
              </w:rPr>
            </w:pPr>
          </w:p>
        </w:tc>
        <w:tc>
          <w:tcPr>
            <w:tcW w:w="460" w:type="dxa"/>
            <w:vAlign w:val="bottom"/>
            <w:tcBorders>
              <w:top w:val="single" w:sz="8" w:color="F2F2F2"/>
              <w:bottom w:val="single" w:sz="8" w:color="7F7F7F"/>
            </w:tcBorders>
            <w:shd w:val="clear" w:color="auto" w:fill="F2F2F2"/>
          </w:tcPr>
          <w:p>
            <w:pPr>
              <w:spacing w:after="0"/>
              <w:rPr>
                <w:sz w:val="8"/>
                <w:szCs w:val="8"/>
                <w:color w:val="auto"/>
              </w:rPr>
            </w:pPr>
          </w:p>
        </w:tc>
        <w:tc>
          <w:tcPr>
            <w:tcW w:w="1460" w:type="dxa"/>
            <w:vAlign w:val="bottom"/>
            <w:tcBorders>
              <w:top w:val="single" w:sz="8" w:color="F2F2F2"/>
              <w:bottom w:val="single" w:sz="8" w:color="7F7F7F"/>
            </w:tcBorders>
            <w:shd w:val="clear" w:color="auto" w:fill="F2F2F2"/>
          </w:tcPr>
          <w:p>
            <w:pPr>
              <w:spacing w:after="0"/>
              <w:rPr>
                <w:sz w:val="8"/>
                <w:szCs w:val="8"/>
                <w:color w:val="auto"/>
              </w:rPr>
            </w:pPr>
          </w:p>
        </w:tc>
        <w:tc>
          <w:tcPr>
            <w:tcW w:w="4760" w:type="dxa"/>
            <w:vAlign w:val="bottom"/>
            <w:tcBorders>
              <w:top w:val="single" w:sz="8" w:color="F2F2F2"/>
              <w:bottom w:val="single" w:sz="8" w:color="7F7F7F"/>
            </w:tcBorders>
            <w:shd w:val="clear" w:color="auto" w:fill="F2F2F2"/>
          </w:tcPr>
          <w:p>
            <w:pPr>
              <w:spacing w:after="0"/>
              <w:rPr>
                <w:sz w:val="8"/>
                <w:szCs w:val="8"/>
                <w:color w:val="auto"/>
              </w:rPr>
            </w:pPr>
          </w:p>
        </w:tc>
        <w:tc>
          <w:tcPr>
            <w:tcW w:w="780" w:type="dxa"/>
            <w:vAlign w:val="bottom"/>
            <w:tcBorders>
              <w:top w:val="single" w:sz="8" w:color="F2F2F2"/>
              <w:bottom w:val="single" w:sz="8" w:color="7F7F7F"/>
            </w:tcBorders>
            <w:shd w:val="clear" w:color="auto" w:fill="F2F2F2"/>
          </w:tcPr>
          <w:p>
            <w:pPr>
              <w:spacing w:after="0"/>
              <w:rPr>
                <w:sz w:val="8"/>
                <w:szCs w:val="8"/>
                <w:color w:val="auto"/>
              </w:rPr>
            </w:pPr>
          </w:p>
        </w:tc>
      </w:tr>
      <w:tr>
        <w:trPr>
          <w:trHeight w:val="234"/>
        </w:trPr>
        <w:tc>
          <w:tcPr>
            <w:tcW w:w="80" w:type="dxa"/>
            <w:vAlign w:val="bottom"/>
          </w:tcPr>
          <w:p>
            <w:pPr>
              <w:spacing w:after="0"/>
              <w:rPr>
                <w:sz w:val="20"/>
                <w:szCs w:val="20"/>
                <w:color w:val="auto"/>
              </w:rPr>
            </w:pPr>
          </w:p>
        </w:tc>
        <w:tc>
          <w:tcPr>
            <w:tcW w:w="10060" w:type="dxa"/>
            <w:vAlign w:val="bottom"/>
            <w:gridSpan w:val="24"/>
          </w:tcPr>
          <w:p>
            <w:pPr>
              <w:spacing w:after="0"/>
              <w:rPr>
                <w:sz w:val="20"/>
                <w:szCs w:val="20"/>
                <w:color w:val="auto"/>
              </w:rPr>
            </w:pPr>
            <w:r>
              <w:rPr>
                <w:rFonts w:ascii="Arial" w:cs="Arial" w:eastAsia="Arial" w:hAnsi="Arial"/>
                <w:sz w:val="14"/>
                <w:szCs w:val="14"/>
                <w:b w:val="1"/>
                <w:bCs w:val="1"/>
                <w:color w:val="0000EE"/>
              </w:rPr>
              <w:t>Impact of Regulatory Requirements</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67</w:t>
            </w:r>
          </w:p>
        </w:tc>
      </w:tr>
      <w:tr>
        <w:trPr>
          <w:trHeight w:val="100"/>
        </w:trPr>
        <w:tc>
          <w:tcPr>
            <w:tcW w:w="80" w:type="dxa"/>
            <w:vAlign w:val="bottom"/>
            <w:tcBorders>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10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26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40" w:type="dxa"/>
            <w:vAlign w:val="bottom"/>
            <w:tcBorders>
              <w:top w:val="single" w:sz="8" w:color="0000EE"/>
              <w:bottom w:val="single" w:sz="8" w:color="7F7F7F"/>
            </w:tcBorders>
          </w:tcPr>
          <w:p>
            <w:pPr>
              <w:spacing w:after="0"/>
              <w:rPr>
                <w:sz w:val="8"/>
                <w:szCs w:val="8"/>
                <w:color w:val="auto"/>
              </w:rPr>
            </w:pPr>
          </w:p>
        </w:tc>
        <w:tc>
          <w:tcPr>
            <w:tcW w:w="14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60" w:type="dxa"/>
            <w:vAlign w:val="bottom"/>
            <w:tcBorders>
              <w:top w:val="single" w:sz="8" w:color="0000EE"/>
              <w:bottom w:val="single" w:sz="8" w:color="7F7F7F"/>
            </w:tcBorders>
          </w:tcPr>
          <w:p>
            <w:pPr>
              <w:spacing w:after="0"/>
              <w:rPr>
                <w:sz w:val="8"/>
                <w:szCs w:val="8"/>
                <w:color w:val="auto"/>
              </w:rPr>
            </w:pPr>
          </w:p>
        </w:tc>
        <w:tc>
          <w:tcPr>
            <w:tcW w:w="20" w:type="dxa"/>
            <w:vAlign w:val="bottom"/>
            <w:tcBorders>
              <w:top w:val="single" w:sz="8" w:color="0000EE"/>
              <w:bottom w:val="single" w:sz="8" w:color="7F7F7F"/>
            </w:tcBorders>
          </w:tcPr>
          <w:p>
            <w:pPr>
              <w:spacing w:after="0"/>
              <w:rPr>
                <w:sz w:val="8"/>
                <w:szCs w:val="8"/>
                <w:color w:val="auto"/>
              </w:rPr>
            </w:pPr>
          </w:p>
        </w:tc>
        <w:tc>
          <w:tcPr>
            <w:tcW w:w="180" w:type="dxa"/>
            <w:vAlign w:val="bottom"/>
            <w:tcBorders>
              <w:top w:val="single" w:sz="8" w:color="0000EE"/>
              <w:bottom w:val="single" w:sz="8" w:color="7F7F7F"/>
            </w:tcBorders>
          </w:tcPr>
          <w:p>
            <w:pPr>
              <w:spacing w:after="0"/>
              <w:rPr>
                <w:sz w:val="8"/>
                <w:szCs w:val="8"/>
                <w:color w:val="auto"/>
              </w:rPr>
            </w:pPr>
          </w:p>
        </w:tc>
        <w:tc>
          <w:tcPr>
            <w:tcW w:w="140" w:type="dxa"/>
            <w:vAlign w:val="bottom"/>
            <w:tcBorders>
              <w:bottom w:val="single" w:sz="8" w:color="7F7F7F"/>
            </w:tcBorders>
          </w:tcPr>
          <w:p>
            <w:pPr>
              <w:spacing w:after="0"/>
              <w:rPr>
                <w:sz w:val="8"/>
                <w:szCs w:val="8"/>
                <w:color w:val="auto"/>
              </w:rPr>
            </w:pPr>
          </w:p>
        </w:tc>
        <w:tc>
          <w:tcPr>
            <w:tcW w:w="100" w:type="dxa"/>
            <w:vAlign w:val="bottom"/>
            <w:tcBorders>
              <w:bottom w:val="single" w:sz="8" w:color="7F7F7F"/>
            </w:tcBorders>
          </w:tcPr>
          <w:p>
            <w:pPr>
              <w:spacing w:after="0"/>
              <w:rPr>
                <w:sz w:val="8"/>
                <w:szCs w:val="8"/>
                <w:color w:val="auto"/>
              </w:rPr>
            </w:pPr>
          </w:p>
        </w:tc>
        <w:tc>
          <w:tcPr>
            <w:tcW w:w="2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60" w:type="dxa"/>
            <w:vAlign w:val="bottom"/>
            <w:tcBorders>
              <w:bottom w:val="single" w:sz="8" w:color="7F7F7F"/>
            </w:tcBorders>
          </w:tcPr>
          <w:p>
            <w:pPr>
              <w:spacing w:after="0"/>
              <w:rPr>
                <w:sz w:val="8"/>
                <w:szCs w:val="8"/>
                <w:color w:val="auto"/>
              </w:rPr>
            </w:pPr>
          </w:p>
        </w:tc>
        <w:tc>
          <w:tcPr>
            <w:tcW w:w="80" w:type="dxa"/>
            <w:vAlign w:val="bottom"/>
            <w:tcBorders>
              <w:bottom w:val="single" w:sz="8" w:color="7F7F7F"/>
            </w:tcBorders>
          </w:tcPr>
          <w:p>
            <w:pPr>
              <w:spacing w:after="0"/>
              <w:rPr>
                <w:sz w:val="8"/>
                <w:szCs w:val="8"/>
                <w:color w:val="auto"/>
              </w:rPr>
            </w:pPr>
          </w:p>
        </w:tc>
        <w:tc>
          <w:tcPr>
            <w:tcW w:w="22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460" w:type="dxa"/>
            <w:vAlign w:val="bottom"/>
            <w:tcBorders>
              <w:bottom w:val="single" w:sz="8" w:color="7F7F7F"/>
            </w:tcBorders>
          </w:tcPr>
          <w:p>
            <w:pPr>
              <w:spacing w:after="0"/>
              <w:rPr>
                <w:sz w:val="8"/>
                <w:szCs w:val="8"/>
                <w:color w:val="auto"/>
              </w:rPr>
            </w:pPr>
          </w:p>
        </w:tc>
        <w:tc>
          <w:tcPr>
            <w:tcW w:w="476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r>
      <w:tr>
        <w:trPr>
          <w:trHeight w:val="154"/>
        </w:trPr>
        <w:tc>
          <w:tcPr>
            <w:tcW w:w="80" w:type="dxa"/>
            <w:vAlign w:val="bottom"/>
            <w:tcBorders>
              <w:bottom w:val="single" w:sz="8" w:color="7F7F7F"/>
            </w:tcBorders>
          </w:tcPr>
          <w:p>
            <w:pPr>
              <w:spacing w:after="0"/>
              <w:rPr>
                <w:sz w:val="13"/>
                <w:szCs w:val="13"/>
                <w:color w:val="auto"/>
              </w:rPr>
            </w:pPr>
          </w:p>
        </w:tc>
        <w:tc>
          <w:tcPr>
            <w:tcW w:w="140" w:type="dxa"/>
            <w:vAlign w:val="bottom"/>
            <w:tcBorders>
              <w:bottom w:val="single" w:sz="8" w:color="7F7F7F"/>
            </w:tcBorders>
          </w:tcPr>
          <w:p>
            <w:pPr>
              <w:spacing w:after="0"/>
              <w:rPr>
                <w:sz w:val="13"/>
                <w:szCs w:val="13"/>
                <w:color w:val="auto"/>
              </w:rPr>
            </w:pPr>
          </w:p>
        </w:tc>
        <w:tc>
          <w:tcPr>
            <w:tcW w:w="1040" w:type="dxa"/>
            <w:vAlign w:val="bottom"/>
            <w:tcBorders>
              <w:bottom w:val="single" w:sz="8" w:color="7F7F7F"/>
            </w:tcBorders>
          </w:tcPr>
          <w:p>
            <w:pPr>
              <w:spacing w:after="0"/>
              <w:rPr>
                <w:sz w:val="13"/>
                <w:szCs w:val="13"/>
                <w:color w:val="auto"/>
              </w:rPr>
            </w:pPr>
          </w:p>
        </w:tc>
        <w:tc>
          <w:tcPr>
            <w:tcW w:w="140" w:type="dxa"/>
            <w:vAlign w:val="bottom"/>
            <w:tcBorders>
              <w:bottom w:val="single" w:sz="8" w:color="7F7F7F"/>
            </w:tcBorders>
          </w:tcPr>
          <w:p>
            <w:pPr>
              <w:spacing w:after="0"/>
              <w:rPr>
                <w:sz w:val="13"/>
                <w:szCs w:val="13"/>
                <w:color w:val="auto"/>
              </w:rPr>
            </w:pPr>
          </w:p>
        </w:tc>
        <w:tc>
          <w:tcPr>
            <w:tcW w:w="40" w:type="dxa"/>
            <w:vAlign w:val="bottom"/>
            <w:tcBorders>
              <w:bottom w:val="single" w:sz="8" w:color="7F7F7F"/>
            </w:tcBorders>
          </w:tcPr>
          <w:p>
            <w:pPr>
              <w:spacing w:after="0"/>
              <w:rPr>
                <w:sz w:val="13"/>
                <w:szCs w:val="13"/>
                <w:color w:val="auto"/>
              </w:rPr>
            </w:pPr>
          </w:p>
        </w:tc>
        <w:tc>
          <w:tcPr>
            <w:tcW w:w="140" w:type="dxa"/>
            <w:vAlign w:val="bottom"/>
            <w:tcBorders>
              <w:bottom w:val="single" w:sz="8" w:color="7F7F7F"/>
            </w:tcBorders>
          </w:tcPr>
          <w:p>
            <w:pPr>
              <w:spacing w:after="0"/>
              <w:rPr>
                <w:sz w:val="13"/>
                <w:szCs w:val="13"/>
                <w:color w:val="auto"/>
              </w:rPr>
            </w:pPr>
          </w:p>
        </w:tc>
        <w:tc>
          <w:tcPr>
            <w:tcW w:w="260" w:type="dxa"/>
            <w:vAlign w:val="bottom"/>
            <w:tcBorders>
              <w:bottom w:val="single" w:sz="8" w:color="7F7F7F"/>
            </w:tcBorders>
          </w:tcPr>
          <w:p>
            <w:pPr>
              <w:spacing w:after="0"/>
              <w:rPr>
                <w:sz w:val="13"/>
                <w:szCs w:val="13"/>
                <w:color w:val="auto"/>
              </w:rPr>
            </w:pPr>
          </w:p>
        </w:tc>
        <w:tc>
          <w:tcPr>
            <w:tcW w:w="140" w:type="dxa"/>
            <w:vAlign w:val="bottom"/>
            <w:tcBorders>
              <w:bottom w:val="single" w:sz="8" w:color="7F7F7F"/>
            </w:tcBorders>
          </w:tcPr>
          <w:p>
            <w:pPr>
              <w:spacing w:after="0"/>
              <w:rPr>
                <w:sz w:val="13"/>
                <w:szCs w:val="13"/>
                <w:color w:val="auto"/>
              </w:rPr>
            </w:pPr>
          </w:p>
        </w:tc>
        <w:tc>
          <w:tcPr>
            <w:tcW w:w="40" w:type="dxa"/>
            <w:vAlign w:val="bottom"/>
            <w:tcBorders>
              <w:bottom w:val="single" w:sz="8" w:color="7F7F7F"/>
            </w:tcBorders>
          </w:tcPr>
          <w:p>
            <w:pPr>
              <w:spacing w:after="0"/>
              <w:rPr>
                <w:sz w:val="13"/>
                <w:szCs w:val="13"/>
                <w:color w:val="auto"/>
              </w:rPr>
            </w:pPr>
          </w:p>
        </w:tc>
        <w:tc>
          <w:tcPr>
            <w:tcW w:w="140" w:type="dxa"/>
            <w:vAlign w:val="bottom"/>
            <w:tcBorders>
              <w:bottom w:val="single" w:sz="8" w:color="7F7F7F"/>
            </w:tcBorders>
          </w:tcPr>
          <w:p>
            <w:pPr>
              <w:spacing w:after="0"/>
              <w:rPr>
                <w:sz w:val="13"/>
                <w:szCs w:val="13"/>
                <w:color w:val="auto"/>
              </w:rPr>
            </w:pPr>
          </w:p>
        </w:tc>
        <w:tc>
          <w:tcPr>
            <w:tcW w:w="60" w:type="dxa"/>
            <w:vAlign w:val="bottom"/>
            <w:tcBorders>
              <w:bottom w:val="single" w:sz="8" w:color="7F7F7F"/>
            </w:tcBorders>
          </w:tcPr>
          <w:p>
            <w:pPr>
              <w:spacing w:after="0"/>
              <w:rPr>
                <w:sz w:val="13"/>
                <w:szCs w:val="13"/>
                <w:color w:val="auto"/>
              </w:rPr>
            </w:pPr>
          </w:p>
        </w:tc>
        <w:tc>
          <w:tcPr>
            <w:tcW w:w="60" w:type="dxa"/>
            <w:vAlign w:val="bottom"/>
            <w:tcBorders>
              <w:bottom w:val="single" w:sz="8" w:color="7F7F7F"/>
            </w:tcBorders>
          </w:tcPr>
          <w:p>
            <w:pPr>
              <w:spacing w:after="0"/>
              <w:rPr>
                <w:sz w:val="13"/>
                <w:szCs w:val="13"/>
                <w:color w:val="auto"/>
              </w:rPr>
            </w:pPr>
          </w:p>
        </w:tc>
        <w:tc>
          <w:tcPr>
            <w:tcW w:w="20" w:type="dxa"/>
            <w:vAlign w:val="bottom"/>
            <w:tcBorders>
              <w:bottom w:val="single" w:sz="8" w:color="7F7F7F"/>
            </w:tcBorders>
          </w:tcPr>
          <w:p>
            <w:pPr>
              <w:spacing w:after="0"/>
              <w:rPr>
                <w:sz w:val="13"/>
                <w:szCs w:val="13"/>
                <w:color w:val="auto"/>
              </w:rPr>
            </w:pPr>
          </w:p>
        </w:tc>
        <w:tc>
          <w:tcPr>
            <w:tcW w:w="180" w:type="dxa"/>
            <w:vAlign w:val="bottom"/>
            <w:tcBorders>
              <w:bottom w:val="single" w:sz="8" w:color="7F7F7F"/>
            </w:tcBorders>
          </w:tcPr>
          <w:p>
            <w:pPr>
              <w:spacing w:after="0"/>
              <w:rPr>
                <w:sz w:val="13"/>
                <w:szCs w:val="13"/>
                <w:color w:val="auto"/>
              </w:rPr>
            </w:pPr>
          </w:p>
        </w:tc>
        <w:tc>
          <w:tcPr>
            <w:tcW w:w="140" w:type="dxa"/>
            <w:vAlign w:val="bottom"/>
            <w:tcBorders>
              <w:bottom w:val="single" w:sz="8" w:color="7F7F7F"/>
            </w:tcBorders>
          </w:tcPr>
          <w:p>
            <w:pPr>
              <w:spacing w:after="0"/>
              <w:rPr>
                <w:sz w:val="13"/>
                <w:szCs w:val="13"/>
                <w:color w:val="auto"/>
              </w:rPr>
            </w:pPr>
          </w:p>
        </w:tc>
        <w:tc>
          <w:tcPr>
            <w:tcW w:w="100" w:type="dxa"/>
            <w:vAlign w:val="bottom"/>
            <w:tcBorders>
              <w:bottom w:val="single" w:sz="8" w:color="7F7F7F"/>
            </w:tcBorders>
          </w:tcPr>
          <w:p>
            <w:pPr>
              <w:spacing w:after="0"/>
              <w:rPr>
                <w:sz w:val="13"/>
                <w:szCs w:val="13"/>
                <w:color w:val="auto"/>
              </w:rPr>
            </w:pPr>
          </w:p>
        </w:tc>
        <w:tc>
          <w:tcPr>
            <w:tcW w:w="260" w:type="dxa"/>
            <w:vAlign w:val="bottom"/>
            <w:tcBorders>
              <w:bottom w:val="single" w:sz="8" w:color="7F7F7F"/>
            </w:tcBorders>
          </w:tcPr>
          <w:p>
            <w:pPr>
              <w:spacing w:after="0"/>
              <w:rPr>
                <w:sz w:val="13"/>
                <w:szCs w:val="13"/>
                <w:color w:val="auto"/>
              </w:rPr>
            </w:pPr>
          </w:p>
        </w:tc>
        <w:tc>
          <w:tcPr>
            <w:tcW w:w="60" w:type="dxa"/>
            <w:vAlign w:val="bottom"/>
            <w:tcBorders>
              <w:bottom w:val="single" w:sz="8" w:color="7F7F7F"/>
            </w:tcBorders>
          </w:tcPr>
          <w:p>
            <w:pPr>
              <w:spacing w:after="0"/>
              <w:rPr>
                <w:sz w:val="13"/>
                <w:szCs w:val="13"/>
                <w:color w:val="auto"/>
              </w:rPr>
            </w:pPr>
          </w:p>
        </w:tc>
        <w:tc>
          <w:tcPr>
            <w:tcW w:w="60" w:type="dxa"/>
            <w:vAlign w:val="bottom"/>
            <w:tcBorders>
              <w:bottom w:val="single" w:sz="8" w:color="7F7F7F"/>
            </w:tcBorders>
          </w:tcPr>
          <w:p>
            <w:pPr>
              <w:spacing w:after="0"/>
              <w:rPr>
                <w:sz w:val="13"/>
                <w:szCs w:val="13"/>
                <w:color w:val="auto"/>
              </w:rPr>
            </w:pPr>
          </w:p>
        </w:tc>
        <w:tc>
          <w:tcPr>
            <w:tcW w:w="60" w:type="dxa"/>
            <w:vAlign w:val="bottom"/>
            <w:tcBorders>
              <w:bottom w:val="single" w:sz="8" w:color="7F7F7F"/>
            </w:tcBorders>
          </w:tcPr>
          <w:p>
            <w:pPr>
              <w:spacing w:after="0"/>
              <w:rPr>
                <w:sz w:val="13"/>
                <w:szCs w:val="13"/>
                <w:color w:val="auto"/>
              </w:rPr>
            </w:pPr>
          </w:p>
        </w:tc>
        <w:tc>
          <w:tcPr>
            <w:tcW w:w="80" w:type="dxa"/>
            <w:vAlign w:val="bottom"/>
            <w:tcBorders>
              <w:bottom w:val="single" w:sz="8" w:color="7F7F7F"/>
            </w:tcBorders>
          </w:tcPr>
          <w:p>
            <w:pPr>
              <w:spacing w:after="0"/>
              <w:rPr>
                <w:sz w:val="13"/>
                <w:szCs w:val="13"/>
                <w:color w:val="auto"/>
              </w:rPr>
            </w:pPr>
          </w:p>
        </w:tc>
        <w:tc>
          <w:tcPr>
            <w:tcW w:w="220" w:type="dxa"/>
            <w:vAlign w:val="bottom"/>
            <w:tcBorders>
              <w:bottom w:val="single" w:sz="8" w:color="7F7F7F"/>
            </w:tcBorders>
          </w:tcPr>
          <w:p>
            <w:pPr>
              <w:spacing w:after="0"/>
              <w:rPr>
                <w:sz w:val="13"/>
                <w:szCs w:val="13"/>
                <w:color w:val="auto"/>
              </w:rPr>
            </w:pPr>
          </w:p>
        </w:tc>
        <w:tc>
          <w:tcPr>
            <w:tcW w:w="460" w:type="dxa"/>
            <w:vAlign w:val="bottom"/>
            <w:tcBorders>
              <w:bottom w:val="single" w:sz="8" w:color="7F7F7F"/>
            </w:tcBorders>
          </w:tcPr>
          <w:p>
            <w:pPr>
              <w:spacing w:after="0"/>
              <w:rPr>
                <w:sz w:val="13"/>
                <w:szCs w:val="13"/>
                <w:color w:val="auto"/>
              </w:rPr>
            </w:pPr>
          </w:p>
        </w:tc>
        <w:tc>
          <w:tcPr>
            <w:tcW w:w="1460" w:type="dxa"/>
            <w:vAlign w:val="bottom"/>
            <w:tcBorders>
              <w:bottom w:val="single" w:sz="8" w:color="7F7F7F"/>
            </w:tcBorders>
          </w:tcPr>
          <w:p>
            <w:pPr>
              <w:spacing w:after="0"/>
              <w:rPr>
                <w:sz w:val="13"/>
                <w:szCs w:val="13"/>
                <w:color w:val="auto"/>
              </w:rPr>
            </w:pPr>
          </w:p>
        </w:tc>
        <w:tc>
          <w:tcPr>
            <w:tcW w:w="4760" w:type="dxa"/>
            <w:vAlign w:val="bottom"/>
            <w:tcBorders>
              <w:bottom w:val="single" w:sz="8" w:color="7F7F7F"/>
            </w:tcBorders>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r>
      <w:tr>
        <w:trPr>
          <w:trHeight w:val="368"/>
        </w:trPr>
        <w:tc>
          <w:tcPr>
            <w:tcW w:w="2280" w:type="dxa"/>
            <w:vAlign w:val="bottom"/>
            <w:gridSpan w:val="12"/>
          </w:tcPr>
          <w:p>
            <w:pPr>
              <w:spacing w:after="0"/>
              <w:rPr>
                <w:sz w:val="20"/>
                <w:szCs w:val="20"/>
                <w:color w:val="auto"/>
              </w:rPr>
            </w:pPr>
            <w:r>
              <w:rPr>
                <w:rFonts w:ascii="Arial" w:cs="Arial" w:eastAsia="Arial" w:hAnsi="Arial"/>
                <w:sz w:val="12"/>
                <w:szCs w:val="12"/>
                <w:color w:val="auto"/>
              </w:rPr>
              <w:t xml:space="preserve">40          </w:t>
            </w:r>
          </w:p>
        </w:tc>
        <w:tc>
          <w:tcPr>
            <w:tcW w:w="7860" w:type="dxa"/>
            <w:vAlign w:val="bottom"/>
            <w:gridSpan w:val="13"/>
          </w:tcPr>
          <w:p>
            <w:pPr>
              <w:spacing w:after="0"/>
              <w:rPr>
                <w:sz w:val="20"/>
                <w:szCs w:val="20"/>
                <w:color w:val="auto"/>
              </w:rPr>
            </w:pPr>
            <w:r>
              <w:rPr>
                <w:rFonts w:ascii="Arial" w:cs="Arial" w:eastAsia="Arial" w:hAnsi="Arial"/>
                <w:sz w:val="12"/>
                <w:szCs w:val="12"/>
                <w:color w:val="auto"/>
              </w:rPr>
              <w:t>      2026 Proxy Statement</w:t>
            </w:r>
          </w:p>
        </w:tc>
        <w:tc>
          <w:tcPr>
            <w:tcW w:w="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-135255</wp:posOffset>
            </wp:positionV>
            <wp:extent cx="739140" cy="144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This Compensation Discussion and Analysis focuses on the compensation of the following individuals, who we collectively refer to as our named executive officers:</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558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5340" w:type="dxa"/>
            <w:vAlign w:val="bottom"/>
            <w:shd w:val="clear" w:color="auto" w:fill="005CB9"/>
          </w:tcPr>
          <w:p>
            <w:pPr>
              <w:ind w:left="1740"/>
              <w:spacing w:after="0"/>
              <w:rPr>
                <w:sz w:val="20"/>
                <w:szCs w:val="20"/>
                <w:color w:val="auto"/>
              </w:rPr>
            </w:pPr>
            <w:r>
              <w:rPr>
                <w:rFonts w:ascii="Arial" w:cs="Arial" w:eastAsia="Arial" w:hAnsi="Arial"/>
                <w:sz w:val="14"/>
                <w:szCs w:val="14"/>
                <w:b w:val="1"/>
                <w:bCs w:val="1"/>
                <w:color w:val="FFFFFF"/>
              </w:rPr>
              <w:t>Title as of December 31, 2025</w:t>
            </w:r>
          </w:p>
        </w:tc>
      </w:tr>
      <w:tr>
        <w:trPr>
          <w:trHeight w:val="82"/>
        </w:trPr>
        <w:tc>
          <w:tcPr>
            <w:tcW w:w="5580" w:type="dxa"/>
            <w:vAlign w:val="bottom"/>
            <w:shd w:val="clear" w:color="auto" w:fill="005CB9"/>
          </w:tcPr>
          <w:p>
            <w:pPr>
              <w:spacing w:after="0"/>
              <w:rPr>
                <w:sz w:val="7"/>
                <w:szCs w:val="7"/>
                <w:color w:val="auto"/>
              </w:rPr>
            </w:pPr>
          </w:p>
        </w:tc>
        <w:tc>
          <w:tcPr>
            <w:tcW w:w="5340" w:type="dxa"/>
            <w:vAlign w:val="bottom"/>
            <w:shd w:val="clear" w:color="auto" w:fill="005CB9"/>
          </w:tcPr>
          <w:p>
            <w:pPr>
              <w:spacing w:after="0"/>
              <w:rPr>
                <w:sz w:val="7"/>
                <w:szCs w:val="7"/>
                <w:color w:val="auto"/>
              </w:rPr>
            </w:pPr>
          </w:p>
        </w:tc>
      </w:tr>
      <w:tr>
        <w:trPr>
          <w:trHeight w:val="287"/>
        </w:trPr>
        <w:tc>
          <w:tcPr>
            <w:tcW w:w="5580" w:type="dxa"/>
            <w:vAlign w:val="bottom"/>
          </w:tcPr>
          <w:p>
            <w:pPr>
              <w:ind w:left="80"/>
              <w:spacing w:after="0"/>
              <w:rPr>
                <w:sz w:val="20"/>
                <w:szCs w:val="20"/>
                <w:color w:val="auto"/>
              </w:rPr>
            </w:pPr>
            <w:r>
              <w:rPr>
                <w:rFonts w:ascii="Arial" w:cs="Arial" w:eastAsia="Arial" w:hAnsi="Arial"/>
                <w:sz w:val="14"/>
                <w:szCs w:val="14"/>
                <w:color w:val="auto"/>
              </w:rPr>
              <w:t>Jeffrey W. Martin</w:t>
            </w:r>
          </w:p>
        </w:tc>
        <w:tc>
          <w:tcPr>
            <w:tcW w:w="5340" w:type="dxa"/>
            <w:vAlign w:val="bottom"/>
          </w:tcPr>
          <w:p>
            <w:pPr>
              <w:ind w:left="120"/>
              <w:spacing w:after="0"/>
              <w:rPr>
                <w:sz w:val="20"/>
                <w:szCs w:val="20"/>
                <w:color w:val="auto"/>
              </w:rPr>
            </w:pPr>
            <w:r>
              <w:rPr>
                <w:rFonts w:ascii="Arial" w:cs="Arial" w:eastAsia="Arial" w:hAnsi="Arial"/>
                <w:sz w:val="14"/>
                <w:szCs w:val="14"/>
                <w:color w:val="auto"/>
              </w:rPr>
              <w:t>Chairman, Chief Executive Officer and President</w:t>
            </w:r>
          </w:p>
        </w:tc>
      </w:tr>
      <w:tr>
        <w:trPr>
          <w:trHeight w:val="88"/>
        </w:trPr>
        <w:tc>
          <w:tcPr>
            <w:tcW w:w="5580" w:type="dxa"/>
            <w:vAlign w:val="bottom"/>
            <w:tcBorders>
              <w:bottom w:val="single" w:sz="8" w:color="7F7F7F"/>
            </w:tcBorders>
          </w:tcPr>
          <w:p>
            <w:pPr>
              <w:spacing w:after="0"/>
              <w:rPr>
                <w:sz w:val="7"/>
                <w:szCs w:val="7"/>
                <w:color w:val="auto"/>
              </w:rPr>
            </w:pPr>
          </w:p>
        </w:tc>
        <w:tc>
          <w:tcPr>
            <w:tcW w:w="5340" w:type="dxa"/>
            <w:vAlign w:val="bottom"/>
            <w:tcBorders>
              <w:bottom w:val="single" w:sz="8" w:color="7F7F7F"/>
            </w:tcBorders>
          </w:tcPr>
          <w:p>
            <w:pPr>
              <w:spacing w:after="0"/>
              <w:rPr>
                <w:sz w:val="7"/>
                <w:szCs w:val="7"/>
                <w:color w:val="auto"/>
              </w:rPr>
            </w:pPr>
          </w:p>
        </w:tc>
      </w:tr>
      <w:tr>
        <w:trPr>
          <w:trHeight w:val="267"/>
        </w:trPr>
        <w:tc>
          <w:tcPr>
            <w:tcW w:w="5580" w:type="dxa"/>
            <w:vAlign w:val="bottom"/>
            <w:shd w:val="clear" w:color="auto" w:fill="F2F2F2"/>
          </w:tcPr>
          <w:p>
            <w:pPr>
              <w:ind w:left="80"/>
              <w:spacing w:after="0"/>
              <w:rPr>
                <w:sz w:val="20"/>
                <w:szCs w:val="20"/>
                <w:color w:val="auto"/>
              </w:rPr>
            </w:pPr>
            <w:r>
              <w:rPr>
                <w:rFonts w:ascii="Arial" w:cs="Arial" w:eastAsia="Arial" w:hAnsi="Arial"/>
                <w:sz w:val="14"/>
                <w:szCs w:val="14"/>
                <w:color w:val="auto"/>
              </w:rPr>
              <w:t>Karen L. Sedgwick</w:t>
            </w:r>
          </w:p>
        </w:tc>
        <w:tc>
          <w:tcPr>
            <w:tcW w:w="5340" w:type="dxa"/>
            <w:vAlign w:val="bottom"/>
            <w:shd w:val="clear" w:color="auto" w:fill="F2F2F2"/>
          </w:tcPr>
          <w:p>
            <w:pPr>
              <w:ind w:left="120"/>
              <w:spacing w:after="0"/>
              <w:rPr>
                <w:sz w:val="20"/>
                <w:szCs w:val="20"/>
                <w:color w:val="auto"/>
              </w:rPr>
            </w:pPr>
            <w:r>
              <w:rPr>
                <w:rFonts w:ascii="Arial" w:cs="Arial" w:eastAsia="Arial" w:hAnsi="Arial"/>
                <w:sz w:val="14"/>
                <w:szCs w:val="14"/>
                <w:color w:val="auto"/>
              </w:rPr>
              <w:t>Executive Vice President and Chief Financial Officer</w:t>
            </w:r>
          </w:p>
        </w:tc>
      </w:tr>
      <w:tr>
        <w:trPr>
          <w:trHeight w:val="88"/>
        </w:trPr>
        <w:tc>
          <w:tcPr>
            <w:tcW w:w="5580" w:type="dxa"/>
            <w:vAlign w:val="bottom"/>
            <w:tcBorders>
              <w:bottom w:val="single" w:sz="8" w:color="7F7F7F"/>
            </w:tcBorders>
            <w:shd w:val="clear" w:color="auto" w:fill="F2F2F2"/>
          </w:tcPr>
          <w:p>
            <w:pPr>
              <w:spacing w:after="0"/>
              <w:rPr>
                <w:sz w:val="7"/>
                <w:szCs w:val="7"/>
                <w:color w:val="auto"/>
              </w:rPr>
            </w:pPr>
          </w:p>
        </w:tc>
        <w:tc>
          <w:tcPr>
            <w:tcW w:w="5340" w:type="dxa"/>
            <w:vAlign w:val="bottom"/>
            <w:tcBorders>
              <w:bottom w:val="single" w:sz="8" w:color="7F7F7F"/>
            </w:tcBorders>
            <w:shd w:val="clear" w:color="auto" w:fill="F2F2F2"/>
          </w:tcPr>
          <w:p>
            <w:pPr>
              <w:spacing w:after="0"/>
              <w:rPr>
                <w:sz w:val="7"/>
                <w:szCs w:val="7"/>
                <w:color w:val="auto"/>
              </w:rPr>
            </w:pPr>
          </w:p>
        </w:tc>
      </w:tr>
      <w:tr>
        <w:trPr>
          <w:trHeight w:val="267"/>
        </w:trPr>
        <w:tc>
          <w:tcPr>
            <w:tcW w:w="5580" w:type="dxa"/>
            <w:vAlign w:val="bottom"/>
          </w:tcPr>
          <w:p>
            <w:pPr>
              <w:ind w:left="80"/>
              <w:spacing w:after="0"/>
              <w:rPr>
                <w:sz w:val="20"/>
                <w:szCs w:val="20"/>
                <w:color w:val="auto"/>
              </w:rPr>
            </w:pPr>
            <w:r>
              <w:rPr>
                <w:rFonts w:ascii="Arial" w:cs="Arial" w:eastAsia="Arial" w:hAnsi="Arial"/>
                <w:sz w:val="14"/>
                <w:szCs w:val="14"/>
                <w:color w:val="auto"/>
              </w:rPr>
              <w:t>Justin C. Bird</w:t>
            </w:r>
          </w:p>
        </w:tc>
        <w:tc>
          <w:tcPr>
            <w:tcW w:w="5340" w:type="dxa"/>
            <w:vAlign w:val="bottom"/>
          </w:tcPr>
          <w:p>
            <w:pPr>
              <w:ind w:left="120"/>
              <w:spacing w:after="0"/>
              <w:rPr>
                <w:sz w:val="20"/>
                <w:szCs w:val="20"/>
                <w:color w:val="auto"/>
              </w:rPr>
            </w:pPr>
            <w:r>
              <w:rPr>
                <w:rFonts w:ascii="Arial" w:cs="Arial" w:eastAsia="Arial" w:hAnsi="Arial"/>
                <w:sz w:val="14"/>
                <w:szCs w:val="14"/>
                <w:color w:val="auto"/>
              </w:rPr>
              <w:t>Executive Vice President</w:t>
            </w:r>
          </w:p>
        </w:tc>
      </w:tr>
      <w:tr>
        <w:trPr>
          <w:trHeight w:val="88"/>
        </w:trPr>
        <w:tc>
          <w:tcPr>
            <w:tcW w:w="5580" w:type="dxa"/>
            <w:vAlign w:val="bottom"/>
            <w:tcBorders>
              <w:bottom w:val="single" w:sz="8" w:color="7F7F7F"/>
            </w:tcBorders>
          </w:tcPr>
          <w:p>
            <w:pPr>
              <w:spacing w:after="0"/>
              <w:rPr>
                <w:sz w:val="7"/>
                <w:szCs w:val="7"/>
                <w:color w:val="auto"/>
              </w:rPr>
            </w:pPr>
          </w:p>
        </w:tc>
        <w:tc>
          <w:tcPr>
            <w:tcW w:w="5340" w:type="dxa"/>
            <w:vAlign w:val="bottom"/>
            <w:tcBorders>
              <w:bottom w:val="single" w:sz="8" w:color="7F7F7F"/>
            </w:tcBorders>
          </w:tcPr>
          <w:p>
            <w:pPr>
              <w:spacing w:after="0"/>
              <w:rPr>
                <w:sz w:val="7"/>
                <w:szCs w:val="7"/>
                <w:color w:val="auto"/>
              </w:rPr>
            </w:pPr>
          </w:p>
        </w:tc>
      </w:tr>
      <w:tr>
        <w:trPr>
          <w:trHeight w:val="354"/>
        </w:trPr>
        <w:tc>
          <w:tcPr>
            <w:tcW w:w="558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Caroline A. Winn</w:t>
            </w:r>
            <w:r>
              <w:rPr>
                <w:rFonts w:ascii="Arial" w:cs="Arial" w:eastAsia="Arial" w:hAnsi="Arial"/>
                <w:sz w:val="21"/>
                <w:szCs w:val="21"/>
                <w:color w:val="auto"/>
                <w:vertAlign w:val="superscript"/>
              </w:rPr>
              <w:t>(1)</w:t>
            </w:r>
          </w:p>
        </w:tc>
        <w:tc>
          <w:tcPr>
            <w:tcW w:w="5340" w:type="dxa"/>
            <w:vAlign w:val="bottom"/>
            <w:tcBorders>
              <w:bottom w:val="single" w:sz="8" w:color="7F7F7F"/>
            </w:tcBorders>
            <w:shd w:val="clear" w:color="auto" w:fill="F2F2F2"/>
          </w:tcPr>
          <w:p>
            <w:pPr>
              <w:ind w:left="120"/>
              <w:spacing w:after="0"/>
              <w:rPr>
                <w:sz w:val="20"/>
                <w:szCs w:val="20"/>
                <w:color w:val="auto"/>
              </w:rPr>
            </w:pPr>
            <w:r>
              <w:rPr>
                <w:rFonts w:ascii="Arial" w:cs="Arial" w:eastAsia="Arial" w:hAnsi="Arial"/>
                <w:sz w:val="14"/>
                <w:szCs w:val="14"/>
                <w:color w:val="auto"/>
              </w:rPr>
              <w:t>Executive Vice President</w:t>
            </w:r>
          </w:p>
        </w:tc>
      </w:tr>
      <w:tr>
        <w:trPr>
          <w:trHeight w:val="267"/>
        </w:trPr>
        <w:tc>
          <w:tcPr>
            <w:tcW w:w="5580" w:type="dxa"/>
            <w:vAlign w:val="bottom"/>
          </w:tcPr>
          <w:p>
            <w:pPr>
              <w:ind w:left="80"/>
              <w:spacing w:after="0"/>
              <w:rPr>
                <w:sz w:val="20"/>
                <w:szCs w:val="20"/>
                <w:color w:val="auto"/>
              </w:rPr>
            </w:pPr>
            <w:r>
              <w:rPr>
                <w:rFonts w:ascii="Arial" w:cs="Arial" w:eastAsia="Arial" w:hAnsi="Arial"/>
                <w:sz w:val="14"/>
                <w:szCs w:val="14"/>
                <w:color w:val="auto"/>
              </w:rPr>
              <w:t>Diana L. Day</w:t>
            </w:r>
          </w:p>
        </w:tc>
        <w:tc>
          <w:tcPr>
            <w:tcW w:w="5340" w:type="dxa"/>
            <w:vAlign w:val="bottom"/>
          </w:tcPr>
          <w:p>
            <w:pPr>
              <w:ind w:left="120"/>
              <w:spacing w:after="0"/>
              <w:rPr>
                <w:sz w:val="20"/>
                <w:szCs w:val="20"/>
                <w:color w:val="auto"/>
              </w:rPr>
            </w:pPr>
            <w:r>
              <w:rPr>
                <w:rFonts w:ascii="Arial" w:cs="Arial" w:eastAsia="Arial" w:hAnsi="Arial"/>
                <w:sz w:val="14"/>
                <w:szCs w:val="14"/>
                <w:color w:val="auto"/>
              </w:rPr>
              <w:t>Chief Legal Counsel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55880</wp:posOffset>
            </wp:positionV>
            <wp:extent cx="69297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1</w:t>
      </w:r>
    </w:p>
    <w:p>
      <w:pPr>
        <w:spacing w:after="0" w:line="36" w:lineRule="exact"/>
        <w:rPr>
          <w:sz w:val="20"/>
          <w:szCs w:val="20"/>
          <w:color w:val="auto"/>
        </w:rPr>
      </w:pPr>
    </w:p>
    <w:p>
      <w:pPr>
        <w:ind w:left="480" w:hanging="313"/>
        <w:spacing w:after="0"/>
        <w:tabs>
          <w:tab w:leader="none" w:pos="4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Ms. Winn was appointed Executive Vice President effective July 5, 2025. She previously served as Chief Executive Officer of SDG&amp;E.</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Business Overview and Strategy</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Sempra’s management team has set a clear mission of building America’s leading utility growth business. In pursuit of our mission, we have:</w:t>
      </w:r>
    </w:p>
    <w:p>
      <w:pPr>
        <w:spacing w:after="0" w:line="120" w:lineRule="exact"/>
        <w:rPr>
          <w:sz w:val="20"/>
          <w:szCs w:val="20"/>
          <w:color w:val="auto"/>
        </w:rPr>
      </w:pPr>
    </w:p>
    <w:p>
      <w:pPr>
        <w:ind w:left="800" w:hanging="312"/>
        <w:spacing w:after="0"/>
        <w:tabs>
          <w:tab w:leader="none" w:pos="800" w:val="left"/>
        </w:tabs>
        <w:numPr>
          <w:ilvl w:val="0"/>
          <w:numId w:val="56"/>
        </w:numPr>
        <w:rPr>
          <w:rFonts w:ascii="Times New Roman" w:cs="Times New Roman" w:eastAsia="Times New Roman" w:hAnsi="Times New Roman"/>
          <w:sz w:val="14"/>
          <w:szCs w:val="14"/>
          <w:color w:val="005CB9"/>
        </w:rPr>
      </w:pPr>
      <w:r>
        <w:rPr>
          <w:rFonts w:ascii="Arial" w:cs="Arial" w:eastAsia="Arial" w:hAnsi="Arial"/>
          <w:sz w:val="14"/>
          <w:szCs w:val="14"/>
          <w:color w:val="auto"/>
        </w:rPr>
        <w:t>Simplified our business model in an effort to improve execution, build scale and deliver improved financial results</w:t>
      </w:r>
    </w:p>
    <w:p>
      <w:pPr>
        <w:spacing w:after="0" w:line="119" w:lineRule="exact"/>
        <w:rPr>
          <w:rFonts w:ascii="Times New Roman" w:cs="Times New Roman" w:eastAsia="Times New Roman" w:hAnsi="Times New Roman"/>
          <w:sz w:val="14"/>
          <w:szCs w:val="14"/>
          <w:color w:val="005CB9"/>
        </w:rPr>
      </w:pPr>
    </w:p>
    <w:p>
      <w:pPr>
        <w:ind w:left="800" w:right="160" w:hanging="312"/>
        <w:spacing w:after="0" w:line="280" w:lineRule="auto"/>
        <w:tabs>
          <w:tab w:leader="none" w:pos="800" w:val="left"/>
        </w:tabs>
        <w:numPr>
          <w:ilvl w:val="0"/>
          <w:numId w:val="56"/>
        </w:numPr>
        <w:rPr>
          <w:rFonts w:ascii="Times New Roman" w:cs="Times New Roman" w:eastAsia="Times New Roman" w:hAnsi="Times New Roman"/>
          <w:sz w:val="14"/>
          <w:szCs w:val="14"/>
          <w:color w:val="005CB9"/>
        </w:rPr>
      </w:pPr>
      <w:r>
        <w:rPr>
          <w:rFonts w:ascii="Arial" w:cs="Arial" w:eastAsia="Arial" w:hAnsi="Arial"/>
          <w:sz w:val="14"/>
          <w:szCs w:val="14"/>
          <w:color w:val="auto"/>
        </w:rPr>
        <w:t>Continued to strategically invest in T+D infrastructure, which is the portion of the energy value chain where we believe there is an attractive risk/reward profile for our owners</w:t>
      </w:r>
    </w:p>
    <w:p>
      <w:pPr>
        <w:spacing w:after="0" w:line="52" w:lineRule="exact"/>
        <w:rPr>
          <w:sz w:val="20"/>
          <w:szCs w:val="20"/>
          <w:color w:val="auto"/>
        </w:rPr>
      </w:pPr>
    </w:p>
    <w:p>
      <w:pPr>
        <w:ind w:left="160" w:right="140"/>
        <w:spacing w:after="0" w:line="281" w:lineRule="auto"/>
        <w:rPr>
          <w:sz w:val="20"/>
          <w:szCs w:val="20"/>
          <w:color w:val="auto"/>
        </w:rPr>
      </w:pPr>
      <w:r>
        <w:rPr>
          <w:rFonts w:ascii="Arial" w:cs="Arial" w:eastAsia="Arial" w:hAnsi="Arial"/>
          <w:sz w:val="14"/>
          <w:szCs w:val="14"/>
          <w:color w:val="auto"/>
        </w:rPr>
        <w:t>This corporate strategy was successfully executed in 2025 pursuant to the five value creation initiatives described under “Proxy Summary” above, which were developed at the beginning of 2025 and accomplished during the year.</w:t>
      </w:r>
    </w:p>
    <w:p>
      <w:pPr>
        <w:spacing w:after="0" w:line="51" w:lineRule="exact"/>
        <w:rPr>
          <w:sz w:val="20"/>
          <w:szCs w:val="20"/>
          <w:color w:val="auto"/>
        </w:rPr>
      </w:pPr>
    </w:p>
    <w:p>
      <w:pPr>
        <w:ind w:left="160" w:right="180"/>
        <w:spacing w:after="0" w:line="281" w:lineRule="auto"/>
        <w:rPr>
          <w:sz w:val="20"/>
          <w:szCs w:val="20"/>
          <w:color w:val="auto"/>
        </w:rPr>
      </w:pPr>
      <w:r>
        <w:rPr>
          <w:rFonts w:ascii="Arial" w:cs="Arial" w:eastAsia="Arial" w:hAnsi="Arial"/>
          <w:sz w:val="14"/>
          <w:szCs w:val="14"/>
          <w:color w:val="auto"/>
        </w:rPr>
        <w:t>Our business is primarily focused on T+D investments in California and Texas, the two largest economies in the U.S., that we believe are capable of producing stable cash flows and earnings visibility, with the goals of delivering safe, reliable and affordable energy to customers and increasing shareholder value.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We strive to deliver solid growth across our businesses, which we believe should provide us with a broad spectrum of opportunities to deploy capital on attractive terms.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Further, we remain focused on delivering shareholder value by growing rate base and earnings and prioritizing the return of capital to shareholders.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Long-Term Growth</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Our 2025 achievements build on our strong long-term financial performance, which has contributed to our robust long-term growth and shareholder value creation.</w:t>
      </w:r>
    </w:p>
    <w:p>
      <w:pPr>
        <w:spacing w:after="0" w:line="120" w:lineRule="exact"/>
        <w:rPr>
          <w:sz w:val="20"/>
          <w:szCs w:val="20"/>
          <w:color w:val="auto"/>
        </w:rPr>
      </w:pPr>
    </w:p>
    <w:p>
      <w:pPr>
        <w:ind w:left="800" w:right="40" w:hanging="312"/>
        <w:spacing w:after="0" w:line="259" w:lineRule="auto"/>
        <w:tabs>
          <w:tab w:leader="none" w:pos="800" w:val="left"/>
        </w:tabs>
        <w:numPr>
          <w:ilvl w:val="0"/>
          <w:numId w:val="57"/>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 xml:space="preserve">Substantial Value Returned to Shareholders: </w:t>
      </w:r>
      <w:r>
        <w:rPr>
          <w:rFonts w:ascii="Arial" w:cs="Arial" w:eastAsia="Arial" w:hAnsi="Arial"/>
          <w:sz w:val="14"/>
          <w:szCs w:val="14"/>
          <w:color w:val="auto"/>
        </w:rPr>
        <w:t>We have a long track record of returning value to shareholders, including 16 consecutive years of dividend</w:t>
      </w:r>
      <w:r>
        <w:rPr>
          <w:rFonts w:ascii="Arial" w:cs="Arial" w:eastAsia="Arial" w:hAnsi="Arial"/>
          <w:sz w:val="14"/>
          <w:szCs w:val="14"/>
          <w:b w:val="1"/>
          <w:bCs w:val="1"/>
          <w:color w:val="auto"/>
        </w:rPr>
        <w:t xml:space="preserve"> </w:t>
      </w:r>
      <w:r>
        <w:rPr>
          <w:rFonts w:ascii="Arial" w:cs="Arial" w:eastAsia="Arial" w:hAnsi="Arial"/>
          <w:sz w:val="14"/>
          <w:szCs w:val="14"/>
          <w:color w:val="auto"/>
        </w:rPr>
        <w:t>increases. The CAGR of our common stock dividend exceeded the median CAGR for companies in the S&amp;P 500 Utilities Index over the past 10 and 20 years, and we have returned approximately $10 billion of capital to shareholders through dividends and share repurchases from 2020 to 2025.</w:t>
      </w:r>
    </w:p>
    <w:p>
      <w:pPr>
        <w:spacing w:after="0" w:line="79" w:lineRule="exact"/>
        <w:rPr>
          <w:rFonts w:ascii="Times New Roman" w:cs="Times New Roman" w:eastAsia="Times New Roman" w:hAnsi="Times New Roman"/>
          <w:sz w:val="14"/>
          <w:szCs w:val="14"/>
          <w:color w:val="005CB9"/>
        </w:rPr>
      </w:pPr>
    </w:p>
    <w:p>
      <w:pPr>
        <w:ind w:left="800" w:right="180" w:hanging="312"/>
        <w:spacing w:after="0" w:line="280" w:lineRule="auto"/>
        <w:tabs>
          <w:tab w:leader="none" w:pos="800" w:val="left"/>
        </w:tabs>
        <w:numPr>
          <w:ilvl w:val="0"/>
          <w:numId w:val="57"/>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 xml:space="preserve">More Than 2.5x Market Capitalization Increase: </w:t>
      </w:r>
      <w:r>
        <w:rPr>
          <w:rFonts w:ascii="Arial" w:cs="Arial" w:eastAsia="Arial" w:hAnsi="Arial"/>
          <w:sz w:val="14"/>
          <w:szCs w:val="14"/>
          <w:color w:val="auto"/>
        </w:rPr>
        <w:t>Over the past 10 years, our market capitalization increased by more than 150%, from $23 billion at the end of</w:t>
      </w:r>
      <w:r>
        <w:rPr>
          <w:rFonts w:ascii="Arial" w:cs="Arial" w:eastAsia="Arial" w:hAnsi="Arial"/>
          <w:sz w:val="14"/>
          <w:szCs w:val="14"/>
          <w:b w:val="1"/>
          <w:bCs w:val="1"/>
          <w:color w:val="auto"/>
        </w:rPr>
        <w:t xml:space="preserve"> </w:t>
      </w:r>
      <w:r>
        <w:rPr>
          <w:rFonts w:ascii="Arial" w:cs="Arial" w:eastAsia="Arial" w:hAnsi="Arial"/>
          <w:sz w:val="14"/>
          <w:szCs w:val="14"/>
          <w:color w:val="auto"/>
        </w:rPr>
        <w:t>2015 to $58 billion at the end of 2025.</w:t>
      </w:r>
    </w:p>
    <w:p>
      <w:pPr>
        <w:spacing w:after="0" w:line="64" w:lineRule="exact"/>
        <w:rPr>
          <w:rFonts w:ascii="Times New Roman" w:cs="Times New Roman" w:eastAsia="Times New Roman" w:hAnsi="Times New Roman"/>
          <w:sz w:val="14"/>
          <w:szCs w:val="14"/>
          <w:color w:val="005CB9"/>
        </w:rPr>
      </w:pPr>
    </w:p>
    <w:p>
      <w:pPr>
        <w:ind w:left="800" w:right="40" w:hanging="312"/>
        <w:spacing w:after="0" w:line="259" w:lineRule="auto"/>
        <w:tabs>
          <w:tab w:leader="none" w:pos="800" w:val="left"/>
        </w:tabs>
        <w:numPr>
          <w:ilvl w:val="0"/>
          <w:numId w:val="57"/>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 xml:space="preserve">Meaningful TSR Growth: </w:t>
      </w:r>
      <w:r>
        <w:rPr>
          <w:rFonts w:ascii="Arial" w:cs="Arial" w:eastAsia="Arial" w:hAnsi="Arial"/>
          <w:sz w:val="14"/>
          <w:szCs w:val="14"/>
          <w:color w:val="auto"/>
        </w:rPr>
        <w:t>Our total shareholder return of 63% for the five-year period ended December 31, 2025 outpaced the 59% return of the S&amp;P 500 Utilities</w:t>
      </w:r>
      <w:r>
        <w:rPr>
          <w:rFonts w:ascii="Arial" w:cs="Arial" w:eastAsia="Arial" w:hAnsi="Arial"/>
          <w:sz w:val="14"/>
          <w:szCs w:val="14"/>
          <w:b w:val="1"/>
          <w:bCs w:val="1"/>
          <w:color w:val="auto"/>
        </w:rPr>
        <w:t xml:space="preserve"> </w:t>
      </w:r>
      <w:r>
        <w:rPr>
          <w:rFonts w:ascii="Arial" w:cs="Arial" w:eastAsia="Arial" w:hAnsi="Arial"/>
          <w:sz w:val="14"/>
          <w:szCs w:val="14"/>
          <w:color w:val="auto"/>
        </w:rPr>
        <w:t>Index over the same period. This contributes to our compelling long-term growth story with 25-year total shareholder return of 1,558%, significantly higher than both the S&amp;P 500 Index and the S&amp;P 500 Utilities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209550</wp:posOffset>
            </wp:positionV>
            <wp:extent cx="739140" cy="153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41</w:t>
      </w:r>
    </w:p>
    <w:p>
      <w:pPr>
        <w:sectPr>
          <w:pgSz w:w="11900" w:h="16838" w:orient="portrait"/>
          <w:cols w:equalWidth="0" w:num="1">
            <w:col w:w="11080"/>
          </w:cols>
          <w:pgMar w:left="320" w:top="478"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97790</wp:posOffset>
            </wp:positionV>
            <wp:extent cx="4161155" cy="54603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61155"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Figure 1</w:t>
      </w:r>
    </w:p>
    <w:p>
      <w:pPr>
        <w:spacing w:after="0" w:line="36" w:lineRule="exact"/>
        <w:rPr>
          <w:sz w:val="20"/>
          <w:szCs w:val="20"/>
          <w:color w:val="auto"/>
        </w:rPr>
      </w:pPr>
    </w:p>
    <w:p>
      <w:pPr>
        <w:ind w:left="480" w:hanging="313"/>
        <w:spacing w:after="0"/>
        <w:tabs>
          <w:tab w:leader="none" w:pos="4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As of or for the years ended December 31, 2015, 2020 and 2025, as the context requires. Dollars in billions, except annualized dividends per share.</w:t>
      </w:r>
    </w:p>
    <w:p>
      <w:pPr>
        <w:spacing w:after="0" w:line="35" w:lineRule="exact"/>
        <w:rPr>
          <w:rFonts w:ascii="Arial" w:cs="Arial" w:eastAsia="Arial" w:hAnsi="Arial"/>
          <w:sz w:val="12"/>
          <w:szCs w:val="12"/>
          <w:color w:val="auto"/>
        </w:rPr>
      </w:pPr>
    </w:p>
    <w:p>
      <w:pPr>
        <w:ind w:left="480" w:hanging="313"/>
        <w:spacing w:after="0" w:line="267" w:lineRule="auto"/>
        <w:tabs>
          <w:tab w:leader="none" w:pos="4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Adjusted Earnings is a non-GAAP financial measure. Adjusted Earnings for the years ended December 31, 2015 and 2020 have been updated from their original presentation to exclude additional items to conform to the presentation for the year ended December 31, 2025. For a reconciliation of GAAP Earnings to Adjusted Earnings, see Appendix A to this proxy statement.</w:t>
      </w:r>
    </w:p>
    <w:p>
      <w:pPr>
        <w:ind w:left="480" w:hanging="313"/>
        <w:spacing w:after="0"/>
        <w:tabs>
          <w:tab w:leader="none" w:pos="4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Reflects total shareholder return from December 29, 2000 through December 31, 2025, based on data from Bloomberg and assuming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42               </w:t>
      </w:r>
      <w:r>
        <w:rPr>
          <w:sz w:val="1"/>
          <w:szCs w:val="1"/>
          <w:color w:val="auto"/>
        </w:rPr>
        <w:drawing>
          <wp:inline distT="0" distB="0" distL="0" distR="0">
            <wp:extent cx="739140" cy="153035"/>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0840"/>
          </w:cols>
          <w:pgMar w:left="320" w:top="478" w:right="7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Executive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Strategic Performance Highlights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Key strategic and operational accomplishments in 2025 and 2026 to date are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158750</wp:posOffset>
            </wp:positionV>
            <wp:extent cx="6929755" cy="1866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FFFFFF"/>
        </w:rPr>
        <w:t>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2373630</wp:posOffset>
            </wp:positionH>
            <wp:positionV relativeFrom="paragraph">
              <wp:posOffset>-95885</wp:posOffset>
            </wp:positionV>
            <wp:extent cx="4662170" cy="144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662170" cy="144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left="160"/>
        <w:spacing w:after="0" w:line="241" w:lineRule="auto"/>
        <w:rPr>
          <w:sz w:val="20"/>
          <w:szCs w:val="20"/>
          <w:color w:val="auto"/>
        </w:rPr>
      </w:pPr>
      <w:r>
        <w:rPr>
          <w:rFonts w:ascii="Arial" w:cs="Arial" w:eastAsia="Arial" w:hAnsi="Arial"/>
          <w:sz w:val="14"/>
          <w:szCs w:val="14"/>
          <w:color w:val="auto"/>
        </w:rPr>
        <w:t>Sempra increased its five-year capital plan in 2026 by 16% to $65 billion with approximately 95% focused on regulated utilities</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2267585" cy="1866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267585" cy="18669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-734695</wp:posOffset>
            </wp:positionV>
            <wp:extent cx="331470" cy="3225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1470" cy="3225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4"/>
          <w:szCs w:val="14"/>
          <w:b w:val="1"/>
          <w:bCs w:val="1"/>
          <w:color w:val="FFFFFF"/>
        </w:rPr>
        <w:t>Sempra Texas</w:t>
      </w:r>
      <w:r>
        <w:rPr>
          <w:rFonts w:ascii="Arial" w:cs="Arial" w:eastAsia="Arial" w:hAnsi="Arial"/>
          <w:sz w:val="21"/>
          <w:szCs w:val="21"/>
          <w:b w:val="1"/>
          <w:bCs w:val="1"/>
          <w:color w:val="FFFFFF"/>
          <w:vertAlign w:val="superscript"/>
        </w:rPr>
        <w:t>(4)</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847"/>
        </w:trPr>
        <w:tc>
          <w:tcPr>
            <w:tcW w:w="3580" w:type="dxa"/>
            <w:vAlign w:val="bottom"/>
            <w:tcBorders>
              <w:left w:val="single" w:sz="8" w:color="7F7F7F"/>
              <w:right w:val="single" w:sz="8" w:color="7F7F7F"/>
            </w:tcBorders>
          </w:tcPr>
          <w:p>
            <w:pPr>
              <w:ind w:left="100"/>
              <w:spacing w:after="0"/>
              <w:rPr>
                <w:sz w:val="20"/>
                <w:szCs w:val="20"/>
                <w:color w:val="auto"/>
              </w:rPr>
            </w:pPr>
            <w:r>
              <w:rPr>
                <w:rFonts w:ascii="Arial" w:cs="Arial" w:eastAsia="Arial" w:hAnsi="Arial"/>
                <w:sz w:val="14"/>
                <w:szCs w:val="14"/>
                <w:color w:val="auto"/>
              </w:rPr>
              <w:t>Sempra returned approximately $10 billion of total</w:t>
            </w:r>
          </w:p>
        </w:tc>
        <w:tc>
          <w:tcPr>
            <w:tcW w:w="3760" w:type="dxa"/>
            <w:vAlign w:val="bottom"/>
          </w:tcPr>
          <w:p>
            <w:pPr>
              <w:ind w:left="300"/>
              <w:spacing w:after="0"/>
              <w:rPr>
                <w:sz w:val="20"/>
                <w:szCs w:val="20"/>
                <w:color w:val="auto"/>
              </w:rPr>
            </w:pPr>
            <w:r>
              <w:rPr>
                <w:rFonts w:ascii="Arial" w:cs="Arial" w:eastAsia="Arial" w:hAnsi="Arial"/>
                <w:sz w:val="14"/>
                <w:szCs w:val="14"/>
                <w:color w:val="auto"/>
              </w:rPr>
              <w:t>Sempra announced a definitive sales agreement to</w:t>
            </w:r>
          </w:p>
        </w:tc>
      </w:tr>
      <w:tr>
        <w:trPr>
          <w:trHeight w:val="157"/>
        </w:trPr>
        <w:tc>
          <w:tcPr>
            <w:tcW w:w="3580" w:type="dxa"/>
            <w:vAlign w:val="bottom"/>
            <w:tcBorders>
              <w:left w:val="single" w:sz="8" w:color="7F7F7F"/>
              <w:right w:val="single" w:sz="8" w:color="7F7F7F"/>
            </w:tcBorders>
          </w:tcPr>
          <w:p>
            <w:pPr>
              <w:ind w:left="100"/>
              <w:spacing w:after="0" w:line="157" w:lineRule="exact"/>
              <w:rPr>
                <w:sz w:val="20"/>
                <w:szCs w:val="20"/>
                <w:color w:val="auto"/>
              </w:rPr>
            </w:pPr>
            <w:r>
              <w:rPr>
                <w:rFonts w:ascii="Arial" w:cs="Arial" w:eastAsia="Arial" w:hAnsi="Arial"/>
                <w:sz w:val="14"/>
                <w:szCs w:val="14"/>
                <w:color w:val="auto"/>
              </w:rPr>
              <w:t>capital to shareholders through dividends and share</w:t>
            </w:r>
          </w:p>
        </w:tc>
        <w:tc>
          <w:tcPr>
            <w:tcW w:w="3760" w:type="dxa"/>
            <w:vAlign w:val="bottom"/>
          </w:tcPr>
          <w:p>
            <w:pPr>
              <w:ind w:left="300"/>
              <w:spacing w:after="0" w:line="157" w:lineRule="exact"/>
              <w:rPr>
                <w:sz w:val="20"/>
                <w:szCs w:val="20"/>
                <w:color w:val="auto"/>
              </w:rPr>
            </w:pPr>
            <w:r>
              <w:rPr>
                <w:rFonts w:ascii="Arial" w:cs="Arial" w:eastAsia="Arial" w:hAnsi="Arial"/>
                <w:sz w:val="14"/>
                <w:szCs w:val="14"/>
                <w:color w:val="auto"/>
              </w:rPr>
              <w:t>sell a 45% equity interest in SI Partners for $9.99</w:t>
            </w:r>
          </w:p>
        </w:tc>
      </w:tr>
      <w:tr>
        <w:trPr>
          <w:trHeight w:val="187"/>
        </w:trPr>
        <w:tc>
          <w:tcPr>
            <w:tcW w:w="3580" w:type="dxa"/>
            <w:vAlign w:val="bottom"/>
            <w:tcBorders>
              <w:left w:val="single" w:sz="8" w:color="7F7F7F"/>
              <w:right w:val="single" w:sz="8" w:color="7F7F7F"/>
            </w:tcBorders>
          </w:tcPr>
          <w:p>
            <w:pPr>
              <w:ind w:left="100"/>
              <w:spacing w:after="0" w:line="187" w:lineRule="exact"/>
              <w:rPr>
                <w:sz w:val="20"/>
                <w:szCs w:val="20"/>
                <w:color w:val="auto"/>
              </w:rPr>
            </w:pPr>
            <w:r>
              <w:rPr>
                <w:rFonts w:ascii="Arial" w:cs="Arial" w:eastAsia="Arial" w:hAnsi="Arial"/>
                <w:sz w:val="14"/>
                <w:szCs w:val="14"/>
                <w:color w:val="auto"/>
              </w:rPr>
              <w:t>repurchases from 2020 through 2025</w:t>
            </w:r>
            <w:r>
              <w:rPr>
                <w:rFonts w:ascii="Arial" w:cs="Arial" w:eastAsia="Arial" w:hAnsi="Arial"/>
                <w:sz w:val="21"/>
                <w:szCs w:val="21"/>
                <w:color w:val="auto"/>
                <w:vertAlign w:val="superscript"/>
              </w:rPr>
              <w:t>(2)</w:t>
            </w:r>
          </w:p>
        </w:tc>
        <w:tc>
          <w:tcPr>
            <w:tcW w:w="3760" w:type="dxa"/>
            <w:vAlign w:val="bottom"/>
          </w:tcPr>
          <w:p>
            <w:pPr>
              <w:ind w:left="300"/>
              <w:spacing w:after="0" w:line="187" w:lineRule="exact"/>
              <w:rPr>
                <w:sz w:val="20"/>
                <w:szCs w:val="20"/>
                <w:color w:val="auto"/>
              </w:rPr>
            </w:pPr>
            <w:r>
              <w:rPr>
                <w:rFonts w:ascii="Arial" w:cs="Arial" w:eastAsia="Arial" w:hAnsi="Arial"/>
                <w:sz w:val="14"/>
                <w:szCs w:val="14"/>
                <w:color w:val="auto"/>
              </w:rPr>
              <w:t>billion</w:t>
            </w:r>
            <w:r>
              <w:rPr>
                <w:rFonts w:ascii="Arial" w:cs="Arial" w:eastAsia="Arial" w:hAnsi="Arial"/>
                <w:sz w:val="21"/>
                <w:szCs w:val="21"/>
                <w:color w:val="auto"/>
                <w:vertAlign w:val="superscript"/>
              </w:rPr>
              <w:t>(3)</w:t>
            </w:r>
          </w:p>
        </w:tc>
      </w:tr>
      <w:tr>
        <w:trPr>
          <w:trHeight w:val="253"/>
        </w:trPr>
        <w:tc>
          <w:tcPr>
            <w:tcW w:w="3580" w:type="dxa"/>
            <w:vAlign w:val="bottom"/>
            <w:tcBorders>
              <w:left w:val="single" w:sz="8" w:color="005CB9"/>
              <w:right w:val="single" w:sz="8" w:color="005CB9"/>
            </w:tcBorders>
            <w:shd w:val="clear" w:color="auto" w:fill="005CB9"/>
          </w:tcPr>
          <w:p>
            <w:pPr>
              <w:ind w:left="1220"/>
              <w:spacing w:after="0"/>
              <w:rPr>
                <w:sz w:val="20"/>
                <w:szCs w:val="20"/>
                <w:color w:val="auto"/>
              </w:rPr>
            </w:pPr>
            <w:r>
              <w:rPr>
                <w:rFonts w:ascii="Arial" w:cs="Arial" w:eastAsia="Arial" w:hAnsi="Arial"/>
                <w:sz w:val="14"/>
                <w:szCs w:val="14"/>
                <w:b w:val="1"/>
                <w:bCs w:val="1"/>
                <w:color w:val="FFFFFF"/>
              </w:rPr>
              <w:t>Sempra California</w:t>
            </w:r>
          </w:p>
        </w:tc>
        <w:tc>
          <w:tcPr>
            <w:tcW w:w="3760" w:type="dxa"/>
            <w:vAlign w:val="bottom"/>
            <w:shd w:val="clear" w:color="auto" w:fill="005CB9"/>
          </w:tcPr>
          <w:p>
            <w:pPr>
              <w:ind w:left="1280"/>
              <w:spacing w:after="0"/>
              <w:rPr>
                <w:sz w:val="20"/>
                <w:szCs w:val="20"/>
                <w:color w:val="auto"/>
              </w:rPr>
            </w:pPr>
            <w:r>
              <w:rPr>
                <w:rFonts w:ascii="Arial" w:cs="Arial" w:eastAsia="Arial" w:hAnsi="Arial"/>
                <w:sz w:val="14"/>
                <w:szCs w:val="14"/>
                <w:b w:val="1"/>
                <w:bCs w:val="1"/>
                <w:color w:val="FFFFFF"/>
              </w:rPr>
              <w:t>Sempra Infrastructure</w:t>
            </w:r>
          </w:p>
        </w:tc>
      </w:tr>
      <w:tr>
        <w:trPr>
          <w:trHeight w:val="42"/>
        </w:trPr>
        <w:tc>
          <w:tcPr>
            <w:tcW w:w="3580" w:type="dxa"/>
            <w:vAlign w:val="bottom"/>
            <w:tcBorders>
              <w:left w:val="single" w:sz="8" w:color="005CB9"/>
              <w:right w:val="single" w:sz="8" w:color="005CB9"/>
            </w:tcBorders>
            <w:shd w:val="clear" w:color="auto" w:fill="005CB9"/>
          </w:tcPr>
          <w:p>
            <w:pPr>
              <w:spacing w:after="0"/>
              <w:rPr>
                <w:sz w:val="3"/>
                <w:szCs w:val="3"/>
                <w:color w:val="auto"/>
              </w:rPr>
            </w:pPr>
          </w:p>
        </w:tc>
        <w:tc>
          <w:tcPr>
            <w:tcW w:w="3760" w:type="dxa"/>
            <w:vAlign w:val="bottom"/>
            <w:shd w:val="clear" w:color="auto" w:fill="005CB9"/>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992505</wp:posOffset>
            </wp:positionH>
            <wp:positionV relativeFrom="paragraph">
              <wp:posOffset>-899795</wp:posOffset>
            </wp:positionV>
            <wp:extent cx="339725" cy="3479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9725" cy="347980"/>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-890905</wp:posOffset>
            </wp:positionV>
            <wp:extent cx="347980" cy="3397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7980" cy="33972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0</wp:posOffset>
            </wp:positionV>
            <wp:extent cx="6929755" cy="37706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29755" cy="377063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3580" w:space="160"/>
            <w:col w:w="7340"/>
          </w:cols>
          <w:pgMar w:left="320" w:top="47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right="140"/>
        <w:spacing w:after="0" w:line="281" w:lineRule="auto"/>
        <w:rPr>
          <w:sz w:val="20"/>
          <w:szCs w:val="20"/>
          <w:color w:val="auto"/>
        </w:rPr>
      </w:pPr>
      <w:r>
        <w:rPr>
          <w:rFonts w:ascii="Arial" w:cs="Arial" w:eastAsia="Arial" w:hAnsi="Arial"/>
          <w:sz w:val="14"/>
          <w:szCs w:val="14"/>
          <w:color w:val="auto"/>
        </w:rPr>
        <w:t>Oncor built, rebuilt or upgraded approximately 3,100 miles of T+D lines in 2025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60" w:right="200"/>
        <w:spacing w:after="0" w:line="263" w:lineRule="auto"/>
        <w:rPr>
          <w:sz w:val="20"/>
          <w:szCs w:val="20"/>
          <w:color w:val="auto"/>
        </w:rPr>
      </w:pPr>
      <w:r>
        <w:rPr>
          <w:rFonts w:ascii="Arial" w:cs="Arial" w:eastAsia="Arial" w:hAnsi="Arial"/>
          <w:sz w:val="14"/>
          <w:szCs w:val="14"/>
          <w:color w:val="auto"/>
        </w:rPr>
        <w:t>Oncor filed a settlement agreement in its base rate review and expects to receive a final order from the PUCT in the first half of 2026</w:t>
      </w:r>
      <w:r>
        <w:rPr>
          <w:rFonts w:ascii="Arial" w:cs="Arial" w:eastAsia="Arial" w:hAnsi="Arial"/>
          <w:sz w:val="21"/>
          <w:szCs w:val="21"/>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0"/>
        <w:spacing w:after="0" w:line="260" w:lineRule="auto"/>
        <w:rPr>
          <w:sz w:val="20"/>
          <w:szCs w:val="20"/>
          <w:color w:val="auto"/>
        </w:rPr>
      </w:pPr>
      <w:r>
        <w:rPr>
          <w:rFonts w:ascii="Arial" w:cs="Arial" w:eastAsia="Arial" w:hAnsi="Arial"/>
          <w:sz w:val="14"/>
          <w:szCs w:val="14"/>
          <w:color w:val="auto"/>
        </w:rPr>
        <w:t>Oncor deployed $6.8 billion of capital in 2025 centered on providing safer, more reliable and cleaner electric T+D service to customers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60" w:right="20"/>
        <w:spacing w:after="0" w:line="253" w:lineRule="auto"/>
        <w:rPr>
          <w:sz w:val="20"/>
          <w:szCs w:val="20"/>
          <w:color w:val="auto"/>
        </w:rPr>
      </w:pPr>
      <w:r>
        <w:rPr>
          <w:rFonts w:ascii="Arial" w:cs="Arial" w:eastAsia="Arial" w:hAnsi="Arial"/>
          <w:sz w:val="14"/>
          <w:szCs w:val="14"/>
          <w:color w:val="auto"/>
        </w:rPr>
        <w:t>Oncor set company annual records for new and active generation and retail transmission interconnection requests in 2025, with 16% and 24% increases over 2024,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SDG&amp;E was awarded approximately $600 million of projects in the final California Independent System Operator 2024 – 2025 Transmission Plan, supporting local load growth and evolving grid conditions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California Senate Bill 254 passed, bolstering electric investor-owned utilities’ financial safeguards from catastrophic wildfire-related claims by enhancing existing programs and adding $18 billion of claims liquidity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20"/>
        <w:spacing w:after="0" w:line="227" w:lineRule="auto"/>
        <w:rPr>
          <w:sz w:val="20"/>
          <w:szCs w:val="20"/>
          <w:color w:val="auto"/>
        </w:rPr>
      </w:pPr>
      <w:r>
        <w:rPr>
          <w:rFonts w:ascii="Arial" w:cs="Arial" w:eastAsia="Arial" w:hAnsi="Arial"/>
          <w:sz w:val="14"/>
          <w:szCs w:val="14"/>
          <w:color w:val="auto"/>
        </w:rPr>
        <w:t>SDG&amp;E strengthened grid resilience with 100-megawatt battery storage expansion and was named “Best in the West” for electric reliability for the 20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consecutive year</w:t>
      </w:r>
      <w:r>
        <w:rPr>
          <w:rFonts w:ascii="Arial" w:cs="Arial" w:eastAsia="Arial" w:hAnsi="Arial"/>
          <w:sz w:val="21"/>
          <w:szCs w:val="21"/>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63" w:lineRule="auto"/>
        <w:rPr>
          <w:sz w:val="20"/>
          <w:szCs w:val="20"/>
          <w:color w:val="auto"/>
        </w:rPr>
      </w:pPr>
      <w:r>
        <w:rPr>
          <w:rFonts w:ascii="Arial" w:cs="Arial" w:eastAsia="Arial" w:hAnsi="Arial"/>
          <w:sz w:val="14"/>
          <w:szCs w:val="14"/>
          <w:color w:val="auto"/>
        </w:rPr>
        <w:t>SDG&amp;E has hardened 100% of its transmission system located in Tier 3 high fire-threat district in its territory</w:t>
      </w:r>
      <w:r>
        <w:rPr>
          <w:rFonts w:ascii="Arial" w:cs="Arial" w:eastAsia="Arial" w:hAnsi="Arial"/>
          <w:sz w:val="21"/>
          <w:szCs w:val="21"/>
          <w:color w:val="auto"/>
          <w:vertAlign w:val="superscript"/>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 w:right="80"/>
        <w:spacing w:after="0" w:line="247" w:lineRule="auto"/>
        <w:rPr>
          <w:sz w:val="20"/>
          <w:szCs w:val="20"/>
          <w:color w:val="auto"/>
        </w:rPr>
      </w:pPr>
      <w:r>
        <w:rPr>
          <w:rFonts w:ascii="Arial" w:cs="Arial" w:eastAsia="Arial" w:hAnsi="Arial"/>
          <w:sz w:val="14"/>
          <w:szCs w:val="14"/>
          <w:color w:val="auto"/>
        </w:rPr>
        <w:t>Sempra Infrastructure made progress on construction and development of LNG projects</w:t>
      </w:r>
      <w:r>
        <w:rPr>
          <w:rFonts w:ascii="Arial" w:cs="Arial" w:eastAsia="Arial" w:hAnsi="Arial"/>
          <w:sz w:val="21"/>
          <w:szCs w:val="21"/>
          <w:color w:val="auto"/>
          <w:vertAlign w:val="superscript"/>
        </w:rPr>
        <w:t>(8)</w:t>
      </w:r>
    </w:p>
    <w:p>
      <w:pPr>
        <w:spacing w:after="0" w:line="1" w:lineRule="exact"/>
        <w:rPr>
          <w:sz w:val="20"/>
          <w:szCs w:val="20"/>
          <w:color w:val="auto"/>
        </w:rPr>
      </w:pPr>
    </w:p>
    <w:p>
      <w:pPr>
        <w:jc w:val="both"/>
        <w:ind w:left="223" w:right="120" w:hanging="223"/>
        <w:spacing w:after="0" w:line="249" w:lineRule="auto"/>
        <w:tabs>
          <w:tab w:leader="none" w:pos="223" w:val="left"/>
        </w:tabs>
        <w:numPr>
          <w:ilvl w:val="0"/>
          <w:numId w:val="59"/>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 xml:space="preserve">ECA LNG Phase 1: </w:t>
      </w:r>
      <w:r>
        <w:rPr>
          <w:rFonts w:ascii="Arial" w:cs="Arial" w:eastAsia="Arial" w:hAnsi="Arial"/>
          <w:sz w:val="14"/>
          <w:szCs w:val="14"/>
          <w:color w:val="auto"/>
        </w:rPr>
        <w:t>Under construction, reached</w:t>
      </w:r>
      <w:r>
        <w:rPr>
          <w:rFonts w:ascii="Arial" w:cs="Arial" w:eastAsia="Arial" w:hAnsi="Arial"/>
          <w:sz w:val="14"/>
          <w:szCs w:val="14"/>
          <w:b w:val="1"/>
          <w:bCs w:val="1"/>
          <w:color w:val="auto"/>
        </w:rPr>
        <w:t xml:space="preserve"> </w:t>
      </w:r>
      <w:r>
        <w:rPr>
          <w:rFonts w:ascii="Arial" w:cs="Arial" w:eastAsia="Arial" w:hAnsi="Arial"/>
          <w:sz w:val="14"/>
          <w:szCs w:val="14"/>
          <w:color w:val="auto"/>
        </w:rPr>
        <w:t>mechanical completion and expected commercial operations date (COD) in summer 2026</w:t>
      </w:r>
    </w:p>
    <w:p>
      <w:pPr>
        <w:spacing w:after="0" w:line="45" w:lineRule="exact"/>
        <w:rPr>
          <w:rFonts w:ascii="Times New Roman" w:cs="Times New Roman" w:eastAsia="Times New Roman" w:hAnsi="Times New Roman"/>
          <w:sz w:val="14"/>
          <w:szCs w:val="14"/>
          <w:color w:val="005CB9"/>
        </w:rPr>
      </w:pPr>
    </w:p>
    <w:p>
      <w:pPr>
        <w:jc w:val="both"/>
        <w:ind w:left="223" w:right="180" w:hanging="223"/>
        <w:spacing w:after="0" w:line="259" w:lineRule="auto"/>
        <w:tabs>
          <w:tab w:leader="none" w:pos="223" w:val="left"/>
        </w:tabs>
        <w:numPr>
          <w:ilvl w:val="0"/>
          <w:numId w:val="59"/>
        </w:numPr>
        <w:rPr>
          <w:rFonts w:ascii="Times New Roman" w:cs="Times New Roman" w:eastAsia="Times New Roman" w:hAnsi="Times New Roman"/>
          <w:sz w:val="14"/>
          <w:szCs w:val="14"/>
          <w:color w:val="005CB9"/>
        </w:rPr>
      </w:pPr>
      <w:r>
        <w:rPr>
          <w:rFonts w:ascii="Arial" w:cs="Arial" w:eastAsia="Arial" w:hAnsi="Arial"/>
          <w:sz w:val="14"/>
          <w:szCs w:val="14"/>
          <w:b w:val="1"/>
          <w:bCs w:val="1"/>
          <w:color w:val="auto"/>
        </w:rPr>
        <w:t xml:space="preserve">Port Arthur LNG Phase 1: </w:t>
      </w:r>
      <w:r>
        <w:rPr>
          <w:rFonts w:ascii="Arial" w:cs="Arial" w:eastAsia="Arial" w:hAnsi="Arial"/>
          <w:sz w:val="14"/>
          <w:szCs w:val="14"/>
          <w:color w:val="auto"/>
        </w:rPr>
        <w:t>Under construction,</w:t>
      </w:r>
      <w:r>
        <w:rPr>
          <w:rFonts w:ascii="Arial" w:cs="Arial" w:eastAsia="Arial" w:hAnsi="Arial"/>
          <w:sz w:val="14"/>
          <w:szCs w:val="14"/>
          <w:b w:val="1"/>
          <w:bCs w:val="1"/>
          <w:color w:val="auto"/>
        </w:rPr>
        <w:t xml:space="preserve"> </w:t>
      </w:r>
      <w:r>
        <w:rPr>
          <w:rFonts w:ascii="Arial" w:cs="Arial" w:eastAsia="Arial" w:hAnsi="Arial"/>
          <w:sz w:val="14"/>
          <w:szCs w:val="14"/>
          <w:color w:val="auto"/>
        </w:rPr>
        <w:t>Train 1 and Train 2 expected to reach COD at or near the end of 2027 and in 2028,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 w:right="40"/>
        <w:spacing w:after="0" w:line="256" w:lineRule="auto"/>
        <w:rPr>
          <w:sz w:val="20"/>
          <w:szCs w:val="20"/>
          <w:color w:val="auto"/>
        </w:rPr>
      </w:pPr>
      <w:r>
        <w:rPr>
          <w:rFonts w:ascii="Arial" w:cs="Arial" w:eastAsia="Arial" w:hAnsi="Arial"/>
          <w:sz w:val="14"/>
          <w:szCs w:val="14"/>
          <w:color w:val="auto"/>
        </w:rPr>
        <w:t>Reached a positive final investment decision on Port Arthur LNG Phase 2, now under construction, Train 3 and Train 4 expected to reach COD in 2030 and 2031, respectively</w:t>
      </w:r>
      <w:r>
        <w:rPr>
          <w:rFonts w:ascii="Arial" w:cs="Arial" w:eastAsia="Arial" w:hAnsi="Arial"/>
          <w:sz w:val="21"/>
          <w:szCs w:val="21"/>
          <w:color w:val="auto"/>
          <w:vertAlign w:val="superscript"/>
        </w:rPr>
        <w:t>(8)</w:t>
      </w:r>
    </w:p>
    <w:p>
      <w:pPr>
        <w:spacing w:after="0" w:line="200" w:lineRule="exact"/>
        <w:rPr>
          <w:sz w:val="20"/>
          <w:szCs w:val="20"/>
          <w:color w:val="auto"/>
        </w:rPr>
      </w:pPr>
    </w:p>
    <w:p>
      <w:pPr>
        <w:spacing w:after="0" w:line="391" w:lineRule="exact"/>
        <w:rPr>
          <w:sz w:val="20"/>
          <w:szCs w:val="20"/>
          <w:color w:val="auto"/>
        </w:rPr>
      </w:pPr>
    </w:p>
    <w:p>
      <w:pPr>
        <w:ind w:left="3" w:right="180"/>
        <w:spacing w:after="0" w:line="263" w:lineRule="auto"/>
        <w:rPr>
          <w:sz w:val="20"/>
          <w:szCs w:val="20"/>
          <w:color w:val="auto"/>
        </w:rPr>
      </w:pPr>
      <w:r>
        <w:rPr>
          <w:rFonts w:ascii="Arial" w:cs="Arial" w:eastAsia="Arial" w:hAnsi="Arial"/>
          <w:sz w:val="14"/>
          <w:szCs w:val="14"/>
          <w:color w:val="auto"/>
        </w:rPr>
        <w:t>Announced definitive agreement to sell Ecogas, a natural gas distribution utility in Northern Mexico, for approximately $500 million U.S.-equivalent</w:t>
      </w:r>
      <w:r>
        <w:rPr>
          <w:rFonts w:ascii="Arial" w:cs="Arial" w:eastAsia="Arial" w:hAnsi="Arial"/>
          <w:sz w:val="21"/>
          <w:szCs w:val="21"/>
          <w:color w:val="auto"/>
          <w:vertAlign w:val="superscript"/>
        </w:rPr>
        <w:t>(9)</w:t>
      </w:r>
    </w:p>
    <w:p>
      <w:pPr>
        <w:spacing w:after="0" w:line="1005" w:lineRule="exact"/>
        <w:rPr>
          <w:sz w:val="20"/>
          <w:szCs w:val="20"/>
          <w:color w:val="auto"/>
        </w:rPr>
      </w:pPr>
    </w:p>
    <w:p>
      <w:pPr>
        <w:sectPr>
          <w:pgSz w:w="11900" w:h="16838" w:orient="portrait"/>
          <w:cols w:equalWidth="0" w:num="3">
            <w:col w:w="3600" w:space="240"/>
            <w:col w:w="3360" w:space="417"/>
            <w:col w:w="3463"/>
          </w:cols>
          <w:pgMar w:left="320" w:top="478" w:right="499" w:bottom="1440" w:gutter="0" w:footer="0" w:header="0"/>
          <w:type w:val="continuous"/>
        </w:sectPr>
      </w:pPr>
    </w:p>
    <w:p>
      <w:pPr>
        <w:ind w:left="480" w:right="20" w:hanging="313"/>
        <w:spacing w:after="0" w:line="241" w:lineRule="auto"/>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Refers to the projected increase from our 2025-2029 capital plan to our 2026-2030 capital plan, which (i) includes Sempra’s proportionate ownership interest in expected capital expenditures for property, plant and equipment at unconsolidated entities while excluding Sempra’s expected capital contributions to those unconsolidated entities and (ii) excludes noncontrolling interest’s proportionate ownership interest in expected capital expenditures for property, plant and equipment at Sempra and at unconsolidated entities. Projected capital investments are based on a number of assumptions, the failure of which to be accurate could materially impact actual capital expenditures and cause them to be materially different than those presented in the capital plan. Sempra’s 2026-2030 capital plan assumes Sempra’s 70% ownership of SI Partners through March 31, 2026, and 25% ownership thereafter. Sempra’s capital plan is considered by management to be an operating measure.</w:t>
      </w:r>
    </w:p>
    <w:p>
      <w:pPr>
        <w:spacing w:after="0" w:line="11" w:lineRule="exact"/>
        <w:rPr>
          <w:rFonts w:ascii="Arial" w:cs="Arial" w:eastAsia="Arial" w:hAnsi="Arial"/>
          <w:sz w:val="12"/>
          <w:szCs w:val="12"/>
          <w:color w:val="auto"/>
        </w:rPr>
      </w:pPr>
    </w:p>
    <w:p>
      <w:pPr>
        <w:ind w:left="480" w:right="300" w:hanging="313"/>
        <w:spacing w:after="0" w:line="255" w:lineRule="auto"/>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Based on $1.25 billion of share repurchases and $8.8 billion of common stock dividends declared from 2020 through 2025. These repurchases and dividends were partially offset by our $1.3 billion equity offering in November 2023 and our $268 million and $147 million equity offerings under our $3.0 billion at-the-market offering program in November-December 2024 and February-March 2025.</w:t>
      </w:r>
    </w:p>
    <w:p>
      <w:pPr>
        <w:spacing w:after="0" w:line="1" w:lineRule="exact"/>
        <w:rPr>
          <w:rFonts w:ascii="Arial" w:cs="Arial" w:eastAsia="Arial" w:hAnsi="Arial"/>
          <w:sz w:val="12"/>
          <w:szCs w:val="12"/>
          <w:color w:val="auto"/>
        </w:rPr>
      </w:pPr>
    </w:p>
    <w:p>
      <w:pPr>
        <w:ind w:left="480" w:right="320" w:hanging="313"/>
        <w:spacing w:after="0" w:line="261" w:lineRule="auto"/>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Gross proceeds are before fee reimbursement to the purchasers of $338 million, development credit of $340 million and other closing and post-closing adjustments. Of the total gross proceeds, $5.3 billion are to be received post-closing under notes and other instruments expected to mature in December 2027 and December 2033. The sale is subject to various closing conditions.</w:t>
      </w:r>
    </w:p>
    <w:p>
      <w:pPr>
        <w:spacing w:after="0" w:line="141" w:lineRule="exact"/>
        <w:rPr>
          <w:rFonts w:ascii="Arial" w:cs="Arial" w:eastAsia="Arial" w:hAnsi="Arial"/>
          <w:sz w:val="12"/>
          <w:szCs w:val="12"/>
          <w:color w:val="auto"/>
        </w:rPr>
      </w:pPr>
    </w:p>
    <w:p>
      <w:pPr>
        <w:ind w:left="480" w:hanging="313"/>
        <w:spacing w:after="0"/>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All financial and operating metrics represent 100% of Oncor’s 2025 year-end results.</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Oncor’s base rate review is subject to approval by the PUCT. The final approved order and order timing may differ materially and adversely from any requests made therein.</w:t>
      </w:r>
    </w:p>
    <w:p>
      <w:pPr>
        <w:spacing w:after="0" w:line="26" w:lineRule="exact"/>
        <w:rPr>
          <w:rFonts w:ascii="Arial" w:cs="Arial" w:eastAsia="Arial" w:hAnsi="Arial"/>
          <w:sz w:val="12"/>
          <w:szCs w:val="12"/>
          <w:color w:val="auto"/>
        </w:rPr>
      </w:pPr>
    </w:p>
    <w:p>
      <w:pPr>
        <w:ind w:left="480" w:hanging="313"/>
        <w:spacing w:after="0" w:line="225" w:lineRule="auto"/>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In December 2025, SDG&amp;E was awarded the ReliabilityOne</w:t>
      </w:r>
      <w:r>
        <w:rPr>
          <w:rFonts w:ascii="Arial" w:cs="Arial" w:eastAsia="Arial" w:hAnsi="Arial"/>
          <w:sz w:val="18"/>
          <w:szCs w:val="18"/>
          <w:color w:val="auto"/>
          <w:vertAlign w:val="superscript"/>
        </w:rPr>
        <w:t>®</w:t>
      </w:r>
      <w:r>
        <w:rPr>
          <w:rFonts w:ascii="Arial" w:cs="Arial" w:eastAsia="Arial" w:hAnsi="Arial"/>
          <w:sz w:val="12"/>
          <w:szCs w:val="12"/>
          <w:color w:val="auto"/>
        </w:rPr>
        <w:t xml:space="preserve"> Award for Outstanding Reliability Performance in the Western Region by PA Consulting.</w:t>
      </w:r>
    </w:p>
    <w:p>
      <w:pPr>
        <w:ind w:left="480" w:hanging="313"/>
        <w:spacing w:after="0"/>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high fire-threat district consists of areas the CPUC has identified as having an extreme risk from utility-related wildfires. Tier 3 is the highest risk tier within these areas.</w:t>
      </w:r>
    </w:p>
    <w:p>
      <w:pPr>
        <w:spacing w:after="0" w:line="23" w:lineRule="exact"/>
        <w:rPr>
          <w:rFonts w:ascii="Arial" w:cs="Arial" w:eastAsia="Arial" w:hAnsi="Arial"/>
          <w:sz w:val="12"/>
          <w:szCs w:val="12"/>
          <w:color w:val="auto"/>
        </w:rPr>
      </w:pPr>
    </w:p>
    <w:p>
      <w:pPr>
        <w:ind w:left="480" w:hanging="313"/>
        <w:spacing w:after="0"/>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ability to complete major construction and development projects is subject to a number of risks and uncertainties.</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sale price is 9.0 billion Mexican pesos (approximately $500 million U.S.-equivalent as of December 31, 2025), subject to adjustments. The sale is subject to various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238125</wp:posOffset>
            </wp:positionV>
            <wp:extent cx="739140" cy="144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43</w:t>
      </w:r>
    </w:p>
    <w:p>
      <w:pPr>
        <w:sectPr>
          <w:pgSz w:w="11900" w:h="16838" w:orient="portrait"/>
          <w:cols w:equalWidth="0" w:num="1">
            <w:col w:w="11080"/>
          </w:cols>
          <w:pgMar w:left="320" w:top="478" w:right="4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Shareholder Engagement</w:t>
      </w:r>
    </w:p>
    <w:p>
      <w:pPr>
        <w:spacing w:after="0" w:line="125" w:lineRule="exact"/>
        <w:rPr>
          <w:sz w:val="20"/>
          <w:szCs w:val="20"/>
          <w:color w:val="auto"/>
        </w:rPr>
      </w:pPr>
    </w:p>
    <w:p>
      <w:pPr>
        <w:ind w:left="160"/>
        <w:spacing w:after="0" w:line="246" w:lineRule="auto"/>
        <w:rPr>
          <w:sz w:val="20"/>
          <w:szCs w:val="20"/>
          <w:color w:val="auto"/>
        </w:rPr>
      </w:pPr>
      <w:r>
        <w:rPr>
          <w:rFonts w:ascii="Arial" w:cs="Arial" w:eastAsia="Arial" w:hAnsi="Arial"/>
          <w:sz w:val="14"/>
          <w:szCs w:val="14"/>
          <w:color w:val="auto"/>
        </w:rPr>
        <w:t>Incorporating shareholder feedback into the decision-making process is a critical component of our executive compensation program and our overall corporate governance philosophy. Our board and management have a long-standing practice of engaging our shareholders and listening to their perspectives on key performance, governance, compensation and other matters. With respect to compensation matters, we engage extensively with shareholders to gather feedback on our current executive compensation program and potential changes to the program the Compensation and Talent Development Committee may be considering. Our Lead Independent Director, who also served on the Compensation and Talent Development Committee from 2019 through 2023, participates in these efforts by attending many of the meetings with our shareholders, which strengthens the communication of shareholder feedback directly to the board. The Compensation and Talent Development Committee and Corporate Governance Committee receive updates on our shareholder engagement program.</w:t>
      </w:r>
    </w:p>
    <w:p>
      <w:pPr>
        <w:spacing w:after="0" w:line="75" w:lineRule="exact"/>
        <w:rPr>
          <w:sz w:val="20"/>
          <w:szCs w:val="20"/>
          <w:color w:val="auto"/>
        </w:rPr>
      </w:pPr>
    </w:p>
    <w:p>
      <w:pPr>
        <w:ind w:left="160" w:right="80"/>
        <w:spacing w:after="0" w:line="247" w:lineRule="auto"/>
        <w:rPr>
          <w:sz w:val="20"/>
          <w:szCs w:val="20"/>
          <w:color w:val="auto"/>
        </w:rPr>
      </w:pPr>
      <w:r>
        <w:rPr>
          <w:rFonts w:ascii="Arial" w:cs="Arial" w:eastAsia="Arial" w:hAnsi="Arial"/>
          <w:sz w:val="14"/>
          <w:szCs w:val="14"/>
          <w:color w:val="auto"/>
        </w:rPr>
        <w:t>During the shareholder engagement cycle beginning in spring 2025 and continuing through January 2026, which was in addition to our regular investor relations outreach, we reached out to holders of approximately 61% of our total outstanding shares of common stock and held meetings with holders of approximately 50% of our total outstanding shares of common stock, representing a significant portion of our institutional share ownership. Our Lead Independent Director led meetings with holders of approximately 27% of our total outstanding shares of common stock. During these meetings, we reviewed our executive compensation program and a variety of other topics as discussed under “Corporate Governance—Board of Directors—Robust Engagement Program” above, gathered shareholder feedback on our program and gained insight into shareholder views and priorities with respect to these matters.</w:t>
      </w:r>
    </w:p>
    <w:p>
      <w:pPr>
        <w:spacing w:after="0" w:line="76" w:lineRule="exact"/>
        <w:rPr>
          <w:sz w:val="20"/>
          <w:szCs w:val="20"/>
          <w:color w:val="auto"/>
        </w:rPr>
      </w:pPr>
    </w:p>
    <w:p>
      <w:pPr>
        <w:ind w:left="160" w:right="40"/>
        <w:spacing w:after="0" w:line="249" w:lineRule="auto"/>
        <w:rPr>
          <w:sz w:val="20"/>
          <w:szCs w:val="20"/>
          <w:color w:val="auto"/>
        </w:rPr>
      </w:pPr>
      <w:r>
        <w:rPr>
          <w:rFonts w:ascii="Arial" w:cs="Arial" w:eastAsia="Arial" w:hAnsi="Arial"/>
          <w:sz w:val="14"/>
          <w:szCs w:val="14"/>
          <w:color w:val="auto"/>
        </w:rPr>
        <w:t>The Compensation and Talent Development Committee used insights gained during our shareholder engagement meetings to guide the introduction of performance measures related to sustainable operations and responsible business practices into the performance-based annual bonus plan in 2021, as well as the subsequent enhancements to those measures in later years. During our 2025-2026 shareholder engagement cycle, shareholder feedback on our executive compensation program was generally supportive of our executive compensation program design, including our focus on pay-for-performance alignment. Key themes of these discussions and updates to our executive compensation program that were based, in part, on shareholder feedback are discussed below:</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980" w:type="dxa"/>
            <w:vAlign w:val="bottom"/>
            <w:tcBorders>
              <w:bottom w:val="single" w:sz="8" w:color="005CB9"/>
              <w:right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Key Themes</w:t>
            </w:r>
          </w:p>
        </w:tc>
        <w:tc>
          <w:tcPr>
            <w:tcW w:w="7940" w:type="dxa"/>
            <w:vAlign w:val="bottom"/>
            <w:tcBorders>
              <w:bottom w:val="single" w:sz="8" w:color="005CB9"/>
            </w:tcBorders>
            <w:gridSpan w:val="2"/>
            <w:shd w:val="clear" w:color="auto" w:fill="005CB9"/>
          </w:tcPr>
          <w:p>
            <w:pPr>
              <w:ind w:left="3260"/>
              <w:spacing w:after="0"/>
              <w:rPr>
                <w:sz w:val="20"/>
                <w:szCs w:val="20"/>
                <w:color w:val="auto"/>
              </w:rPr>
            </w:pPr>
            <w:r>
              <w:rPr>
                <w:rFonts w:ascii="Arial" w:cs="Arial" w:eastAsia="Arial" w:hAnsi="Arial"/>
                <w:sz w:val="14"/>
                <w:szCs w:val="14"/>
                <w:b w:val="1"/>
                <w:bCs w:val="1"/>
                <w:color w:val="FFFFFF"/>
              </w:rPr>
              <w:t>Shareholder Feedback</w:t>
            </w:r>
          </w:p>
        </w:tc>
      </w:tr>
      <w:tr>
        <w:trPr>
          <w:trHeight w:val="218"/>
        </w:trPr>
        <w:tc>
          <w:tcPr>
            <w:tcW w:w="2980" w:type="dxa"/>
            <w:vAlign w:val="bottom"/>
            <w:tcBorders>
              <w:right w:val="single" w:sz="8" w:color="7F7F7F"/>
            </w:tcBorders>
          </w:tcPr>
          <w:p>
            <w:pPr>
              <w:ind w:left="80"/>
              <w:spacing w:after="0"/>
              <w:rPr>
                <w:sz w:val="20"/>
                <w:szCs w:val="20"/>
                <w:color w:val="auto"/>
              </w:rPr>
            </w:pPr>
            <w:r>
              <w:rPr>
                <w:rFonts w:ascii="Arial" w:cs="Arial" w:eastAsia="Arial" w:hAnsi="Arial"/>
                <w:sz w:val="14"/>
                <w:szCs w:val="14"/>
                <w:color w:val="auto"/>
              </w:rPr>
              <w:t>Annual Bonus Plan</w:t>
            </w:r>
          </w:p>
        </w:tc>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Feedback on the company’s financial performance and the 80% weighting for the ABP Earnings measure was generally</w:t>
            </w:r>
          </w:p>
        </w:tc>
      </w:tr>
      <w:tr>
        <w:trPr>
          <w:trHeight w:val="189"/>
        </w:trPr>
        <w:tc>
          <w:tcPr>
            <w:tcW w:w="2980" w:type="dxa"/>
            <w:vAlign w:val="bottom"/>
            <w:tcBorders>
              <w:right w:val="single" w:sz="8" w:color="7F7F7F"/>
            </w:tcBorders>
          </w:tcPr>
          <w:p>
            <w:pPr>
              <w:spacing w:after="0"/>
              <w:rPr>
                <w:sz w:val="16"/>
                <w:szCs w:val="16"/>
                <w:color w:val="auto"/>
              </w:rPr>
            </w:pPr>
          </w:p>
        </w:tc>
        <w:tc>
          <w:tcPr>
            <w:tcW w:w="7940" w:type="dxa"/>
            <w:vAlign w:val="bottom"/>
            <w:gridSpan w:val="2"/>
          </w:tcPr>
          <w:p>
            <w:pPr>
              <w:ind w:left="340"/>
              <w:spacing w:after="0"/>
              <w:rPr>
                <w:sz w:val="20"/>
                <w:szCs w:val="20"/>
                <w:color w:val="auto"/>
              </w:rPr>
            </w:pPr>
            <w:r>
              <w:rPr>
                <w:rFonts w:ascii="Arial" w:cs="Arial" w:eastAsia="Arial" w:hAnsi="Arial"/>
                <w:sz w:val="14"/>
                <w:szCs w:val="14"/>
                <w:color w:val="auto"/>
              </w:rPr>
              <w:t>positive and shareholders generally supported our annual bonus plan performance measures and their weightings.</w:t>
            </w:r>
          </w:p>
        </w:tc>
      </w:tr>
      <w:tr>
        <w:trPr>
          <w:trHeight w:val="172"/>
        </w:trPr>
        <w:tc>
          <w:tcPr>
            <w:tcW w:w="2980" w:type="dxa"/>
            <w:vAlign w:val="bottom"/>
            <w:tcBorders>
              <w:right w:val="single" w:sz="8" w:color="7F7F7F"/>
            </w:tcBorders>
          </w:tcPr>
          <w:p>
            <w:pPr>
              <w:spacing w:after="0"/>
              <w:rPr>
                <w:sz w:val="14"/>
                <w:szCs w:val="14"/>
                <w:color w:val="auto"/>
              </w:rPr>
            </w:pPr>
          </w:p>
        </w:tc>
        <w:tc>
          <w:tcPr>
            <w:tcW w:w="79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Performance measures tied to responsible business practices that focus on safe and sustainable operations were a key</w:t>
            </w:r>
          </w:p>
        </w:tc>
      </w:tr>
      <w:tr>
        <w:trPr>
          <w:trHeight w:val="160"/>
        </w:trPr>
        <w:tc>
          <w:tcPr>
            <w:tcW w:w="2980" w:type="dxa"/>
            <w:vAlign w:val="bottom"/>
            <w:tcBorders>
              <w:right w:val="single" w:sz="8" w:color="7F7F7F"/>
            </w:tcBorders>
          </w:tcPr>
          <w:p>
            <w:pPr>
              <w:spacing w:after="0"/>
              <w:rPr>
                <w:sz w:val="13"/>
                <w:szCs w:val="13"/>
                <w:color w:val="auto"/>
              </w:rPr>
            </w:pPr>
          </w:p>
        </w:tc>
        <w:tc>
          <w:tcPr>
            <w:tcW w:w="7940" w:type="dxa"/>
            <w:vAlign w:val="bottom"/>
            <w:gridSpan w:val="2"/>
          </w:tcPr>
          <w:p>
            <w:pPr>
              <w:ind w:left="340"/>
              <w:spacing w:after="0"/>
              <w:rPr>
                <w:sz w:val="20"/>
                <w:szCs w:val="20"/>
                <w:color w:val="auto"/>
              </w:rPr>
            </w:pPr>
            <w:r>
              <w:rPr>
                <w:rFonts w:ascii="Arial" w:cs="Arial" w:eastAsia="Arial" w:hAnsi="Arial"/>
                <w:sz w:val="14"/>
                <w:szCs w:val="14"/>
                <w:color w:val="auto"/>
              </w:rPr>
              <w:t>discussion topic. Shareholders generally supported including these measures in our annual bonus plan, but encouraged</w:t>
            </w:r>
          </w:p>
        </w:tc>
      </w:tr>
      <w:tr>
        <w:trPr>
          <w:trHeight w:val="160"/>
        </w:trPr>
        <w:tc>
          <w:tcPr>
            <w:tcW w:w="2980" w:type="dxa"/>
            <w:vAlign w:val="bottom"/>
            <w:tcBorders>
              <w:right w:val="single" w:sz="8" w:color="7F7F7F"/>
            </w:tcBorders>
          </w:tcPr>
          <w:p>
            <w:pPr>
              <w:spacing w:after="0"/>
              <w:rPr>
                <w:sz w:val="13"/>
                <w:szCs w:val="13"/>
                <w:color w:val="auto"/>
              </w:rPr>
            </w:pPr>
          </w:p>
        </w:tc>
        <w:tc>
          <w:tcPr>
            <w:tcW w:w="7940" w:type="dxa"/>
            <w:vAlign w:val="bottom"/>
            <w:gridSpan w:val="2"/>
          </w:tcPr>
          <w:p>
            <w:pPr>
              <w:ind w:left="340"/>
              <w:spacing w:after="0"/>
              <w:rPr>
                <w:sz w:val="20"/>
                <w:szCs w:val="20"/>
                <w:color w:val="auto"/>
              </w:rPr>
            </w:pPr>
            <w:r>
              <w:rPr>
                <w:rFonts w:ascii="Arial" w:cs="Arial" w:eastAsia="Arial" w:hAnsi="Arial"/>
                <w:sz w:val="14"/>
                <w:szCs w:val="14"/>
                <w:color w:val="auto"/>
              </w:rPr>
              <w:t>simplifying the number of performance measures and focusing on quantitatively measurable goals. Minor design</w:t>
            </w:r>
          </w:p>
        </w:tc>
      </w:tr>
      <w:tr>
        <w:trPr>
          <w:trHeight w:val="189"/>
        </w:trPr>
        <w:tc>
          <w:tcPr>
            <w:tcW w:w="2980" w:type="dxa"/>
            <w:vAlign w:val="bottom"/>
            <w:tcBorders>
              <w:right w:val="single" w:sz="8" w:color="7F7F7F"/>
            </w:tcBorders>
          </w:tcPr>
          <w:p>
            <w:pPr>
              <w:spacing w:after="0"/>
              <w:rPr>
                <w:sz w:val="16"/>
                <w:szCs w:val="16"/>
                <w:color w:val="auto"/>
              </w:rPr>
            </w:pPr>
          </w:p>
        </w:tc>
        <w:tc>
          <w:tcPr>
            <w:tcW w:w="7940" w:type="dxa"/>
            <w:vAlign w:val="bottom"/>
            <w:gridSpan w:val="2"/>
          </w:tcPr>
          <w:p>
            <w:pPr>
              <w:ind w:left="340"/>
              <w:spacing w:after="0"/>
              <w:rPr>
                <w:sz w:val="20"/>
                <w:szCs w:val="20"/>
                <w:color w:val="auto"/>
              </w:rPr>
            </w:pPr>
            <w:r>
              <w:rPr>
                <w:rFonts w:ascii="Arial" w:cs="Arial" w:eastAsia="Arial" w:hAnsi="Arial"/>
                <w:sz w:val="14"/>
                <w:szCs w:val="14"/>
                <w:color w:val="auto"/>
              </w:rPr>
              <w:t>changes based, in part, on shareholder feedback are discussed below.</w:t>
            </w:r>
          </w:p>
        </w:tc>
      </w:tr>
      <w:tr>
        <w:trPr>
          <w:trHeight w:val="48"/>
        </w:trPr>
        <w:tc>
          <w:tcPr>
            <w:tcW w:w="2980" w:type="dxa"/>
            <w:vAlign w:val="bottom"/>
            <w:tcBorders>
              <w:bottom w:val="single" w:sz="8" w:color="7F7F7F"/>
              <w:right w:val="single" w:sz="8" w:color="7F7F7F"/>
            </w:tcBorders>
          </w:tcPr>
          <w:p>
            <w:pPr>
              <w:spacing w:after="0"/>
              <w:rPr>
                <w:sz w:val="4"/>
                <w:szCs w:val="4"/>
                <w:color w:val="auto"/>
              </w:rPr>
            </w:pPr>
          </w:p>
        </w:tc>
        <w:tc>
          <w:tcPr>
            <w:tcW w:w="3940" w:type="dxa"/>
            <w:vAlign w:val="bottom"/>
            <w:tcBorders>
              <w:bottom w:val="single" w:sz="8" w:color="7F7F7F"/>
            </w:tcBorders>
          </w:tcPr>
          <w:p>
            <w:pPr>
              <w:spacing w:after="0"/>
              <w:rPr>
                <w:sz w:val="4"/>
                <w:szCs w:val="4"/>
                <w:color w:val="auto"/>
              </w:rPr>
            </w:pPr>
          </w:p>
        </w:tc>
        <w:tc>
          <w:tcPr>
            <w:tcW w:w="4000" w:type="dxa"/>
            <w:vAlign w:val="bottom"/>
            <w:tcBorders>
              <w:bottom w:val="single" w:sz="8" w:color="7F7F7F"/>
            </w:tcBorders>
          </w:tcPr>
          <w:p>
            <w:pPr>
              <w:spacing w:after="0"/>
              <w:rPr>
                <w:sz w:val="4"/>
                <w:szCs w:val="4"/>
                <w:color w:val="auto"/>
              </w:rPr>
            </w:pPr>
          </w:p>
        </w:tc>
      </w:tr>
      <w:tr>
        <w:trPr>
          <w:trHeight w:val="198"/>
        </w:trPr>
        <w:tc>
          <w:tcPr>
            <w:tcW w:w="2980" w:type="dxa"/>
            <w:vAlign w:val="bottom"/>
            <w:tcBorders>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Long-Term Incentive Plan</w:t>
            </w:r>
          </w:p>
        </w:tc>
        <w:tc>
          <w:tcPr>
            <w:tcW w:w="7940" w:type="dxa"/>
            <w:vAlign w:val="bottom"/>
            <w:gridSpan w:val="2"/>
            <w:shd w:val="clear" w:color="auto" w:fill="F2F2F2"/>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Shareholders generally supported our annual LTIP award design and our emphasis on performance-based equity to</w:t>
            </w:r>
          </w:p>
        </w:tc>
      </w:tr>
      <w:tr>
        <w:trPr>
          <w:trHeight w:val="189"/>
        </w:trPr>
        <w:tc>
          <w:tcPr>
            <w:tcW w:w="2980" w:type="dxa"/>
            <w:vAlign w:val="bottom"/>
            <w:tcBorders>
              <w:right w:val="single" w:sz="8" w:color="7F7F7F"/>
            </w:tcBorders>
            <w:shd w:val="clear" w:color="auto" w:fill="F2F2F2"/>
          </w:tcPr>
          <w:p>
            <w:pPr>
              <w:spacing w:after="0"/>
              <w:rPr>
                <w:sz w:val="16"/>
                <w:szCs w:val="16"/>
                <w:color w:val="auto"/>
              </w:rPr>
            </w:pPr>
          </w:p>
        </w:tc>
        <w:tc>
          <w:tcPr>
            <w:tcW w:w="7940" w:type="dxa"/>
            <w:vAlign w:val="bottom"/>
            <w:gridSpan w:val="2"/>
            <w:shd w:val="clear" w:color="auto" w:fill="F2F2F2"/>
          </w:tcPr>
          <w:p>
            <w:pPr>
              <w:ind w:left="340"/>
              <w:spacing w:after="0"/>
              <w:rPr>
                <w:sz w:val="20"/>
                <w:szCs w:val="20"/>
                <w:color w:val="auto"/>
              </w:rPr>
            </w:pPr>
            <w:r>
              <w:rPr>
                <w:rFonts w:ascii="Arial" w:cs="Arial" w:eastAsia="Arial" w:hAnsi="Arial"/>
                <w:sz w:val="14"/>
                <w:szCs w:val="14"/>
                <w:color w:val="auto"/>
              </w:rPr>
              <w:t>drive long-term alignment with company performance and shareholder interests.</w:t>
            </w:r>
          </w:p>
        </w:tc>
      </w:tr>
      <w:tr>
        <w:trPr>
          <w:trHeight w:val="253"/>
        </w:trPr>
        <w:tc>
          <w:tcPr>
            <w:tcW w:w="2980" w:type="dxa"/>
            <w:vAlign w:val="bottom"/>
            <w:tcBorders>
              <w:bottom w:val="single" w:sz="8" w:color="F2F2F2"/>
              <w:right w:val="single" w:sz="8" w:color="7F7F7F"/>
            </w:tcBorders>
            <w:shd w:val="clear" w:color="auto" w:fill="F2F2F2"/>
          </w:tcPr>
          <w:p>
            <w:pPr>
              <w:spacing w:after="0"/>
              <w:rPr>
                <w:sz w:val="21"/>
                <w:szCs w:val="21"/>
                <w:color w:val="auto"/>
              </w:rPr>
            </w:pPr>
          </w:p>
        </w:tc>
        <w:tc>
          <w:tcPr>
            <w:tcW w:w="7940" w:type="dxa"/>
            <w:vAlign w:val="bottom"/>
            <w:tcBorders>
              <w:bottom w:val="single" w:sz="8" w:color="F2F2F2"/>
            </w:tcBorders>
            <w:gridSpan w:val="2"/>
            <w:shd w:val="clear" w:color="auto" w:fill="F2F2F2"/>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Shareholders generally supported our use of relative performance measures.</w:t>
            </w:r>
          </w:p>
        </w:tc>
      </w:tr>
      <w:tr>
        <w:trPr>
          <w:trHeight w:val="198"/>
        </w:trPr>
        <w:tc>
          <w:tcPr>
            <w:tcW w:w="298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Compensation Peer Group</w:t>
            </w:r>
          </w:p>
        </w:tc>
        <w:tc>
          <w:tcPr>
            <w:tcW w:w="7940" w:type="dxa"/>
            <w:vAlign w:val="bottom"/>
            <w:tcBorders>
              <w:top w:val="single" w:sz="8" w:color="7F7F7F"/>
            </w:tcBorders>
            <w:gridSpan w:val="2"/>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Shareholders were generally supportive of including general industry and utilities and energy industry companies in our</w:t>
            </w:r>
          </w:p>
        </w:tc>
      </w:tr>
      <w:tr>
        <w:trPr>
          <w:trHeight w:val="160"/>
        </w:trPr>
        <w:tc>
          <w:tcPr>
            <w:tcW w:w="2980" w:type="dxa"/>
            <w:vAlign w:val="bottom"/>
            <w:tcBorders>
              <w:right w:val="single" w:sz="8" w:color="7F7F7F"/>
            </w:tcBorders>
          </w:tcPr>
          <w:p>
            <w:pPr>
              <w:spacing w:after="0"/>
              <w:rPr>
                <w:sz w:val="13"/>
                <w:szCs w:val="13"/>
                <w:color w:val="auto"/>
              </w:rPr>
            </w:pPr>
          </w:p>
        </w:tc>
        <w:tc>
          <w:tcPr>
            <w:tcW w:w="7940" w:type="dxa"/>
            <w:vAlign w:val="bottom"/>
            <w:gridSpan w:val="2"/>
          </w:tcPr>
          <w:p>
            <w:pPr>
              <w:ind w:left="340"/>
              <w:spacing w:after="0"/>
              <w:rPr>
                <w:sz w:val="20"/>
                <w:szCs w:val="20"/>
                <w:color w:val="auto"/>
              </w:rPr>
            </w:pPr>
            <w:r>
              <w:rPr>
                <w:rFonts w:ascii="Arial" w:cs="Arial" w:eastAsia="Arial" w:hAnsi="Arial"/>
                <w:sz w:val="14"/>
                <w:szCs w:val="14"/>
                <w:color w:val="auto"/>
              </w:rPr>
              <w:t>compensation peer group, reflecting the labor market from which the company recruits executive talent for corporate</w:t>
            </w:r>
          </w:p>
        </w:tc>
      </w:tr>
      <w:tr>
        <w:trPr>
          <w:trHeight w:val="237"/>
        </w:trPr>
        <w:tc>
          <w:tcPr>
            <w:tcW w:w="2980" w:type="dxa"/>
            <w:vAlign w:val="bottom"/>
            <w:tcBorders>
              <w:right w:val="single" w:sz="8" w:color="7F7F7F"/>
            </w:tcBorders>
          </w:tcPr>
          <w:p>
            <w:pPr>
              <w:spacing w:after="0"/>
              <w:rPr>
                <w:sz w:val="20"/>
                <w:szCs w:val="20"/>
                <w:color w:val="auto"/>
              </w:rPr>
            </w:pPr>
          </w:p>
        </w:tc>
        <w:tc>
          <w:tcPr>
            <w:tcW w:w="3940" w:type="dxa"/>
            <w:vAlign w:val="bottom"/>
          </w:tcPr>
          <w:p>
            <w:pPr>
              <w:ind w:left="340"/>
              <w:spacing w:after="0"/>
              <w:rPr>
                <w:sz w:val="20"/>
                <w:szCs w:val="20"/>
                <w:color w:val="auto"/>
              </w:rPr>
            </w:pPr>
            <w:r>
              <w:rPr>
                <w:rFonts w:ascii="Arial" w:cs="Arial" w:eastAsia="Arial" w:hAnsi="Arial"/>
                <w:sz w:val="14"/>
                <w:szCs w:val="14"/>
                <w:color w:val="auto"/>
              </w:rPr>
              <w:t>roles.</w:t>
            </w:r>
          </w:p>
        </w:tc>
        <w:tc>
          <w:tcPr>
            <w:tcW w:w="4000" w:type="dxa"/>
            <w:vAlign w:val="bottom"/>
          </w:tcPr>
          <w:p>
            <w:pPr>
              <w:spacing w:after="0"/>
              <w:rPr>
                <w:sz w:val="20"/>
                <w:szCs w:val="20"/>
                <w:color w:val="auto"/>
              </w:rPr>
            </w:pPr>
          </w:p>
        </w:tc>
      </w:tr>
      <w:tr>
        <w:trPr>
          <w:trHeight w:val="274"/>
        </w:trPr>
        <w:tc>
          <w:tcPr>
            <w:tcW w:w="2980" w:type="dxa"/>
            <w:vAlign w:val="bottom"/>
            <w:tcBorders>
              <w:bottom w:val="single" w:sz="8" w:color="005CB9"/>
              <w:right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Compensation Program Update</w:t>
            </w:r>
          </w:p>
        </w:tc>
        <w:tc>
          <w:tcPr>
            <w:tcW w:w="3940" w:type="dxa"/>
            <w:vAlign w:val="bottom"/>
            <w:tcBorders>
              <w:bottom w:val="single" w:sz="8" w:color="005CB9"/>
              <w:right w:val="single" w:sz="8" w:color="005CB9"/>
            </w:tcBorders>
            <w:shd w:val="clear" w:color="auto" w:fill="005CB9"/>
          </w:tcPr>
          <w:p>
            <w:pPr>
              <w:ind w:left="1840"/>
              <w:spacing w:after="0"/>
              <w:rPr>
                <w:sz w:val="20"/>
                <w:szCs w:val="20"/>
                <w:color w:val="auto"/>
              </w:rPr>
            </w:pPr>
            <w:r>
              <w:rPr>
                <w:rFonts w:ascii="Arial" w:cs="Arial" w:eastAsia="Arial" w:hAnsi="Arial"/>
                <w:sz w:val="14"/>
                <w:szCs w:val="14"/>
                <w:b w:val="1"/>
                <w:bCs w:val="1"/>
                <w:color w:val="FFFFFF"/>
              </w:rPr>
              <w:t>Prior</w:t>
            </w:r>
          </w:p>
        </w:tc>
        <w:tc>
          <w:tcPr>
            <w:tcW w:w="4000" w:type="dxa"/>
            <w:vAlign w:val="bottom"/>
            <w:tcBorders>
              <w:bottom w:val="single" w:sz="8" w:color="005CB9"/>
            </w:tcBorders>
            <w:shd w:val="clear" w:color="auto" w:fill="005CB9"/>
          </w:tcPr>
          <w:p>
            <w:pPr>
              <w:ind w:left="1580"/>
              <w:spacing w:after="0"/>
              <w:rPr>
                <w:sz w:val="20"/>
                <w:szCs w:val="20"/>
                <w:color w:val="auto"/>
              </w:rPr>
            </w:pPr>
            <w:r>
              <w:rPr>
                <w:rFonts w:ascii="Arial" w:cs="Arial" w:eastAsia="Arial" w:hAnsi="Arial"/>
                <w:sz w:val="14"/>
                <w:szCs w:val="14"/>
                <w:b w:val="1"/>
                <w:bCs w:val="1"/>
                <w:color w:val="FFFFFF"/>
              </w:rPr>
              <w:t>2025 Updates</w:t>
            </w:r>
          </w:p>
        </w:tc>
      </w:tr>
      <w:tr>
        <w:trPr>
          <w:trHeight w:val="218"/>
        </w:trPr>
        <w:tc>
          <w:tcPr>
            <w:tcW w:w="2980" w:type="dxa"/>
            <w:vAlign w:val="bottom"/>
            <w:tcBorders>
              <w:right w:val="single" w:sz="8" w:color="7F7F7F"/>
            </w:tcBorders>
          </w:tcPr>
          <w:p>
            <w:pPr>
              <w:ind w:left="80"/>
              <w:spacing w:after="0"/>
              <w:rPr>
                <w:sz w:val="20"/>
                <w:szCs w:val="20"/>
                <w:color w:val="auto"/>
              </w:rPr>
            </w:pPr>
            <w:r>
              <w:rPr>
                <w:rFonts w:ascii="Arial" w:cs="Arial" w:eastAsia="Arial" w:hAnsi="Arial"/>
                <w:sz w:val="14"/>
                <w:szCs w:val="14"/>
                <w:color w:val="auto"/>
              </w:rPr>
              <w:t>Annual Bonus Plan</w:t>
            </w:r>
          </w:p>
        </w:tc>
        <w:tc>
          <w:tcPr>
            <w:tcW w:w="3940" w:type="dxa"/>
            <w:vAlign w:val="bottom"/>
            <w:tcBorders>
              <w:right w:val="single" w:sz="8" w:color="7F7F7F"/>
            </w:tcBorders>
          </w:tcPr>
          <w:p>
            <w:pPr>
              <w:ind w:left="100"/>
              <w:spacing w:after="0"/>
              <w:rPr>
                <w:sz w:val="20"/>
                <w:szCs w:val="20"/>
                <w:color w:val="auto"/>
              </w:rPr>
            </w:pPr>
            <w:r>
              <w:rPr>
                <w:rFonts w:ascii="Arial" w:cs="Arial" w:eastAsia="Arial" w:hAnsi="Arial"/>
                <w:sz w:val="14"/>
                <w:szCs w:val="14"/>
                <w:color w:val="auto"/>
              </w:rPr>
              <w:t>The financial measure (ABP Earnings) was weighted at</w:t>
            </w:r>
          </w:p>
        </w:tc>
        <w:tc>
          <w:tcPr>
            <w:tcW w:w="4000" w:type="dxa"/>
            <w:vAlign w:val="bottom"/>
          </w:tcPr>
          <w:p>
            <w:pPr>
              <w:ind w:left="80"/>
              <w:spacing w:after="0"/>
              <w:rPr>
                <w:sz w:val="20"/>
                <w:szCs w:val="20"/>
                <w:color w:val="auto"/>
              </w:rPr>
            </w:pPr>
            <w:r>
              <w:rPr>
                <w:rFonts w:ascii="Arial" w:cs="Arial" w:eastAsia="Arial" w:hAnsi="Arial"/>
                <w:sz w:val="14"/>
                <w:szCs w:val="14"/>
                <w:color w:val="auto"/>
              </w:rPr>
              <w:t>Maintained the weighting of 80% for the financial measure</w:t>
            </w:r>
          </w:p>
        </w:tc>
      </w:tr>
      <w:tr>
        <w:trPr>
          <w:trHeight w:val="160"/>
        </w:trPr>
        <w:tc>
          <w:tcPr>
            <w:tcW w:w="2980" w:type="dxa"/>
            <w:vAlign w:val="bottom"/>
            <w:tcBorders>
              <w:right w:val="single" w:sz="8" w:color="7F7F7F"/>
            </w:tcBorders>
          </w:tcPr>
          <w:p>
            <w:pPr>
              <w:spacing w:after="0"/>
              <w:rPr>
                <w:sz w:val="13"/>
                <w:szCs w:val="13"/>
                <w:color w:val="auto"/>
              </w:rPr>
            </w:pPr>
          </w:p>
        </w:tc>
        <w:tc>
          <w:tcPr>
            <w:tcW w:w="3940" w:type="dxa"/>
            <w:vAlign w:val="bottom"/>
            <w:tcBorders>
              <w:right w:val="single" w:sz="8" w:color="7F7F7F"/>
            </w:tcBorders>
          </w:tcPr>
          <w:p>
            <w:pPr>
              <w:ind w:left="100"/>
              <w:spacing w:after="0"/>
              <w:rPr>
                <w:sz w:val="20"/>
                <w:szCs w:val="20"/>
                <w:color w:val="auto"/>
              </w:rPr>
            </w:pPr>
            <w:r>
              <w:rPr>
                <w:rFonts w:ascii="Arial" w:cs="Arial" w:eastAsia="Arial" w:hAnsi="Arial"/>
                <w:sz w:val="14"/>
                <w:szCs w:val="14"/>
                <w:color w:val="auto"/>
              </w:rPr>
              <w:t>80%, safety measures were weighted at 12%, and</w:t>
            </w:r>
          </w:p>
        </w:tc>
        <w:tc>
          <w:tcPr>
            <w:tcW w:w="4000" w:type="dxa"/>
            <w:vAlign w:val="bottom"/>
          </w:tcPr>
          <w:p>
            <w:pPr>
              <w:ind w:left="80"/>
              <w:spacing w:after="0"/>
              <w:rPr>
                <w:sz w:val="20"/>
                <w:szCs w:val="20"/>
                <w:color w:val="auto"/>
              </w:rPr>
            </w:pPr>
            <w:r>
              <w:rPr>
                <w:rFonts w:ascii="Arial" w:cs="Arial" w:eastAsia="Arial" w:hAnsi="Arial"/>
                <w:sz w:val="14"/>
                <w:szCs w:val="14"/>
                <w:color w:val="auto"/>
              </w:rPr>
              <w:t>(ABP Earnings), 12% for safety measures, and 8% for</w:t>
            </w:r>
          </w:p>
        </w:tc>
      </w:tr>
      <w:tr>
        <w:trPr>
          <w:trHeight w:val="160"/>
        </w:trPr>
        <w:tc>
          <w:tcPr>
            <w:tcW w:w="2980" w:type="dxa"/>
            <w:vAlign w:val="bottom"/>
            <w:tcBorders>
              <w:right w:val="single" w:sz="8" w:color="7F7F7F"/>
            </w:tcBorders>
          </w:tcPr>
          <w:p>
            <w:pPr>
              <w:spacing w:after="0"/>
              <w:rPr>
                <w:sz w:val="13"/>
                <w:szCs w:val="13"/>
                <w:color w:val="auto"/>
              </w:rPr>
            </w:pPr>
          </w:p>
        </w:tc>
        <w:tc>
          <w:tcPr>
            <w:tcW w:w="3940" w:type="dxa"/>
            <w:vAlign w:val="bottom"/>
            <w:tcBorders>
              <w:right w:val="single" w:sz="8" w:color="7F7F7F"/>
            </w:tcBorders>
          </w:tcPr>
          <w:p>
            <w:pPr>
              <w:ind w:left="100"/>
              <w:spacing w:after="0"/>
              <w:rPr>
                <w:sz w:val="20"/>
                <w:szCs w:val="20"/>
                <w:color w:val="auto"/>
              </w:rPr>
            </w:pPr>
            <w:r>
              <w:rPr>
                <w:rFonts w:ascii="Arial" w:cs="Arial" w:eastAsia="Arial" w:hAnsi="Arial"/>
                <w:sz w:val="14"/>
                <w:szCs w:val="14"/>
                <w:color w:val="auto"/>
              </w:rPr>
              <w:t>measures tied to responsible business practices and</w:t>
            </w:r>
          </w:p>
        </w:tc>
        <w:tc>
          <w:tcPr>
            <w:tcW w:w="4000" w:type="dxa"/>
            <w:vAlign w:val="bottom"/>
          </w:tcPr>
          <w:p>
            <w:pPr>
              <w:ind w:left="80"/>
              <w:spacing w:after="0"/>
              <w:rPr>
                <w:sz w:val="20"/>
                <w:szCs w:val="20"/>
                <w:color w:val="auto"/>
              </w:rPr>
            </w:pPr>
            <w:r>
              <w:rPr>
                <w:rFonts w:ascii="Arial" w:cs="Arial" w:eastAsia="Arial" w:hAnsi="Arial"/>
                <w:sz w:val="14"/>
                <w:szCs w:val="14"/>
                <w:color w:val="auto"/>
              </w:rPr>
              <w:t>measures tied to responsible business practices. Simplified</w:t>
            </w:r>
          </w:p>
        </w:tc>
      </w:tr>
      <w:tr>
        <w:trPr>
          <w:trHeight w:val="160"/>
        </w:trPr>
        <w:tc>
          <w:tcPr>
            <w:tcW w:w="2980" w:type="dxa"/>
            <w:vAlign w:val="bottom"/>
            <w:tcBorders>
              <w:right w:val="single" w:sz="8" w:color="7F7F7F"/>
            </w:tcBorders>
          </w:tcPr>
          <w:p>
            <w:pPr>
              <w:spacing w:after="0"/>
              <w:rPr>
                <w:sz w:val="13"/>
                <w:szCs w:val="13"/>
                <w:color w:val="auto"/>
              </w:rPr>
            </w:pPr>
          </w:p>
        </w:tc>
        <w:tc>
          <w:tcPr>
            <w:tcW w:w="3940" w:type="dxa"/>
            <w:vAlign w:val="bottom"/>
            <w:tcBorders>
              <w:right w:val="single" w:sz="8" w:color="7F7F7F"/>
            </w:tcBorders>
          </w:tcPr>
          <w:p>
            <w:pPr>
              <w:ind w:left="100"/>
              <w:spacing w:after="0"/>
              <w:rPr>
                <w:sz w:val="20"/>
                <w:szCs w:val="20"/>
                <w:color w:val="auto"/>
              </w:rPr>
            </w:pPr>
            <w:r>
              <w:rPr>
                <w:rFonts w:ascii="Arial" w:cs="Arial" w:eastAsia="Arial" w:hAnsi="Arial"/>
                <w:sz w:val="14"/>
                <w:szCs w:val="14"/>
                <w:color w:val="auto"/>
              </w:rPr>
              <w:t>sustainable operations were weighted at 8% in total, with a</w:t>
            </w:r>
          </w:p>
        </w:tc>
        <w:tc>
          <w:tcPr>
            <w:tcW w:w="4000" w:type="dxa"/>
            <w:vAlign w:val="bottom"/>
          </w:tcPr>
          <w:p>
            <w:pPr>
              <w:ind w:left="80"/>
              <w:spacing w:after="0"/>
              <w:rPr>
                <w:sz w:val="20"/>
                <w:szCs w:val="20"/>
                <w:color w:val="auto"/>
              </w:rPr>
            </w:pPr>
            <w:r>
              <w:rPr>
                <w:rFonts w:ascii="Arial" w:cs="Arial" w:eastAsia="Arial" w:hAnsi="Arial"/>
                <w:sz w:val="14"/>
                <w:szCs w:val="14"/>
                <w:color w:val="auto"/>
              </w:rPr>
              <w:t>the number of measures tied to responsible business</w:t>
            </w:r>
          </w:p>
        </w:tc>
      </w:tr>
      <w:tr>
        <w:trPr>
          <w:trHeight w:val="160"/>
        </w:trPr>
        <w:tc>
          <w:tcPr>
            <w:tcW w:w="2980" w:type="dxa"/>
            <w:vAlign w:val="bottom"/>
            <w:tcBorders>
              <w:right w:val="single" w:sz="8" w:color="7F7F7F"/>
            </w:tcBorders>
          </w:tcPr>
          <w:p>
            <w:pPr>
              <w:spacing w:after="0"/>
              <w:rPr>
                <w:sz w:val="13"/>
                <w:szCs w:val="13"/>
                <w:color w:val="auto"/>
              </w:rPr>
            </w:pPr>
          </w:p>
        </w:tc>
        <w:tc>
          <w:tcPr>
            <w:tcW w:w="3940" w:type="dxa"/>
            <w:vAlign w:val="bottom"/>
            <w:tcBorders>
              <w:right w:val="single" w:sz="8" w:color="7F7F7F"/>
            </w:tcBorders>
          </w:tcPr>
          <w:p>
            <w:pPr>
              <w:ind w:left="100"/>
              <w:spacing w:after="0"/>
              <w:rPr>
                <w:sz w:val="20"/>
                <w:szCs w:val="20"/>
                <w:color w:val="auto"/>
              </w:rPr>
            </w:pPr>
            <w:r>
              <w:rPr>
                <w:rFonts w:ascii="Arial" w:cs="Arial" w:eastAsia="Arial" w:hAnsi="Arial"/>
                <w:sz w:val="14"/>
                <w:szCs w:val="14"/>
                <w:color w:val="auto"/>
              </w:rPr>
              <w:t>scorecard that included 15 goals and payout based on the</w:t>
            </w:r>
          </w:p>
        </w:tc>
        <w:tc>
          <w:tcPr>
            <w:tcW w:w="4000" w:type="dxa"/>
            <w:vAlign w:val="bottom"/>
          </w:tcPr>
          <w:p>
            <w:pPr>
              <w:ind w:left="80"/>
              <w:spacing w:after="0"/>
              <w:rPr>
                <w:sz w:val="20"/>
                <w:szCs w:val="20"/>
                <w:color w:val="auto"/>
              </w:rPr>
            </w:pPr>
            <w:r>
              <w:rPr>
                <w:rFonts w:ascii="Arial" w:cs="Arial" w:eastAsia="Arial" w:hAnsi="Arial"/>
                <w:sz w:val="14"/>
                <w:szCs w:val="14"/>
                <w:color w:val="auto"/>
              </w:rPr>
              <w:t>practices from 15 goals to two goals and moved from a</w:t>
            </w:r>
          </w:p>
        </w:tc>
      </w:tr>
      <w:tr>
        <w:trPr>
          <w:trHeight w:val="160"/>
        </w:trPr>
        <w:tc>
          <w:tcPr>
            <w:tcW w:w="2980" w:type="dxa"/>
            <w:vAlign w:val="bottom"/>
            <w:tcBorders>
              <w:right w:val="single" w:sz="8" w:color="7F7F7F"/>
            </w:tcBorders>
          </w:tcPr>
          <w:p>
            <w:pPr>
              <w:spacing w:after="0"/>
              <w:rPr>
                <w:sz w:val="13"/>
                <w:szCs w:val="13"/>
                <w:color w:val="auto"/>
              </w:rPr>
            </w:pPr>
          </w:p>
        </w:tc>
        <w:tc>
          <w:tcPr>
            <w:tcW w:w="3940" w:type="dxa"/>
            <w:vAlign w:val="bottom"/>
            <w:tcBorders>
              <w:right w:val="single" w:sz="8" w:color="7F7F7F"/>
            </w:tcBorders>
          </w:tcPr>
          <w:p>
            <w:pPr>
              <w:ind w:left="100"/>
              <w:spacing w:after="0"/>
              <w:rPr>
                <w:sz w:val="20"/>
                <w:szCs w:val="20"/>
                <w:color w:val="auto"/>
              </w:rPr>
            </w:pPr>
            <w:r>
              <w:rPr>
                <w:rFonts w:ascii="Arial" w:cs="Arial" w:eastAsia="Arial" w:hAnsi="Arial"/>
                <w:sz w:val="14"/>
                <w:szCs w:val="14"/>
                <w:color w:val="auto"/>
              </w:rPr>
              <w:t>number of goals achieved.</w:t>
            </w:r>
          </w:p>
        </w:tc>
        <w:tc>
          <w:tcPr>
            <w:tcW w:w="4000" w:type="dxa"/>
            <w:vAlign w:val="bottom"/>
          </w:tcPr>
          <w:p>
            <w:pPr>
              <w:ind w:left="80"/>
              <w:spacing w:after="0"/>
              <w:rPr>
                <w:sz w:val="20"/>
                <w:szCs w:val="20"/>
                <w:color w:val="auto"/>
              </w:rPr>
            </w:pPr>
            <w:r>
              <w:rPr>
                <w:rFonts w:ascii="Arial" w:cs="Arial" w:eastAsia="Arial" w:hAnsi="Arial"/>
                <w:sz w:val="14"/>
                <w:szCs w:val="14"/>
                <w:color w:val="auto"/>
              </w:rPr>
              <w:t>scorecard approach to goals that are quantitatively</w:t>
            </w:r>
          </w:p>
        </w:tc>
      </w:tr>
      <w:tr>
        <w:trPr>
          <w:trHeight w:val="189"/>
        </w:trPr>
        <w:tc>
          <w:tcPr>
            <w:tcW w:w="2980" w:type="dxa"/>
            <w:vAlign w:val="bottom"/>
            <w:tcBorders>
              <w:right w:val="single" w:sz="8" w:color="7F7F7F"/>
            </w:tcBorders>
          </w:tcPr>
          <w:p>
            <w:pPr>
              <w:spacing w:after="0"/>
              <w:rPr>
                <w:sz w:val="16"/>
                <w:szCs w:val="16"/>
                <w:color w:val="auto"/>
              </w:rPr>
            </w:pPr>
          </w:p>
        </w:tc>
        <w:tc>
          <w:tcPr>
            <w:tcW w:w="3940" w:type="dxa"/>
            <w:vAlign w:val="bottom"/>
            <w:tcBorders>
              <w:right w:val="single" w:sz="8" w:color="7F7F7F"/>
            </w:tcBorders>
          </w:tcPr>
          <w:p>
            <w:pPr>
              <w:spacing w:after="0"/>
              <w:rPr>
                <w:sz w:val="16"/>
                <w:szCs w:val="16"/>
                <w:color w:val="auto"/>
              </w:rPr>
            </w:pPr>
          </w:p>
        </w:tc>
        <w:tc>
          <w:tcPr>
            <w:tcW w:w="4000" w:type="dxa"/>
            <w:vAlign w:val="bottom"/>
          </w:tcPr>
          <w:p>
            <w:pPr>
              <w:ind w:left="80"/>
              <w:spacing w:after="0"/>
              <w:rPr>
                <w:sz w:val="20"/>
                <w:szCs w:val="20"/>
                <w:color w:val="auto"/>
              </w:rPr>
            </w:pPr>
            <w:r>
              <w:rPr>
                <w:rFonts w:ascii="Arial" w:cs="Arial" w:eastAsia="Arial" w:hAnsi="Arial"/>
                <w:sz w:val="14"/>
                <w:szCs w:val="14"/>
                <w:color w:val="auto"/>
              </w:rPr>
              <w:t>measurable.</w:t>
            </w:r>
          </w:p>
        </w:tc>
      </w:tr>
      <w:tr>
        <w:trPr>
          <w:trHeight w:val="48"/>
        </w:trPr>
        <w:tc>
          <w:tcPr>
            <w:tcW w:w="2980" w:type="dxa"/>
            <w:vAlign w:val="bottom"/>
            <w:tcBorders>
              <w:bottom w:val="single" w:sz="8" w:color="7F7F7F"/>
              <w:right w:val="single" w:sz="8" w:color="7F7F7F"/>
            </w:tcBorders>
          </w:tcPr>
          <w:p>
            <w:pPr>
              <w:spacing w:after="0"/>
              <w:rPr>
                <w:sz w:val="4"/>
                <w:szCs w:val="4"/>
                <w:color w:val="auto"/>
              </w:rPr>
            </w:pPr>
          </w:p>
        </w:tc>
        <w:tc>
          <w:tcPr>
            <w:tcW w:w="3940" w:type="dxa"/>
            <w:vAlign w:val="bottom"/>
            <w:tcBorders>
              <w:bottom w:val="single" w:sz="8" w:color="7F7F7F"/>
              <w:right w:val="single" w:sz="8" w:color="7F7F7F"/>
            </w:tcBorders>
          </w:tcPr>
          <w:p>
            <w:pPr>
              <w:spacing w:after="0"/>
              <w:rPr>
                <w:sz w:val="4"/>
                <w:szCs w:val="4"/>
                <w:color w:val="auto"/>
              </w:rPr>
            </w:pPr>
          </w:p>
        </w:tc>
        <w:tc>
          <w:tcPr>
            <w:tcW w:w="4000" w:type="dxa"/>
            <w:vAlign w:val="bottom"/>
            <w:tcBorders>
              <w:bottom w:val="single" w:sz="8" w:color="7F7F7F"/>
            </w:tcBorders>
          </w:tcPr>
          <w:p>
            <w:pPr>
              <w:spacing w:after="0"/>
              <w:rPr>
                <w:sz w:val="4"/>
                <w:szCs w:val="4"/>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2</w:t>
      </w:r>
    </w:p>
    <w:p>
      <w:pPr>
        <w:spacing w:after="0" w:line="111" w:lineRule="exact"/>
        <w:rPr>
          <w:sz w:val="20"/>
          <w:szCs w:val="20"/>
          <w:color w:val="auto"/>
        </w:rPr>
      </w:pPr>
    </w:p>
    <w:p>
      <w:pPr>
        <w:ind w:left="160" w:right="20"/>
        <w:spacing w:after="0" w:line="249" w:lineRule="auto"/>
        <w:rPr>
          <w:sz w:val="20"/>
          <w:szCs w:val="20"/>
          <w:color w:val="auto"/>
        </w:rPr>
      </w:pPr>
      <w:r>
        <w:rPr>
          <w:rFonts w:ascii="Arial" w:cs="Arial" w:eastAsia="Arial" w:hAnsi="Arial"/>
          <w:sz w:val="14"/>
          <w:szCs w:val="14"/>
          <w:color w:val="auto"/>
        </w:rPr>
        <w:t>Our shareholders presently have the opportunity to cast an advisory vote on our executive compensation, or a “say-on-pay” vote, once every year at our annual shareholders meetings. Based on discussions with shareholders during our 2025-2026 shareholder engagement cycle and the 95% approval of our executive compensation in our most recent say-on-pay vote, the Compensation and Talent Development Committee believes our shareholders generally support our approach to executive compensation and therefore did not significantly alter our policies or practices for 2025, except with respect to the shareholder-informed updates to certain specific elements of our compensation program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137795</wp:posOffset>
            </wp:positionV>
            <wp:extent cx="6938010" cy="3568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38010" cy="356870"/>
                    </a:xfrm>
                    <a:prstGeom prst="rect">
                      <a:avLst/>
                    </a:prstGeom>
                    <a:noFill/>
                  </pic:spPr>
                </pic:pic>
              </a:graphicData>
            </a:graphic>
          </wp:anchor>
        </w:drawing>
      </w:r>
    </w:p>
    <w:p>
      <w:pPr>
        <w:spacing w:after="0" w:line="295"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 xml:space="preserve">Shareholders supported our executive compensation program with approval by </w:t>
      </w:r>
      <w:r>
        <w:rPr>
          <w:rFonts w:ascii="Arial" w:cs="Arial" w:eastAsia="Arial" w:hAnsi="Arial"/>
          <w:sz w:val="14"/>
          <w:szCs w:val="14"/>
          <w:b w:val="1"/>
          <w:bCs w:val="1"/>
          <w:color w:val="auto"/>
        </w:rPr>
        <w:t>95%</w:t>
      </w:r>
      <w:r>
        <w:rPr>
          <w:rFonts w:ascii="Arial" w:cs="Arial" w:eastAsia="Arial" w:hAnsi="Arial"/>
          <w:sz w:val="14"/>
          <w:szCs w:val="14"/>
          <w:color w:val="auto"/>
        </w:rPr>
        <w:t xml:space="preserve"> of the votes cast</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on our most recent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183515</wp:posOffset>
            </wp:positionV>
            <wp:extent cx="69297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44               </w:t>
      </w:r>
      <w:r>
        <w:rPr>
          <w:sz w:val="1"/>
          <w:szCs w:val="1"/>
          <w:color w:val="auto"/>
        </w:rPr>
        <w:drawing>
          <wp:inline distT="0" distB="0" distL="0" distR="0">
            <wp:extent cx="739140" cy="153035"/>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2025 Compensation Program Overview</w:t>
      </w:r>
    </w:p>
    <w:p>
      <w:pPr>
        <w:spacing w:after="0" w:line="125" w:lineRule="exact"/>
        <w:rPr>
          <w:sz w:val="20"/>
          <w:szCs w:val="20"/>
          <w:color w:val="auto"/>
        </w:rPr>
      </w:pPr>
    </w:p>
    <w:p>
      <w:pPr>
        <w:ind w:left="160" w:right="140"/>
        <w:spacing w:after="0" w:line="253" w:lineRule="auto"/>
        <w:rPr>
          <w:sz w:val="20"/>
          <w:szCs w:val="20"/>
          <w:color w:val="auto"/>
        </w:rPr>
      </w:pPr>
      <w:r>
        <w:rPr>
          <w:rFonts w:ascii="Arial" w:cs="Arial" w:eastAsia="Arial" w:hAnsi="Arial"/>
          <w:sz w:val="14"/>
          <w:szCs w:val="14"/>
          <w:color w:val="auto"/>
        </w:rPr>
        <w:t>Our executive compensation program is designed to attract, motivate and retain key executive talent and promote strong, sustainable long-term performance. The three components of target total direct compensation delivered in our program are: (1) base salary; (2) performance-based annual bonus; and (3) long-term equity-based incentives. We place an emphasis on variable performance-based pay, with each component designed to promote value creation and alignment of our management team’s compensation with our long-term strategic objectives.</w:t>
      </w:r>
    </w:p>
    <w:p>
      <w:pPr>
        <w:spacing w:after="0" w:line="213" w:lineRule="exact"/>
        <w:rPr>
          <w:sz w:val="20"/>
          <w:szCs w:val="20"/>
          <w:color w:val="auto"/>
        </w:rPr>
      </w:pPr>
    </w:p>
    <w:tbl>
      <w:tblPr>
        <w:tblLayout w:type="fixed"/>
        <w:tblInd w:w="170" w:type="dxa"/>
        <w:tblCellMar>
          <w:top w:w="0" w:type="dxa"/>
          <w:left w:w="0" w:type="dxa"/>
          <w:bottom w:w="0" w:type="dxa"/>
          <w:right w:w="0" w:type="dxa"/>
        </w:tblCellMar>
      </w:tblPr>
      <w:tr>
        <w:trPr>
          <w:trHeight w:val="218"/>
        </w:trPr>
        <w:tc>
          <w:tcPr>
            <w:tcW w:w="900" w:type="dxa"/>
            <w:vAlign w:val="bottom"/>
            <w:tcBorders>
              <w:left w:val="single" w:sz="8" w:color="005CB9"/>
              <w:right w:val="single" w:sz="8" w:color="005CB9"/>
            </w:tcBorders>
            <w:shd w:val="clear" w:color="auto" w:fill="005CB9"/>
          </w:tcPr>
          <w:p>
            <w:pPr>
              <w:spacing w:after="0"/>
              <w:rPr>
                <w:sz w:val="18"/>
                <w:szCs w:val="18"/>
                <w:color w:val="auto"/>
              </w:rPr>
            </w:pPr>
          </w:p>
        </w:tc>
        <w:tc>
          <w:tcPr>
            <w:tcW w:w="1720" w:type="dxa"/>
            <w:vAlign w:val="bottom"/>
            <w:tcBorders>
              <w:right w:val="single" w:sz="8" w:color="005CB9"/>
            </w:tcBorders>
            <w:shd w:val="clear" w:color="auto" w:fill="005CB9"/>
          </w:tcPr>
          <w:p>
            <w:pPr>
              <w:spacing w:after="0"/>
              <w:rPr>
                <w:sz w:val="18"/>
                <w:szCs w:val="18"/>
                <w:color w:val="auto"/>
              </w:rPr>
            </w:pPr>
          </w:p>
        </w:tc>
        <w:tc>
          <w:tcPr>
            <w:tcW w:w="680" w:type="dxa"/>
            <w:vAlign w:val="bottom"/>
            <w:tcBorders>
              <w:right w:val="single" w:sz="8" w:color="005CB9"/>
            </w:tcBorders>
            <w:shd w:val="clear" w:color="auto" w:fill="005CB9"/>
          </w:tcPr>
          <w:p>
            <w:pPr>
              <w:jc w:val="center"/>
              <w:spacing w:after="0"/>
              <w:rPr>
                <w:sz w:val="20"/>
                <w:szCs w:val="20"/>
                <w:color w:val="auto"/>
              </w:rPr>
            </w:pPr>
            <w:r>
              <w:rPr>
                <w:rFonts w:ascii="Arial" w:cs="Arial" w:eastAsia="Arial" w:hAnsi="Arial"/>
                <w:sz w:val="11"/>
                <w:szCs w:val="11"/>
                <w:b w:val="1"/>
                <w:bCs w:val="1"/>
                <w:color w:val="FFFFFF"/>
                <w:w w:val="71"/>
              </w:rPr>
              <w:t> </w:t>
            </w:r>
          </w:p>
        </w:tc>
        <w:tc>
          <w:tcPr>
            <w:tcW w:w="200" w:type="dxa"/>
            <w:vAlign w:val="bottom"/>
            <w:shd w:val="clear" w:color="auto" w:fill="005CB9"/>
          </w:tcPr>
          <w:p>
            <w:pPr>
              <w:spacing w:after="0"/>
              <w:rPr>
                <w:sz w:val="18"/>
                <w:szCs w:val="18"/>
                <w:color w:val="auto"/>
              </w:rPr>
            </w:pPr>
          </w:p>
        </w:tc>
        <w:tc>
          <w:tcPr>
            <w:tcW w:w="7420" w:type="dxa"/>
            <w:vAlign w:val="bottom"/>
            <w:shd w:val="clear" w:color="auto" w:fill="005CB9"/>
          </w:tcPr>
          <w:p>
            <w:pPr>
              <w:spacing w:after="0"/>
              <w:rPr>
                <w:sz w:val="18"/>
                <w:szCs w:val="18"/>
                <w:color w:val="auto"/>
              </w:rPr>
            </w:pPr>
          </w:p>
        </w:tc>
      </w:tr>
      <w:tr>
        <w:trPr>
          <w:trHeight w:val="195"/>
        </w:trPr>
        <w:tc>
          <w:tcPr>
            <w:tcW w:w="900" w:type="dxa"/>
            <w:vAlign w:val="bottom"/>
            <w:tcBorders>
              <w:left w:val="single" w:sz="8" w:color="005CB9"/>
              <w:right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Type</w:t>
            </w:r>
          </w:p>
        </w:tc>
        <w:tc>
          <w:tcPr>
            <w:tcW w:w="1720" w:type="dxa"/>
            <w:vAlign w:val="bottom"/>
            <w:tcBorders>
              <w:right w:val="single" w:sz="8" w:color="005CB9"/>
            </w:tcBorders>
            <w:shd w:val="clear" w:color="auto" w:fill="005CB9"/>
          </w:tcPr>
          <w:p>
            <w:pPr>
              <w:ind w:left="500"/>
              <w:spacing w:after="0"/>
              <w:rPr>
                <w:sz w:val="20"/>
                <w:szCs w:val="20"/>
                <w:color w:val="auto"/>
              </w:rPr>
            </w:pPr>
            <w:r>
              <w:rPr>
                <w:rFonts w:ascii="Arial" w:cs="Arial" w:eastAsia="Arial" w:hAnsi="Arial"/>
                <w:sz w:val="14"/>
                <w:szCs w:val="14"/>
                <w:b w:val="1"/>
                <w:bCs w:val="1"/>
                <w:color w:val="FFFFFF"/>
              </w:rPr>
              <w:t>Component</w:t>
            </w:r>
          </w:p>
        </w:tc>
        <w:tc>
          <w:tcPr>
            <w:tcW w:w="680" w:type="dxa"/>
            <w:vAlign w:val="bottom"/>
            <w:tcBorders>
              <w:right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 xml:space="preserve">Form   </w:t>
            </w:r>
          </w:p>
        </w:tc>
        <w:tc>
          <w:tcPr>
            <w:tcW w:w="200" w:type="dxa"/>
            <w:vAlign w:val="bottom"/>
            <w:shd w:val="clear" w:color="auto" w:fill="005CB9"/>
          </w:tcPr>
          <w:p>
            <w:pPr>
              <w:spacing w:after="0"/>
              <w:rPr>
                <w:sz w:val="16"/>
                <w:szCs w:val="16"/>
                <w:color w:val="auto"/>
              </w:rPr>
            </w:pPr>
          </w:p>
        </w:tc>
        <w:tc>
          <w:tcPr>
            <w:tcW w:w="7420" w:type="dxa"/>
            <w:vAlign w:val="bottom"/>
            <w:shd w:val="clear" w:color="auto" w:fill="005CB9"/>
          </w:tcPr>
          <w:p>
            <w:pPr>
              <w:ind w:left="3000"/>
              <w:spacing w:after="0"/>
              <w:rPr>
                <w:sz w:val="20"/>
                <w:szCs w:val="20"/>
                <w:color w:val="auto"/>
              </w:rPr>
            </w:pPr>
            <w:r>
              <w:rPr>
                <w:rFonts w:ascii="Arial" w:cs="Arial" w:eastAsia="Arial" w:hAnsi="Arial"/>
                <w:sz w:val="14"/>
                <w:szCs w:val="14"/>
                <w:b w:val="1"/>
                <w:bCs w:val="1"/>
                <w:color w:val="FFFFFF"/>
              </w:rPr>
              <w:t>Key Characteristics</w:t>
            </w:r>
          </w:p>
        </w:tc>
      </w:tr>
      <w:tr>
        <w:trPr>
          <w:trHeight w:val="68"/>
        </w:trPr>
        <w:tc>
          <w:tcPr>
            <w:tcW w:w="900" w:type="dxa"/>
            <w:vAlign w:val="bottom"/>
            <w:tcBorders>
              <w:left w:val="single" w:sz="8" w:color="005CB9"/>
              <w:right w:val="single" w:sz="8" w:color="005CB9"/>
            </w:tcBorders>
            <w:shd w:val="clear" w:color="auto" w:fill="005CB9"/>
          </w:tcPr>
          <w:p>
            <w:pPr>
              <w:spacing w:after="0"/>
              <w:rPr>
                <w:sz w:val="5"/>
                <w:szCs w:val="5"/>
                <w:color w:val="auto"/>
              </w:rPr>
            </w:pPr>
          </w:p>
        </w:tc>
        <w:tc>
          <w:tcPr>
            <w:tcW w:w="1720" w:type="dxa"/>
            <w:vAlign w:val="bottom"/>
            <w:tcBorders>
              <w:right w:val="single" w:sz="8" w:color="005CB9"/>
            </w:tcBorders>
            <w:shd w:val="clear" w:color="auto" w:fill="005CB9"/>
          </w:tcPr>
          <w:p>
            <w:pPr>
              <w:spacing w:after="0"/>
              <w:rPr>
                <w:sz w:val="5"/>
                <w:szCs w:val="5"/>
                <w:color w:val="auto"/>
              </w:rPr>
            </w:pPr>
          </w:p>
        </w:tc>
        <w:tc>
          <w:tcPr>
            <w:tcW w:w="680" w:type="dxa"/>
            <w:vAlign w:val="bottom"/>
            <w:tcBorders>
              <w:right w:val="single" w:sz="8" w:color="005CB9"/>
            </w:tcBorders>
            <w:shd w:val="clear" w:color="auto" w:fill="005CB9"/>
          </w:tcPr>
          <w:p>
            <w:pPr>
              <w:spacing w:after="0"/>
              <w:rPr>
                <w:sz w:val="5"/>
                <w:szCs w:val="5"/>
                <w:color w:val="auto"/>
              </w:rPr>
            </w:pPr>
          </w:p>
        </w:tc>
        <w:tc>
          <w:tcPr>
            <w:tcW w:w="200" w:type="dxa"/>
            <w:vAlign w:val="bottom"/>
            <w:shd w:val="clear" w:color="auto" w:fill="005CB9"/>
          </w:tcPr>
          <w:p>
            <w:pPr>
              <w:spacing w:after="0"/>
              <w:rPr>
                <w:sz w:val="5"/>
                <w:szCs w:val="5"/>
                <w:color w:val="auto"/>
              </w:rPr>
            </w:pPr>
          </w:p>
        </w:tc>
        <w:tc>
          <w:tcPr>
            <w:tcW w:w="7420" w:type="dxa"/>
            <w:vAlign w:val="bottom"/>
            <w:shd w:val="clear" w:color="auto" w:fill="005CB9"/>
          </w:tcPr>
          <w:p>
            <w:pPr>
              <w:spacing w:after="0"/>
              <w:rPr>
                <w:sz w:val="5"/>
                <w:szCs w:val="5"/>
                <w:color w:val="auto"/>
              </w:rPr>
            </w:pPr>
          </w:p>
        </w:tc>
      </w:tr>
      <w:tr>
        <w:trPr>
          <w:trHeight w:val="205"/>
        </w:trPr>
        <w:tc>
          <w:tcPr>
            <w:tcW w:w="900" w:type="dxa"/>
            <w:vAlign w:val="bottom"/>
            <w:tcBorders>
              <w:left w:val="single" w:sz="8" w:color="7F7F7F"/>
              <w:right w:val="single" w:sz="8" w:color="7F7F7F"/>
            </w:tcBorders>
          </w:tcPr>
          <w:p>
            <w:pPr>
              <w:ind w:left="240"/>
              <w:spacing w:after="0"/>
              <w:rPr>
                <w:sz w:val="20"/>
                <w:szCs w:val="20"/>
                <w:color w:val="auto"/>
              </w:rPr>
            </w:pPr>
            <w:r>
              <w:rPr>
                <w:rFonts w:ascii="Arial" w:cs="Arial" w:eastAsia="Arial" w:hAnsi="Arial"/>
                <w:sz w:val="14"/>
                <w:szCs w:val="14"/>
                <w:b w:val="1"/>
                <w:bCs w:val="1"/>
                <w:color w:val="auto"/>
              </w:rPr>
              <w:t>Fixed</w:t>
            </w:r>
          </w:p>
        </w:tc>
        <w:tc>
          <w:tcPr>
            <w:tcW w:w="1720" w:type="dxa"/>
            <w:vAlign w:val="bottom"/>
            <w:tcBorders>
              <w:right w:val="single" w:sz="8" w:color="7F7F7F"/>
            </w:tcBorders>
          </w:tcPr>
          <w:p>
            <w:pPr>
              <w:ind w:left="80"/>
              <w:spacing w:after="0"/>
              <w:rPr>
                <w:sz w:val="20"/>
                <w:szCs w:val="20"/>
                <w:color w:val="auto"/>
              </w:rPr>
            </w:pPr>
            <w:r>
              <w:rPr>
                <w:rFonts w:ascii="Arial" w:cs="Arial" w:eastAsia="Arial" w:hAnsi="Arial"/>
                <w:sz w:val="14"/>
                <w:szCs w:val="14"/>
                <w:b w:val="1"/>
                <w:bCs w:val="1"/>
                <w:color w:val="auto"/>
              </w:rPr>
              <w:t>Base Salary</w:t>
            </w:r>
          </w:p>
        </w:tc>
        <w:tc>
          <w:tcPr>
            <w:tcW w:w="680" w:type="dxa"/>
            <w:vAlign w:val="bottom"/>
            <w:tcBorders>
              <w:right w:val="single" w:sz="8" w:color="7F7F7F"/>
            </w:tcBorders>
          </w:tcPr>
          <w:p>
            <w:pPr>
              <w:jc w:val="center"/>
              <w:spacing w:after="0"/>
              <w:rPr>
                <w:sz w:val="20"/>
                <w:szCs w:val="20"/>
                <w:color w:val="auto"/>
              </w:rPr>
            </w:pPr>
            <w:r>
              <w:rPr>
                <w:rFonts w:ascii="Arial" w:cs="Arial" w:eastAsia="Arial" w:hAnsi="Arial"/>
                <w:sz w:val="14"/>
                <w:szCs w:val="14"/>
                <w:color w:val="auto"/>
              </w:rPr>
              <w:t>Cash</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005CB9"/>
              </w:rPr>
              <w:t>•</w:t>
            </w:r>
          </w:p>
        </w:tc>
        <w:tc>
          <w:tcPr>
            <w:tcW w:w="7420" w:type="dxa"/>
            <w:vAlign w:val="bottom"/>
          </w:tcPr>
          <w:p>
            <w:pPr>
              <w:ind w:left="40"/>
              <w:spacing w:after="0"/>
              <w:rPr>
                <w:sz w:val="20"/>
                <w:szCs w:val="20"/>
                <w:color w:val="auto"/>
              </w:rPr>
            </w:pPr>
            <w:r>
              <w:rPr>
                <w:rFonts w:ascii="Arial" w:cs="Arial" w:eastAsia="Arial" w:hAnsi="Arial"/>
                <w:sz w:val="14"/>
                <w:szCs w:val="14"/>
                <w:color w:val="auto"/>
              </w:rPr>
              <w:t>Base salary is targeted to generally align to the median of our compensation peer group, which includes comparably</w:t>
            </w:r>
          </w:p>
        </w:tc>
      </w:tr>
      <w:tr>
        <w:trPr>
          <w:trHeight w:val="189"/>
        </w:trPr>
        <w:tc>
          <w:tcPr>
            <w:tcW w:w="900" w:type="dxa"/>
            <w:vAlign w:val="bottom"/>
            <w:tcBorders>
              <w:left w:val="single" w:sz="8" w:color="7F7F7F"/>
              <w:right w:val="single" w:sz="8" w:color="7F7F7F"/>
            </w:tcBorders>
          </w:tcPr>
          <w:p>
            <w:pPr>
              <w:spacing w:after="0"/>
              <w:rPr>
                <w:sz w:val="16"/>
                <w:szCs w:val="16"/>
                <w:color w:val="auto"/>
              </w:rPr>
            </w:pPr>
          </w:p>
        </w:tc>
        <w:tc>
          <w:tcPr>
            <w:tcW w:w="1720" w:type="dxa"/>
            <w:vAlign w:val="bottom"/>
            <w:tcBorders>
              <w:right w:val="single" w:sz="8" w:color="7F7F7F"/>
            </w:tcBorders>
          </w:tcPr>
          <w:p>
            <w:pPr>
              <w:spacing w:after="0"/>
              <w:rPr>
                <w:sz w:val="16"/>
                <w:szCs w:val="16"/>
                <w:color w:val="auto"/>
              </w:rPr>
            </w:pPr>
          </w:p>
        </w:tc>
        <w:tc>
          <w:tcPr>
            <w:tcW w:w="680" w:type="dxa"/>
            <w:vAlign w:val="bottom"/>
            <w:tcBorders>
              <w:right w:val="single" w:sz="8" w:color="7F7F7F"/>
            </w:tcBorders>
          </w:tcPr>
          <w:p>
            <w:pPr>
              <w:spacing w:after="0"/>
              <w:rPr>
                <w:sz w:val="16"/>
                <w:szCs w:val="16"/>
                <w:color w:val="auto"/>
              </w:rPr>
            </w:pPr>
          </w:p>
        </w:tc>
        <w:tc>
          <w:tcPr>
            <w:tcW w:w="200" w:type="dxa"/>
            <w:vAlign w:val="bottom"/>
          </w:tcPr>
          <w:p>
            <w:pPr>
              <w:spacing w:after="0"/>
              <w:rPr>
                <w:sz w:val="16"/>
                <w:szCs w:val="16"/>
                <w:color w:val="auto"/>
              </w:rPr>
            </w:pPr>
          </w:p>
        </w:tc>
        <w:tc>
          <w:tcPr>
            <w:tcW w:w="7420" w:type="dxa"/>
            <w:vAlign w:val="bottom"/>
          </w:tcPr>
          <w:p>
            <w:pPr>
              <w:ind w:left="40"/>
              <w:spacing w:after="0"/>
              <w:rPr>
                <w:sz w:val="20"/>
                <w:szCs w:val="20"/>
                <w:color w:val="auto"/>
              </w:rPr>
            </w:pPr>
            <w:r>
              <w:rPr>
                <w:rFonts w:ascii="Arial" w:cs="Arial" w:eastAsia="Arial" w:hAnsi="Arial"/>
                <w:sz w:val="14"/>
                <w:szCs w:val="14"/>
                <w:color w:val="auto"/>
              </w:rPr>
              <w:t>sized general industry, utilities and energy peers</w:t>
            </w:r>
          </w:p>
        </w:tc>
      </w:tr>
      <w:tr>
        <w:trPr>
          <w:trHeight w:val="48"/>
        </w:trPr>
        <w:tc>
          <w:tcPr>
            <w:tcW w:w="900" w:type="dxa"/>
            <w:vAlign w:val="bottom"/>
            <w:tcBorders>
              <w:left w:val="single" w:sz="8" w:color="7F7F7F"/>
              <w:bottom w:val="single" w:sz="8" w:color="7F7F7F"/>
              <w:right w:val="single" w:sz="8" w:color="7F7F7F"/>
            </w:tcBorders>
          </w:tcPr>
          <w:p>
            <w:pPr>
              <w:spacing w:after="0"/>
              <w:rPr>
                <w:sz w:val="4"/>
                <w:szCs w:val="4"/>
                <w:color w:val="auto"/>
              </w:rPr>
            </w:pPr>
          </w:p>
        </w:tc>
        <w:tc>
          <w:tcPr>
            <w:tcW w:w="1720" w:type="dxa"/>
            <w:vAlign w:val="bottom"/>
            <w:tcBorders>
              <w:bottom w:val="single" w:sz="8" w:color="7F7F7F"/>
              <w:right w:val="single" w:sz="8" w:color="7F7F7F"/>
            </w:tcBorders>
          </w:tcPr>
          <w:p>
            <w:pPr>
              <w:spacing w:after="0"/>
              <w:rPr>
                <w:sz w:val="4"/>
                <w:szCs w:val="4"/>
                <w:color w:val="auto"/>
              </w:rPr>
            </w:pPr>
          </w:p>
        </w:tc>
        <w:tc>
          <w:tcPr>
            <w:tcW w:w="680" w:type="dxa"/>
            <w:vAlign w:val="bottom"/>
            <w:tcBorders>
              <w:bottom w:val="single" w:sz="8" w:color="7F7F7F"/>
              <w:right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7420" w:type="dxa"/>
            <w:vAlign w:val="bottom"/>
            <w:tcBorders>
              <w:bottom w:val="single" w:sz="8" w:color="7F7F7F"/>
            </w:tcBorders>
          </w:tcPr>
          <w:p>
            <w:pPr>
              <w:spacing w:after="0"/>
              <w:rPr>
                <w:sz w:val="4"/>
                <w:szCs w:val="4"/>
                <w:color w:val="auto"/>
              </w:rPr>
            </w:pPr>
          </w:p>
        </w:tc>
      </w:tr>
      <w:tr>
        <w:trPr>
          <w:trHeight w:val="198"/>
        </w:trPr>
        <w:tc>
          <w:tcPr>
            <w:tcW w:w="900" w:type="dxa"/>
            <w:vAlign w:val="bottom"/>
            <w:tcBorders>
              <w:left w:val="single" w:sz="8" w:color="7F7F7F"/>
              <w:right w:val="single" w:sz="8" w:color="7F7F7F"/>
            </w:tcBorders>
          </w:tcPr>
          <w:p>
            <w:pPr>
              <w:spacing w:after="0"/>
              <w:rPr>
                <w:sz w:val="17"/>
                <w:szCs w:val="17"/>
                <w:color w:val="auto"/>
              </w:rPr>
            </w:pPr>
          </w:p>
        </w:tc>
        <w:tc>
          <w:tcPr>
            <w:tcW w:w="1720" w:type="dxa"/>
            <w:vAlign w:val="bottom"/>
            <w:tcBorders>
              <w:right w:val="single" w:sz="8" w:color="7F7F7F"/>
            </w:tcBorders>
          </w:tcPr>
          <w:p>
            <w:pPr>
              <w:ind w:left="80"/>
              <w:spacing w:after="0"/>
              <w:rPr>
                <w:sz w:val="20"/>
                <w:szCs w:val="20"/>
                <w:color w:val="auto"/>
              </w:rPr>
            </w:pPr>
            <w:r>
              <w:rPr>
                <w:rFonts w:ascii="Arial" w:cs="Arial" w:eastAsia="Arial" w:hAnsi="Arial"/>
                <w:sz w:val="14"/>
                <w:szCs w:val="14"/>
                <w:b w:val="1"/>
                <w:bCs w:val="1"/>
                <w:color w:val="auto"/>
              </w:rPr>
              <w:t>Performance-Based</w:t>
            </w:r>
          </w:p>
        </w:tc>
        <w:tc>
          <w:tcPr>
            <w:tcW w:w="680" w:type="dxa"/>
            <w:vAlign w:val="bottom"/>
            <w:tcBorders>
              <w:right w:val="single" w:sz="8" w:color="7F7F7F"/>
            </w:tcBorders>
          </w:tcPr>
          <w:p>
            <w:pPr>
              <w:jc w:val="center"/>
              <w:spacing w:after="0"/>
              <w:rPr>
                <w:sz w:val="20"/>
                <w:szCs w:val="20"/>
                <w:color w:val="auto"/>
              </w:rPr>
            </w:pPr>
            <w:r>
              <w:rPr>
                <w:rFonts w:ascii="Arial" w:cs="Arial" w:eastAsia="Arial" w:hAnsi="Arial"/>
                <w:sz w:val="14"/>
                <w:szCs w:val="14"/>
                <w:color w:val="auto"/>
              </w:rPr>
              <w:t>Cash</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005CB9"/>
              </w:rPr>
              <w:t>•</w:t>
            </w:r>
          </w:p>
        </w:tc>
        <w:tc>
          <w:tcPr>
            <w:tcW w:w="7420" w:type="dxa"/>
            <w:vAlign w:val="bottom"/>
          </w:tcPr>
          <w:p>
            <w:pPr>
              <w:ind w:left="40"/>
              <w:spacing w:after="0"/>
              <w:rPr>
                <w:sz w:val="20"/>
                <w:szCs w:val="20"/>
                <w:color w:val="auto"/>
              </w:rPr>
            </w:pPr>
            <w:r>
              <w:rPr>
                <w:rFonts w:ascii="Arial" w:cs="Arial" w:eastAsia="Arial" w:hAnsi="Arial"/>
                <w:sz w:val="14"/>
                <w:szCs w:val="14"/>
                <w:color w:val="auto"/>
              </w:rPr>
              <w:t>Based on ABP Earnings (weighted at 80%), Safety Measures (weighted at 12%) and RBP Measures (weighted at</w:t>
            </w:r>
          </w:p>
        </w:tc>
      </w:tr>
      <w:tr>
        <w:trPr>
          <w:trHeight w:val="195"/>
        </w:trPr>
        <w:tc>
          <w:tcPr>
            <w:tcW w:w="900" w:type="dxa"/>
            <w:vAlign w:val="bottom"/>
            <w:tcBorders>
              <w:left w:val="single" w:sz="8" w:color="7F7F7F"/>
              <w:right w:val="single" w:sz="8" w:color="7F7F7F"/>
            </w:tcBorders>
          </w:tcPr>
          <w:p>
            <w:pPr>
              <w:spacing w:after="0"/>
              <w:rPr>
                <w:sz w:val="16"/>
                <w:szCs w:val="16"/>
                <w:color w:val="auto"/>
              </w:rPr>
            </w:pPr>
          </w:p>
        </w:tc>
        <w:tc>
          <w:tcPr>
            <w:tcW w:w="1720" w:type="dxa"/>
            <w:vAlign w:val="bottom"/>
            <w:tcBorders>
              <w:right w:val="single" w:sz="8" w:color="7F7F7F"/>
            </w:tcBorders>
          </w:tcPr>
          <w:p>
            <w:pPr>
              <w:ind w:left="80"/>
              <w:spacing w:after="0"/>
              <w:rPr>
                <w:sz w:val="20"/>
                <w:szCs w:val="20"/>
                <w:color w:val="auto"/>
              </w:rPr>
            </w:pPr>
            <w:r>
              <w:rPr>
                <w:rFonts w:ascii="Arial" w:cs="Arial" w:eastAsia="Arial" w:hAnsi="Arial"/>
                <w:sz w:val="14"/>
                <w:szCs w:val="14"/>
                <w:b w:val="1"/>
                <w:bCs w:val="1"/>
                <w:color w:val="auto"/>
              </w:rPr>
              <w:t>Annual Bonus</w:t>
            </w:r>
          </w:p>
        </w:tc>
        <w:tc>
          <w:tcPr>
            <w:tcW w:w="680" w:type="dxa"/>
            <w:vAlign w:val="bottom"/>
            <w:tcBorders>
              <w:right w:val="single" w:sz="8" w:color="7F7F7F"/>
            </w:tcBorders>
          </w:tcPr>
          <w:p>
            <w:pPr>
              <w:spacing w:after="0"/>
              <w:rPr>
                <w:sz w:val="16"/>
                <w:szCs w:val="16"/>
                <w:color w:val="auto"/>
              </w:rPr>
            </w:pPr>
          </w:p>
        </w:tc>
        <w:tc>
          <w:tcPr>
            <w:tcW w:w="200" w:type="dxa"/>
            <w:vAlign w:val="bottom"/>
          </w:tcPr>
          <w:p>
            <w:pPr>
              <w:spacing w:after="0"/>
              <w:rPr>
                <w:sz w:val="16"/>
                <w:szCs w:val="16"/>
                <w:color w:val="auto"/>
              </w:rPr>
            </w:pPr>
          </w:p>
        </w:tc>
        <w:tc>
          <w:tcPr>
            <w:tcW w:w="7420" w:type="dxa"/>
            <w:vAlign w:val="bottom"/>
          </w:tcPr>
          <w:p>
            <w:pPr>
              <w:ind w:left="40"/>
              <w:spacing w:after="0"/>
              <w:rPr>
                <w:sz w:val="20"/>
                <w:szCs w:val="20"/>
                <w:color w:val="auto"/>
              </w:rPr>
            </w:pPr>
            <w:r>
              <w:rPr>
                <w:rFonts w:ascii="Arial" w:cs="Arial" w:eastAsia="Arial" w:hAnsi="Arial"/>
                <w:sz w:val="14"/>
                <w:szCs w:val="14"/>
                <w:color w:val="auto"/>
              </w:rPr>
              <w:t>8%)</w:t>
            </w:r>
          </w:p>
        </w:tc>
      </w:tr>
      <w:tr>
        <w:trPr>
          <w:trHeight w:val="206"/>
        </w:trPr>
        <w:tc>
          <w:tcPr>
            <w:tcW w:w="900" w:type="dxa"/>
            <w:vAlign w:val="bottom"/>
            <w:tcBorders>
              <w:left w:val="single" w:sz="8" w:color="7F7F7F"/>
              <w:right w:val="single" w:sz="8" w:color="7F7F7F"/>
            </w:tcBorders>
          </w:tcPr>
          <w:p>
            <w:pPr>
              <w:spacing w:after="0"/>
              <w:rPr>
                <w:sz w:val="17"/>
                <w:szCs w:val="17"/>
                <w:color w:val="auto"/>
              </w:rPr>
            </w:pPr>
          </w:p>
        </w:tc>
        <w:tc>
          <w:tcPr>
            <w:tcW w:w="1720" w:type="dxa"/>
            <w:vAlign w:val="bottom"/>
            <w:tcBorders>
              <w:right w:val="single" w:sz="8" w:color="7F7F7F"/>
            </w:tcBorders>
          </w:tcPr>
          <w:p>
            <w:pPr>
              <w:spacing w:after="0"/>
              <w:rPr>
                <w:sz w:val="17"/>
                <w:szCs w:val="17"/>
                <w:color w:val="auto"/>
              </w:rPr>
            </w:pPr>
          </w:p>
        </w:tc>
        <w:tc>
          <w:tcPr>
            <w:tcW w:w="680" w:type="dxa"/>
            <w:vAlign w:val="bottom"/>
            <w:tcBorders>
              <w:right w:val="single" w:sz="8" w:color="7F7F7F"/>
            </w:tcBorders>
          </w:tcPr>
          <w:p>
            <w:pPr>
              <w:spacing w:after="0"/>
              <w:rPr>
                <w:sz w:val="17"/>
                <w:szCs w:val="17"/>
                <w:color w:val="auto"/>
              </w:rPr>
            </w:pPr>
          </w:p>
        </w:tc>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No bonus payment unless company meets threshold performance level for the year and maximum payouts are</w:t>
            </w:r>
          </w:p>
        </w:tc>
      </w:tr>
      <w:tr>
        <w:trPr>
          <w:trHeight w:val="189"/>
        </w:trPr>
        <w:tc>
          <w:tcPr>
            <w:tcW w:w="900" w:type="dxa"/>
            <w:vAlign w:val="bottom"/>
            <w:tcBorders>
              <w:left w:val="single" w:sz="8" w:color="7F7F7F"/>
              <w:right w:val="single" w:sz="8" w:color="7F7F7F"/>
            </w:tcBorders>
          </w:tcPr>
          <w:p>
            <w:pPr>
              <w:spacing w:after="0"/>
              <w:rPr>
                <w:sz w:val="16"/>
                <w:szCs w:val="16"/>
                <w:color w:val="auto"/>
              </w:rPr>
            </w:pPr>
          </w:p>
        </w:tc>
        <w:tc>
          <w:tcPr>
            <w:tcW w:w="1720" w:type="dxa"/>
            <w:vAlign w:val="bottom"/>
            <w:tcBorders>
              <w:right w:val="single" w:sz="8" w:color="7F7F7F"/>
            </w:tcBorders>
          </w:tcPr>
          <w:p>
            <w:pPr>
              <w:spacing w:after="0"/>
              <w:rPr>
                <w:sz w:val="16"/>
                <w:szCs w:val="16"/>
                <w:color w:val="auto"/>
              </w:rPr>
            </w:pPr>
          </w:p>
        </w:tc>
        <w:tc>
          <w:tcPr>
            <w:tcW w:w="680" w:type="dxa"/>
            <w:vAlign w:val="bottom"/>
            <w:tcBorders>
              <w:right w:val="single" w:sz="8" w:color="7F7F7F"/>
            </w:tcBorders>
          </w:tcPr>
          <w:p>
            <w:pPr>
              <w:spacing w:after="0"/>
              <w:rPr>
                <w:sz w:val="16"/>
                <w:szCs w:val="16"/>
                <w:color w:val="auto"/>
              </w:rPr>
            </w:pPr>
          </w:p>
        </w:tc>
        <w:tc>
          <w:tcPr>
            <w:tcW w:w="200" w:type="dxa"/>
            <w:vAlign w:val="bottom"/>
          </w:tcPr>
          <w:p>
            <w:pPr>
              <w:spacing w:after="0"/>
              <w:rPr>
                <w:sz w:val="16"/>
                <w:szCs w:val="16"/>
                <w:color w:val="auto"/>
              </w:rPr>
            </w:pPr>
          </w:p>
        </w:tc>
        <w:tc>
          <w:tcPr>
            <w:tcW w:w="7420" w:type="dxa"/>
            <w:vAlign w:val="bottom"/>
          </w:tcPr>
          <w:p>
            <w:pPr>
              <w:ind w:left="40"/>
              <w:spacing w:after="0"/>
              <w:rPr>
                <w:sz w:val="20"/>
                <w:szCs w:val="20"/>
                <w:color w:val="auto"/>
              </w:rPr>
            </w:pPr>
            <w:r>
              <w:rPr>
                <w:rFonts w:ascii="Arial" w:cs="Arial" w:eastAsia="Arial" w:hAnsi="Arial"/>
                <w:sz w:val="14"/>
                <w:szCs w:val="14"/>
                <w:color w:val="auto"/>
              </w:rPr>
              <w:t>capped</w:t>
            </w:r>
          </w:p>
        </w:tc>
      </w:tr>
      <w:tr>
        <w:trPr>
          <w:trHeight w:val="48"/>
        </w:trPr>
        <w:tc>
          <w:tcPr>
            <w:tcW w:w="900" w:type="dxa"/>
            <w:vAlign w:val="bottom"/>
            <w:tcBorders>
              <w:left w:val="single" w:sz="8" w:color="7F7F7F"/>
              <w:right w:val="single" w:sz="8" w:color="7F7F7F"/>
            </w:tcBorders>
          </w:tcPr>
          <w:p>
            <w:pPr>
              <w:spacing w:after="0"/>
              <w:rPr>
                <w:sz w:val="4"/>
                <w:szCs w:val="4"/>
                <w:color w:val="auto"/>
              </w:rPr>
            </w:pPr>
          </w:p>
        </w:tc>
        <w:tc>
          <w:tcPr>
            <w:tcW w:w="1720" w:type="dxa"/>
            <w:vAlign w:val="bottom"/>
            <w:tcBorders>
              <w:bottom w:val="single" w:sz="8" w:color="7F7F7F"/>
              <w:right w:val="single" w:sz="8" w:color="7F7F7F"/>
            </w:tcBorders>
          </w:tcPr>
          <w:p>
            <w:pPr>
              <w:spacing w:after="0"/>
              <w:rPr>
                <w:sz w:val="4"/>
                <w:szCs w:val="4"/>
                <w:color w:val="auto"/>
              </w:rPr>
            </w:pPr>
          </w:p>
        </w:tc>
        <w:tc>
          <w:tcPr>
            <w:tcW w:w="680" w:type="dxa"/>
            <w:vAlign w:val="bottom"/>
            <w:tcBorders>
              <w:bottom w:val="single" w:sz="8" w:color="7F7F7F"/>
              <w:right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7420" w:type="dxa"/>
            <w:vAlign w:val="bottom"/>
            <w:tcBorders>
              <w:bottom w:val="single" w:sz="8" w:color="7F7F7F"/>
            </w:tcBorders>
          </w:tcPr>
          <w:p>
            <w:pPr>
              <w:spacing w:after="0"/>
              <w:rPr>
                <w:sz w:val="4"/>
                <w:szCs w:val="4"/>
                <w:color w:val="auto"/>
              </w:rPr>
            </w:pPr>
          </w:p>
        </w:tc>
      </w:tr>
      <w:tr>
        <w:trPr>
          <w:trHeight w:val="141"/>
        </w:trPr>
        <w:tc>
          <w:tcPr>
            <w:tcW w:w="900" w:type="dxa"/>
            <w:vAlign w:val="bottom"/>
            <w:tcBorders>
              <w:left w:val="single" w:sz="8" w:color="7F7F7F"/>
              <w:right w:val="single" w:sz="8" w:color="7F7F7F"/>
            </w:tcBorders>
          </w:tcPr>
          <w:p>
            <w:pPr>
              <w:spacing w:after="0"/>
              <w:rPr>
                <w:sz w:val="12"/>
                <w:szCs w:val="12"/>
                <w:color w:val="auto"/>
              </w:rPr>
            </w:pPr>
          </w:p>
        </w:tc>
        <w:tc>
          <w:tcPr>
            <w:tcW w:w="1720" w:type="dxa"/>
            <w:vAlign w:val="bottom"/>
            <w:tcBorders>
              <w:right w:val="single" w:sz="8" w:color="7F7F7F"/>
            </w:tcBorders>
          </w:tcPr>
          <w:p>
            <w:pPr>
              <w:ind w:left="80"/>
              <w:spacing w:after="0" w:line="141" w:lineRule="exact"/>
              <w:rPr>
                <w:sz w:val="20"/>
                <w:szCs w:val="20"/>
                <w:color w:val="auto"/>
              </w:rPr>
            </w:pPr>
            <w:r>
              <w:rPr>
                <w:rFonts w:ascii="Arial" w:cs="Arial" w:eastAsia="Arial" w:hAnsi="Arial"/>
                <w:sz w:val="14"/>
                <w:szCs w:val="14"/>
                <w:b w:val="1"/>
                <w:bCs w:val="1"/>
                <w:color w:val="auto"/>
              </w:rPr>
              <w:t>Long-Term Equity-</w:t>
            </w:r>
          </w:p>
        </w:tc>
        <w:tc>
          <w:tcPr>
            <w:tcW w:w="680" w:type="dxa"/>
            <w:vAlign w:val="bottom"/>
            <w:tcBorders>
              <w:right w:val="single" w:sz="8" w:color="7F7F7F"/>
            </w:tcBorders>
          </w:tcPr>
          <w:p>
            <w:pPr>
              <w:jc w:val="center"/>
              <w:ind w:left="12"/>
              <w:spacing w:after="0" w:line="141" w:lineRule="exact"/>
              <w:rPr>
                <w:sz w:val="20"/>
                <w:szCs w:val="20"/>
                <w:color w:val="auto"/>
              </w:rPr>
            </w:pPr>
            <w:r>
              <w:rPr>
                <w:rFonts w:ascii="Arial" w:cs="Arial" w:eastAsia="Arial" w:hAnsi="Arial"/>
                <w:sz w:val="14"/>
                <w:szCs w:val="14"/>
                <w:color w:val="auto"/>
              </w:rPr>
              <w:t>Equity</w:t>
            </w:r>
          </w:p>
        </w:tc>
        <w:tc>
          <w:tcPr>
            <w:tcW w:w="200" w:type="dxa"/>
            <w:vAlign w:val="bottom"/>
          </w:tcPr>
          <w:p>
            <w:pPr>
              <w:ind w:left="100"/>
              <w:spacing w:after="0" w:line="141" w:lineRule="exact"/>
              <w:rPr>
                <w:sz w:val="20"/>
                <w:szCs w:val="20"/>
                <w:color w:val="auto"/>
              </w:rPr>
            </w:pPr>
            <w:r>
              <w:rPr>
                <w:rFonts w:ascii="Times New Roman" w:cs="Times New Roman" w:eastAsia="Times New Roman" w:hAnsi="Times New Roman"/>
                <w:sz w:val="14"/>
                <w:szCs w:val="14"/>
                <w:color w:val="005CB9"/>
              </w:rPr>
              <w:t>•</w:t>
            </w:r>
          </w:p>
        </w:tc>
        <w:tc>
          <w:tcPr>
            <w:tcW w:w="7420" w:type="dxa"/>
            <w:vAlign w:val="bottom"/>
          </w:tcPr>
          <w:p>
            <w:pPr>
              <w:ind w:left="40"/>
              <w:spacing w:after="0" w:line="141" w:lineRule="exact"/>
              <w:rPr>
                <w:sz w:val="20"/>
                <w:szCs w:val="20"/>
                <w:color w:val="auto"/>
              </w:rPr>
            </w:pPr>
            <w:r>
              <w:rPr>
                <w:rFonts w:ascii="Arial" w:cs="Arial" w:eastAsia="Arial" w:hAnsi="Arial"/>
                <w:sz w:val="14"/>
                <w:szCs w:val="14"/>
                <w:b w:val="1"/>
                <w:bCs w:val="1"/>
                <w:color w:val="auto"/>
              </w:rPr>
              <w:t>Performance-Based Restricted Stock Units (weighted at two-thirds collectively)</w:t>
            </w:r>
          </w:p>
        </w:tc>
      </w:tr>
      <w:tr>
        <w:trPr>
          <w:trHeight w:val="245"/>
        </w:trPr>
        <w:tc>
          <w:tcPr>
            <w:tcW w:w="900" w:type="dxa"/>
            <w:vAlign w:val="bottom"/>
            <w:tcBorders>
              <w:left w:val="single" w:sz="8" w:color="7F7F7F"/>
              <w:right w:val="single" w:sz="8" w:color="7F7F7F"/>
            </w:tcBorders>
          </w:tcPr>
          <w:p>
            <w:pPr>
              <w:spacing w:after="0"/>
              <w:rPr>
                <w:sz w:val="21"/>
                <w:szCs w:val="21"/>
                <w:color w:val="auto"/>
              </w:rPr>
            </w:pPr>
          </w:p>
        </w:tc>
        <w:tc>
          <w:tcPr>
            <w:tcW w:w="1720" w:type="dxa"/>
            <w:vAlign w:val="bottom"/>
            <w:tcBorders>
              <w:right w:val="single" w:sz="8" w:color="7F7F7F"/>
            </w:tcBorders>
          </w:tcPr>
          <w:p>
            <w:pPr>
              <w:ind w:left="80"/>
              <w:spacing w:after="0" w:line="227" w:lineRule="exact"/>
              <w:rPr>
                <w:sz w:val="20"/>
                <w:szCs w:val="20"/>
                <w:color w:val="auto"/>
              </w:rPr>
            </w:pPr>
            <w:r>
              <w:rPr>
                <w:rFonts w:ascii="Arial" w:cs="Arial" w:eastAsia="Arial" w:hAnsi="Arial"/>
                <w:sz w:val="14"/>
                <w:szCs w:val="14"/>
                <w:b w:val="1"/>
                <w:bCs w:val="1"/>
                <w:color w:val="auto"/>
              </w:rPr>
              <w:t>Based Incentives</w:t>
            </w:r>
            <w:r>
              <w:rPr>
                <w:rFonts w:ascii="Arial" w:cs="Arial" w:eastAsia="Arial" w:hAnsi="Arial"/>
                <w:sz w:val="21"/>
                <w:szCs w:val="21"/>
                <w:b w:val="1"/>
                <w:bCs w:val="1"/>
                <w:color w:val="auto"/>
                <w:vertAlign w:val="superscript"/>
              </w:rPr>
              <w:t>(1)</w:t>
            </w:r>
          </w:p>
        </w:tc>
        <w:tc>
          <w:tcPr>
            <w:tcW w:w="680" w:type="dxa"/>
            <w:vAlign w:val="bottom"/>
            <w:tcBorders>
              <w:right w:val="single" w:sz="8" w:color="7F7F7F"/>
            </w:tcBorders>
          </w:tcPr>
          <w:p>
            <w:pPr>
              <w:spacing w:after="0"/>
              <w:rPr>
                <w:sz w:val="21"/>
                <w:szCs w:val="21"/>
                <w:color w:val="auto"/>
              </w:rPr>
            </w:pPr>
          </w:p>
        </w:tc>
        <w:tc>
          <w:tcPr>
            <w:tcW w:w="200" w:type="dxa"/>
            <w:vAlign w:val="bottom"/>
          </w:tcPr>
          <w:p>
            <w:pPr>
              <w:spacing w:after="0"/>
              <w:rPr>
                <w:sz w:val="21"/>
                <w:szCs w:val="21"/>
                <w:color w:val="auto"/>
              </w:rPr>
            </w:pPr>
          </w:p>
        </w:tc>
        <w:tc>
          <w:tcPr>
            <w:tcW w:w="7420" w:type="dxa"/>
            <w:vAlign w:val="bottom"/>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b w:val="1"/>
                <w:bCs w:val="1"/>
                <w:color w:val="000000"/>
              </w:rPr>
              <w:t>Relative TSR Performance-Based Restricted Stock Units (weighted at one-third)</w:t>
            </w:r>
            <w:r>
              <w:rPr>
                <w:rFonts w:ascii="Arial" w:cs="Arial" w:eastAsia="Arial" w:hAnsi="Arial"/>
                <w:sz w:val="14"/>
                <w:szCs w:val="14"/>
                <w:color w:val="000000"/>
              </w:rPr>
              <w:t>: 3-year relative TSR,</w:t>
            </w:r>
          </w:p>
        </w:tc>
      </w:tr>
      <w:tr>
        <w:trPr>
          <w:trHeight w:val="189"/>
        </w:trPr>
        <w:tc>
          <w:tcPr>
            <w:tcW w:w="900" w:type="dxa"/>
            <w:vAlign w:val="bottom"/>
            <w:tcBorders>
              <w:left w:val="single" w:sz="8" w:color="7F7F7F"/>
              <w:right w:val="single" w:sz="8" w:color="7F7F7F"/>
            </w:tcBorders>
          </w:tcPr>
          <w:p>
            <w:pPr>
              <w:spacing w:after="0"/>
              <w:rPr>
                <w:sz w:val="16"/>
                <w:szCs w:val="16"/>
                <w:color w:val="auto"/>
              </w:rPr>
            </w:pPr>
          </w:p>
        </w:tc>
        <w:tc>
          <w:tcPr>
            <w:tcW w:w="1720" w:type="dxa"/>
            <w:vAlign w:val="bottom"/>
            <w:tcBorders>
              <w:right w:val="single" w:sz="8" w:color="7F7F7F"/>
            </w:tcBorders>
          </w:tcPr>
          <w:p>
            <w:pPr>
              <w:spacing w:after="0"/>
              <w:rPr>
                <w:sz w:val="16"/>
                <w:szCs w:val="16"/>
                <w:color w:val="auto"/>
              </w:rPr>
            </w:pPr>
          </w:p>
        </w:tc>
        <w:tc>
          <w:tcPr>
            <w:tcW w:w="680" w:type="dxa"/>
            <w:vAlign w:val="bottom"/>
            <w:tcBorders>
              <w:right w:val="single" w:sz="8" w:color="7F7F7F"/>
            </w:tcBorders>
          </w:tcPr>
          <w:p>
            <w:pPr>
              <w:spacing w:after="0"/>
              <w:rPr>
                <w:sz w:val="16"/>
                <w:szCs w:val="16"/>
                <w:color w:val="auto"/>
              </w:rPr>
            </w:pPr>
          </w:p>
        </w:tc>
        <w:tc>
          <w:tcPr>
            <w:tcW w:w="200" w:type="dxa"/>
            <w:vAlign w:val="bottom"/>
          </w:tcPr>
          <w:p>
            <w:pPr>
              <w:spacing w:after="0"/>
              <w:rPr>
                <w:sz w:val="16"/>
                <w:szCs w:val="16"/>
                <w:color w:val="auto"/>
              </w:rPr>
            </w:pPr>
          </w:p>
        </w:tc>
        <w:tc>
          <w:tcPr>
            <w:tcW w:w="7420" w:type="dxa"/>
            <w:vAlign w:val="bottom"/>
          </w:tcPr>
          <w:p>
            <w:pPr>
              <w:ind w:left="260"/>
              <w:spacing w:after="0"/>
              <w:rPr>
                <w:sz w:val="20"/>
                <w:szCs w:val="20"/>
                <w:color w:val="auto"/>
              </w:rPr>
            </w:pPr>
            <w:r>
              <w:rPr>
                <w:rFonts w:ascii="Arial" w:cs="Arial" w:eastAsia="Arial" w:hAnsi="Arial"/>
                <w:sz w:val="14"/>
                <w:szCs w:val="14"/>
                <w:color w:val="auto"/>
              </w:rPr>
              <w:t>allocated as follows:</w:t>
            </w:r>
          </w:p>
        </w:tc>
      </w:tr>
      <w:tr>
        <w:trPr>
          <w:trHeight w:val="208"/>
        </w:trPr>
        <w:tc>
          <w:tcPr>
            <w:tcW w:w="900" w:type="dxa"/>
            <w:vAlign w:val="bottom"/>
            <w:tcBorders>
              <w:left w:val="single" w:sz="8" w:color="7F7F7F"/>
              <w:right w:val="single" w:sz="8" w:color="7F7F7F"/>
            </w:tcBorders>
          </w:tcPr>
          <w:p>
            <w:pPr>
              <w:spacing w:after="0"/>
              <w:rPr>
                <w:sz w:val="18"/>
                <w:szCs w:val="18"/>
                <w:color w:val="auto"/>
              </w:rPr>
            </w:pPr>
          </w:p>
        </w:tc>
        <w:tc>
          <w:tcPr>
            <w:tcW w:w="1720" w:type="dxa"/>
            <w:vAlign w:val="bottom"/>
            <w:tcBorders>
              <w:right w:val="single" w:sz="8" w:color="7F7F7F"/>
            </w:tcBorders>
          </w:tcPr>
          <w:p>
            <w:pPr>
              <w:spacing w:after="0"/>
              <w:rPr>
                <w:sz w:val="18"/>
                <w:szCs w:val="18"/>
                <w:color w:val="auto"/>
              </w:rPr>
            </w:pPr>
          </w:p>
        </w:tc>
        <w:tc>
          <w:tcPr>
            <w:tcW w:w="680" w:type="dxa"/>
            <w:vAlign w:val="bottom"/>
            <w:tcBorders>
              <w:right w:val="single" w:sz="8" w:color="7F7F7F"/>
            </w:tcBorders>
          </w:tcPr>
          <w:p>
            <w:pPr>
              <w:spacing w:after="0"/>
              <w:rPr>
                <w:sz w:val="18"/>
                <w:szCs w:val="18"/>
                <w:color w:val="auto"/>
              </w:rPr>
            </w:pPr>
          </w:p>
        </w:tc>
        <w:tc>
          <w:tcPr>
            <w:tcW w:w="200" w:type="dxa"/>
            <w:vAlign w:val="bottom"/>
          </w:tcPr>
          <w:p>
            <w:pPr>
              <w:spacing w:after="0"/>
              <w:rPr>
                <w:sz w:val="18"/>
                <w:szCs w:val="18"/>
                <w:color w:val="auto"/>
              </w:rPr>
            </w:pPr>
          </w:p>
        </w:tc>
        <w:tc>
          <w:tcPr>
            <w:tcW w:w="7420" w:type="dxa"/>
            <w:vAlign w:val="bottom"/>
          </w:tcPr>
          <w:p>
            <w:pPr>
              <w:ind w:left="240"/>
              <w:spacing w:after="0" w:line="208" w:lineRule="exact"/>
              <w:rPr>
                <w:sz w:val="20"/>
                <w:szCs w:val="20"/>
                <w:color w:val="auto"/>
              </w:rPr>
            </w:pPr>
            <w:r>
              <w:rPr>
                <w:rFonts w:ascii="Arial" w:cs="Arial" w:eastAsia="Arial" w:hAnsi="Arial"/>
                <w:sz w:val="14"/>
                <w:szCs w:val="14"/>
                <w:color w:val="auto"/>
              </w:rPr>
              <w:t>–  70% relative TSR measured against S&amp;P 500 Utilities Index; maximum payout requires performance at 90</w:t>
            </w:r>
            <w:r>
              <w:rPr>
                <w:rFonts w:ascii="Arial" w:cs="Arial" w:eastAsia="Arial" w:hAnsi="Arial"/>
                <w:sz w:val="21"/>
                <w:szCs w:val="21"/>
                <w:color w:val="auto"/>
                <w:vertAlign w:val="superscript"/>
              </w:rPr>
              <w:t>th</w:t>
            </w:r>
          </w:p>
        </w:tc>
      </w:tr>
      <w:tr>
        <w:trPr>
          <w:trHeight w:val="241"/>
        </w:trPr>
        <w:tc>
          <w:tcPr>
            <w:tcW w:w="900" w:type="dxa"/>
            <w:vAlign w:val="bottom"/>
            <w:tcBorders>
              <w:left w:val="single" w:sz="8" w:color="7F7F7F"/>
              <w:right w:val="single" w:sz="8" w:color="7F7F7F"/>
            </w:tcBorders>
          </w:tcPr>
          <w:p>
            <w:pPr>
              <w:ind w:left="240"/>
              <w:spacing w:after="0"/>
              <w:rPr>
                <w:sz w:val="20"/>
                <w:szCs w:val="20"/>
                <w:color w:val="auto"/>
              </w:rPr>
            </w:pPr>
            <w:r>
              <w:rPr>
                <w:rFonts w:ascii="Arial" w:cs="Arial" w:eastAsia="Arial" w:hAnsi="Arial"/>
                <w:sz w:val="14"/>
                <w:szCs w:val="14"/>
                <w:b w:val="1"/>
                <w:bCs w:val="1"/>
                <w:color w:val="auto"/>
              </w:rPr>
              <w:t>Variable</w:t>
            </w:r>
          </w:p>
        </w:tc>
        <w:tc>
          <w:tcPr>
            <w:tcW w:w="1720" w:type="dxa"/>
            <w:vAlign w:val="bottom"/>
            <w:tcBorders>
              <w:right w:val="single" w:sz="8" w:color="7F7F7F"/>
            </w:tcBorders>
          </w:tcPr>
          <w:p>
            <w:pPr>
              <w:spacing w:after="0"/>
              <w:rPr>
                <w:sz w:val="20"/>
                <w:szCs w:val="20"/>
                <w:color w:val="auto"/>
              </w:rPr>
            </w:pPr>
          </w:p>
        </w:tc>
        <w:tc>
          <w:tcPr>
            <w:tcW w:w="680" w:type="dxa"/>
            <w:vAlign w:val="bottom"/>
            <w:tcBorders>
              <w:right w:val="single" w:sz="8" w:color="7F7F7F"/>
            </w:tcBorders>
          </w:tcPr>
          <w:p>
            <w:pPr>
              <w:spacing w:after="0"/>
              <w:rPr>
                <w:sz w:val="20"/>
                <w:szCs w:val="20"/>
                <w:color w:val="auto"/>
              </w:rPr>
            </w:pPr>
          </w:p>
        </w:tc>
        <w:tc>
          <w:tcPr>
            <w:tcW w:w="200" w:type="dxa"/>
            <w:vAlign w:val="bottom"/>
          </w:tcPr>
          <w:p>
            <w:pPr>
              <w:spacing w:after="0"/>
              <w:rPr>
                <w:sz w:val="20"/>
                <w:szCs w:val="20"/>
                <w:color w:val="auto"/>
              </w:rPr>
            </w:pPr>
          </w:p>
        </w:tc>
        <w:tc>
          <w:tcPr>
            <w:tcW w:w="7420" w:type="dxa"/>
            <w:vAlign w:val="bottom"/>
          </w:tcPr>
          <w:p>
            <w:pPr>
              <w:ind w:left="400"/>
              <w:spacing w:after="0"/>
              <w:rPr>
                <w:sz w:val="20"/>
                <w:szCs w:val="20"/>
                <w:color w:val="auto"/>
              </w:rPr>
            </w:pPr>
            <w:r>
              <w:rPr>
                <w:rFonts w:ascii="Arial" w:cs="Arial" w:eastAsia="Arial" w:hAnsi="Arial"/>
                <w:sz w:val="14"/>
                <w:szCs w:val="14"/>
                <w:color w:val="auto"/>
              </w:rPr>
              <w:t>percentile of S&amp;P 500 Utilities Index peers</w:t>
            </w:r>
            <w:r>
              <w:rPr>
                <w:rFonts w:ascii="Arial" w:cs="Arial" w:eastAsia="Arial" w:hAnsi="Arial"/>
                <w:sz w:val="21"/>
                <w:szCs w:val="21"/>
                <w:color w:val="auto"/>
                <w:vertAlign w:val="superscript"/>
              </w:rPr>
              <w:t>(2)</w:t>
            </w:r>
          </w:p>
        </w:tc>
      </w:tr>
      <w:tr>
        <w:trPr>
          <w:trHeight w:val="164"/>
        </w:trPr>
        <w:tc>
          <w:tcPr>
            <w:tcW w:w="900" w:type="dxa"/>
            <w:vAlign w:val="bottom"/>
            <w:tcBorders>
              <w:left w:val="single" w:sz="8" w:color="7F7F7F"/>
              <w:right w:val="single" w:sz="8" w:color="7F7F7F"/>
            </w:tcBorders>
          </w:tcPr>
          <w:p>
            <w:pPr>
              <w:spacing w:after="0"/>
              <w:rPr>
                <w:sz w:val="14"/>
                <w:szCs w:val="14"/>
                <w:color w:val="auto"/>
              </w:rPr>
            </w:pPr>
          </w:p>
        </w:tc>
        <w:tc>
          <w:tcPr>
            <w:tcW w:w="1720" w:type="dxa"/>
            <w:vAlign w:val="bottom"/>
            <w:tcBorders>
              <w:right w:val="single" w:sz="8" w:color="7F7F7F"/>
            </w:tcBorders>
          </w:tcPr>
          <w:p>
            <w:pPr>
              <w:spacing w:after="0"/>
              <w:rPr>
                <w:sz w:val="14"/>
                <w:szCs w:val="14"/>
                <w:color w:val="auto"/>
              </w:rPr>
            </w:pPr>
          </w:p>
        </w:tc>
        <w:tc>
          <w:tcPr>
            <w:tcW w:w="680" w:type="dxa"/>
            <w:vAlign w:val="bottom"/>
            <w:tcBorders>
              <w:right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420" w:type="dxa"/>
            <w:vAlign w:val="bottom"/>
          </w:tcPr>
          <w:p>
            <w:pPr>
              <w:ind w:left="240"/>
              <w:spacing w:after="0" w:line="164" w:lineRule="exact"/>
              <w:rPr>
                <w:sz w:val="20"/>
                <w:szCs w:val="20"/>
                <w:color w:val="auto"/>
              </w:rPr>
            </w:pPr>
            <w:r>
              <w:rPr>
                <w:rFonts w:ascii="Arial" w:cs="Arial" w:eastAsia="Arial" w:hAnsi="Arial"/>
                <w:sz w:val="13"/>
                <w:szCs w:val="13"/>
                <w:color w:val="auto"/>
              </w:rPr>
              <w:t>–  30% relative TSR measured against S&amp;P 500 Index; maximum payout requires performance at 90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percentile</w:t>
            </w:r>
          </w:p>
        </w:tc>
      </w:tr>
      <w:tr>
        <w:trPr>
          <w:trHeight w:val="189"/>
        </w:trPr>
        <w:tc>
          <w:tcPr>
            <w:tcW w:w="900" w:type="dxa"/>
            <w:vAlign w:val="bottom"/>
            <w:tcBorders>
              <w:left w:val="single" w:sz="8" w:color="7F7F7F"/>
              <w:right w:val="single" w:sz="8" w:color="7F7F7F"/>
            </w:tcBorders>
          </w:tcPr>
          <w:p>
            <w:pPr>
              <w:spacing w:after="0"/>
              <w:rPr>
                <w:sz w:val="16"/>
                <w:szCs w:val="16"/>
                <w:color w:val="auto"/>
              </w:rPr>
            </w:pPr>
          </w:p>
        </w:tc>
        <w:tc>
          <w:tcPr>
            <w:tcW w:w="1720" w:type="dxa"/>
            <w:vAlign w:val="bottom"/>
            <w:tcBorders>
              <w:right w:val="single" w:sz="8" w:color="7F7F7F"/>
            </w:tcBorders>
          </w:tcPr>
          <w:p>
            <w:pPr>
              <w:spacing w:after="0"/>
              <w:rPr>
                <w:sz w:val="16"/>
                <w:szCs w:val="16"/>
                <w:color w:val="auto"/>
              </w:rPr>
            </w:pPr>
          </w:p>
        </w:tc>
        <w:tc>
          <w:tcPr>
            <w:tcW w:w="680" w:type="dxa"/>
            <w:vAlign w:val="bottom"/>
            <w:tcBorders>
              <w:right w:val="single" w:sz="8" w:color="7F7F7F"/>
            </w:tcBorders>
          </w:tcPr>
          <w:p>
            <w:pPr>
              <w:spacing w:after="0"/>
              <w:rPr>
                <w:sz w:val="16"/>
                <w:szCs w:val="16"/>
                <w:color w:val="auto"/>
              </w:rPr>
            </w:pPr>
          </w:p>
        </w:tc>
        <w:tc>
          <w:tcPr>
            <w:tcW w:w="200" w:type="dxa"/>
            <w:vAlign w:val="bottom"/>
          </w:tcPr>
          <w:p>
            <w:pPr>
              <w:spacing w:after="0"/>
              <w:rPr>
                <w:sz w:val="16"/>
                <w:szCs w:val="16"/>
                <w:color w:val="auto"/>
              </w:rPr>
            </w:pPr>
          </w:p>
        </w:tc>
        <w:tc>
          <w:tcPr>
            <w:tcW w:w="7420" w:type="dxa"/>
            <w:vAlign w:val="bottom"/>
          </w:tcPr>
          <w:p>
            <w:pPr>
              <w:ind w:left="400"/>
              <w:spacing w:after="0"/>
              <w:rPr>
                <w:sz w:val="20"/>
                <w:szCs w:val="20"/>
                <w:color w:val="auto"/>
              </w:rPr>
            </w:pPr>
            <w:r>
              <w:rPr>
                <w:rFonts w:ascii="Arial" w:cs="Arial" w:eastAsia="Arial" w:hAnsi="Arial"/>
                <w:sz w:val="14"/>
                <w:szCs w:val="14"/>
                <w:color w:val="auto"/>
              </w:rPr>
              <w:t>of S&amp;P 500 Index peers</w:t>
            </w:r>
          </w:p>
        </w:tc>
      </w:tr>
      <w:tr>
        <w:trPr>
          <w:trHeight w:val="212"/>
        </w:trPr>
        <w:tc>
          <w:tcPr>
            <w:tcW w:w="900" w:type="dxa"/>
            <w:vAlign w:val="bottom"/>
            <w:tcBorders>
              <w:left w:val="single" w:sz="8" w:color="7F7F7F"/>
              <w:right w:val="single" w:sz="8" w:color="7F7F7F"/>
            </w:tcBorders>
          </w:tcPr>
          <w:p>
            <w:pPr>
              <w:spacing w:after="0"/>
              <w:rPr>
                <w:sz w:val="18"/>
                <w:szCs w:val="18"/>
                <w:color w:val="auto"/>
              </w:rPr>
            </w:pPr>
          </w:p>
        </w:tc>
        <w:tc>
          <w:tcPr>
            <w:tcW w:w="1720" w:type="dxa"/>
            <w:vAlign w:val="bottom"/>
            <w:tcBorders>
              <w:right w:val="single" w:sz="8" w:color="7F7F7F"/>
            </w:tcBorders>
          </w:tcPr>
          <w:p>
            <w:pPr>
              <w:spacing w:after="0"/>
              <w:rPr>
                <w:sz w:val="18"/>
                <w:szCs w:val="18"/>
                <w:color w:val="auto"/>
              </w:rPr>
            </w:pPr>
          </w:p>
        </w:tc>
        <w:tc>
          <w:tcPr>
            <w:tcW w:w="680" w:type="dxa"/>
            <w:vAlign w:val="bottom"/>
            <w:tcBorders>
              <w:right w:val="single" w:sz="8" w:color="7F7F7F"/>
            </w:tcBorders>
          </w:tcPr>
          <w:p>
            <w:pPr>
              <w:spacing w:after="0"/>
              <w:rPr>
                <w:sz w:val="18"/>
                <w:szCs w:val="18"/>
                <w:color w:val="auto"/>
              </w:rPr>
            </w:pPr>
          </w:p>
        </w:tc>
        <w:tc>
          <w:tcPr>
            <w:tcW w:w="200" w:type="dxa"/>
            <w:vAlign w:val="bottom"/>
          </w:tcPr>
          <w:p>
            <w:pPr>
              <w:spacing w:after="0"/>
              <w:rPr>
                <w:sz w:val="18"/>
                <w:szCs w:val="18"/>
                <w:color w:val="auto"/>
              </w:rPr>
            </w:pPr>
          </w:p>
        </w:tc>
        <w:tc>
          <w:tcPr>
            <w:tcW w:w="7420" w:type="dxa"/>
            <w:vAlign w:val="bottom"/>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b w:val="1"/>
                <w:bCs w:val="1"/>
                <w:color w:val="000000"/>
              </w:rPr>
              <w:t>EPS Growth Performance-Based Restricted Stock Units (weighted at one-third)</w:t>
            </w:r>
            <w:r>
              <w:rPr>
                <w:rFonts w:ascii="Arial" w:cs="Arial" w:eastAsia="Arial" w:hAnsi="Arial"/>
                <w:sz w:val="14"/>
                <w:szCs w:val="14"/>
                <w:color w:val="000000"/>
              </w:rPr>
              <w:t>: 3-year adjusted EPS</w:t>
            </w:r>
          </w:p>
        </w:tc>
      </w:tr>
      <w:tr>
        <w:trPr>
          <w:trHeight w:val="157"/>
        </w:trPr>
        <w:tc>
          <w:tcPr>
            <w:tcW w:w="900" w:type="dxa"/>
            <w:vAlign w:val="bottom"/>
            <w:tcBorders>
              <w:left w:val="single" w:sz="8" w:color="7F7F7F"/>
              <w:right w:val="single" w:sz="8" w:color="7F7F7F"/>
            </w:tcBorders>
          </w:tcPr>
          <w:p>
            <w:pPr>
              <w:spacing w:after="0"/>
              <w:rPr>
                <w:sz w:val="13"/>
                <w:szCs w:val="13"/>
                <w:color w:val="auto"/>
              </w:rPr>
            </w:pPr>
          </w:p>
        </w:tc>
        <w:tc>
          <w:tcPr>
            <w:tcW w:w="1720" w:type="dxa"/>
            <w:vAlign w:val="bottom"/>
            <w:tcBorders>
              <w:right w:val="single" w:sz="8" w:color="7F7F7F"/>
            </w:tcBorders>
          </w:tcPr>
          <w:p>
            <w:pPr>
              <w:spacing w:after="0"/>
              <w:rPr>
                <w:sz w:val="13"/>
                <w:szCs w:val="13"/>
                <w:color w:val="auto"/>
              </w:rPr>
            </w:pPr>
          </w:p>
        </w:tc>
        <w:tc>
          <w:tcPr>
            <w:tcW w:w="680" w:type="dxa"/>
            <w:vAlign w:val="bottom"/>
            <w:tcBorders>
              <w:right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420" w:type="dxa"/>
            <w:vAlign w:val="bottom"/>
          </w:tcPr>
          <w:p>
            <w:pPr>
              <w:ind w:left="260"/>
              <w:spacing w:after="0" w:line="157" w:lineRule="exact"/>
              <w:rPr>
                <w:sz w:val="20"/>
                <w:szCs w:val="20"/>
                <w:color w:val="auto"/>
              </w:rPr>
            </w:pPr>
            <w:r>
              <w:rPr>
                <w:rFonts w:ascii="Arial" w:cs="Arial" w:eastAsia="Arial" w:hAnsi="Arial"/>
                <w:sz w:val="14"/>
                <w:szCs w:val="14"/>
                <w:color w:val="auto"/>
              </w:rPr>
              <w:t>CAGR relative to the 3-year adjusted EPS CAGRs of S&amp;P 500 Utilities Index peers; maximum payout requires</w:t>
            </w:r>
          </w:p>
        </w:tc>
      </w:tr>
      <w:tr>
        <w:trPr>
          <w:trHeight w:val="245"/>
        </w:trPr>
        <w:tc>
          <w:tcPr>
            <w:tcW w:w="900" w:type="dxa"/>
            <w:vAlign w:val="bottom"/>
            <w:tcBorders>
              <w:left w:val="single" w:sz="8" w:color="7F7F7F"/>
              <w:right w:val="single" w:sz="8" w:color="7F7F7F"/>
            </w:tcBorders>
          </w:tcPr>
          <w:p>
            <w:pPr>
              <w:spacing w:after="0"/>
              <w:rPr>
                <w:sz w:val="21"/>
                <w:szCs w:val="21"/>
                <w:color w:val="auto"/>
              </w:rPr>
            </w:pPr>
          </w:p>
        </w:tc>
        <w:tc>
          <w:tcPr>
            <w:tcW w:w="1720" w:type="dxa"/>
            <w:vAlign w:val="bottom"/>
            <w:tcBorders>
              <w:right w:val="single" w:sz="8" w:color="7F7F7F"/>
            </w:tcBorders>
          </w:tcPr>
          <w:p>
            <w:pPr>
              <w:spacing w:after="0"/>
              <w:rPr>
                <w:sz w:val="21"/>
                <w:szCs w:val="21"/>
                <w:color w:val="auto"/>
              </w:rPr>
            </w:pPr>
          </w:p>
        </w:tc>
        <w:tc>
          <w:tcPr>
            <w:tcW w:w="680" w:type="dxa"/>
            <w:vAlign w:val="bottom"/>
            <w:tcBorders>
              <w:right w:val="single" w:sz="8" w:color="7F7F7F"/>
            </w:tcBorders>
          </w:tcPr>
          <w:p>
            <w:pPr>
              <w:spacing w:after="0"/>
              <w:rPr>
                <w:sz w:val="21"/>
                <w:szCs w:val="21"/>
                <w:color w:val="auto"/>
              </w:rPr>
            </w:pPr>
          </w:p>
        </w:tc>
        <w:tc>
          <w:tcPr>
            <w:tcW w:w="200" w:type="dxa"/>
            <w:vAlign w:val="bottom"/>
          </w:tcPr>
          <w:p>
            <w:pPr>
              <w:spacing w:after="0"/>
              <w:rPr>
                <w:sz w:val="21"/>
                <w:szCs w:val="21"/>
                <w:color w:val="auto"/>
              </w:rPr>
            </w:pPr>
          </w:p>
        </w:tc>
        <w:tc>
          <w:tcPr>
            <w:tcW w:w="7420" w:type="dxa"/>
            <w:vAlign w:val="bottom"/>
          </w:tcPr>
          <w:p>
            <w:pPr>
              <w:ind w:left="260"/>
              <w:spacing w:after="0"/>
              <w:rPr>
                <w:sz w:val="20"/>
                <w:szCs w:val="20"/>
                <w:color w:val="auto"/>
              </w:rPr>
            </w:pPr>
            <w:r>
              <w:rPr>
                <w:rFonts w:ascii="Arial" w:cs="Arial" w:eastAsia="Arial" w:hAnsi="Arial"/>
                <w:sz w:val="14"/>
                <w:szCs w:val="14"/>
                <w:color w:val="auto"/>
              </w:rPr>
              <w:t>performance at the 90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r>
      <w:tr>
        <w:trPr>
          <w:trHeight w:val="189"/>
        </w:trPr>
        <w:tc>
          <w:tcPr>
            <w:tcW w:w="900" w:type="dxa"/>
            <w:vAlign w:val="bottom"/>
            <w:tcBorders>
              <w:left w:val="single" w:sz="8" w:color="7F7F7F"/>
              <w:right w:val="single" w:sz="8" w:color="7F7F7F"/>
            </w:tcBorders>
          </w:tcPr>
          <w:p>
            <w:pPr>
              <w:spacing w:after="0"/>
              <w:rPr>
                <w:sz w:val="16"/>
                <w:szCs w:val="16"/>
                <w:color w:val="auto"/>
              </w:rPr>
            </w:pPr>
          </w:p>
        </w:tc>
        <w:tc>
          <w:tcPr>
            <w:tcW w:w="1720" w:type="dxa"/>
            <w:vAlign w:val="bottom"/>
            <w:tcBorders>
              <w:right w:val="single" w:sz="8" w:color="7F7F7F"/>
            </w:tcBorders>
          </w:tcPr>
          <w:p>
            <w:pPr>
              <w:spacing w:after="0"/>
              <w:rPr>
                <w:sz w:val="16"/>
                <w:szCs w:val="16"/>
                <w:color w:val="auto"/>
              </w:rPr>
            </w:pPr>
          </w:p>
        </w:tc>
        <w:tc>
          <w:tcPr>
            <w:tcW w:w="680" w:type="dxa"/>
            <w:vAlign w:val="bottom"/>
            <w:tcBorders>
              <w:right w:val="single" w:sz="8" w:color="7F7F7F"/>
            </w:tcBorders>
          </w:tcPr>
          <w:p>
            <w:pPr>
              <w:spacing w:after="0"/>
              <w:rPr>
                <w:sz w:val="16"/>
                <w:szCs w:val="16"/>
                <w:color w:val="auto"/>
              </w:rPr>
            </w:pPr>
          </w:p>
        </w:tc>
        <w:tc>
          <w:tcPr>
            <w:tcW w:w="200" w:type="dxa"/>
            <w:vAlign w:val="bottom"/>
          </w:tcPr>
          <w:p>
            <w:pPr>
              <w:spacing w:after="0"/>
              <w:rPr>
                <w:sz w:val="16"/>
                <w:szCs w:val="16"/>
                <w:color w:val="auto"/>
              </w:rPr>
            </w:pPr>
          </w:p>
        </w:tc>
        <w:tc>
          <w:tcPr>
            <w:tcW w:w="7420" w:type="dxa"/>
            <w:vAlign w:val="bottom"/>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3-year performance period for each performance measure</w:t>
            </w:r>
          </w:p>
        </w:tc>
      </w:tr>
      <w:tr>
        <w:trPr>
          <w:trHeight w:val="241"/>
        </w:trPr>
        <w:tc>
          <w:tcPr>
            <w:tcW w:w="900" w:type="dxa"/>
            <w:vAlign w:val="bottom"/>
            <w:tcBorders>
              <w:left w:val="single" w:sz="8" w:color="7F7F7F"/>
              <w:right w:val="single" w:sz="8" w:color="7F7F7F"/>
            </w:tcBorders>
          </w:tcPr>
          <w:p>
            <w:pPr>
              <w:spacing w:after="0"/>
              <w:rPr>
                <w:sz w:val="20"/>
                <w:szCs w:val="20"/>
                <w:color w:val="auto"/>
              </w:rPr>
            </w:pPr>
          </w:p>
        </w:tc>
        <w:tc>
          <w:tcPr>
            <w:tcW w:w="1720" w:type="dxa"/>
            <w:vAlign w:val="bottom"/>
            <w:tcBorders>
              <w:right w:val="single" w:sz="8" w:color="7F7F7F"/>
            </w:tcBorders>
          </w:tcPr>
          <w:p>
            <w:pPr>
              <w:spacing w:after="0"/>
              <w:rPr>
                <w:sz w:val="20"/>
                <w:szCs w:val="20"/>
                <w:color w:val="auto"/>
              </w:rPr>
            </w:pPr>
          </w:p>
        </w:tc>
        <w:tc>
          <w:tcPr>
            <w:tcW w:w="680" w:type="dxa"/>
            <w:vAlign w:val="bottom"/>
            <w:tcBorders>
              <w:right w:val="single" w:sz="8" w:color="7F7F7F"/>
            </w:tcBorders>
          </w:tcPr>
          <w:p>
            <w:pPr>
              <w:spacing w:after="0"/>
              <w:rPr>
                <w:sz w:val="20"/>
                <w:szCs w:val="20"/>
                <w:color w:val="auto"/>
              </w:rPr>
            </w:pPr>
          </w:p>
        </w:tc>
        <w:tc>
          <w:tcPr>
            <w:tcW w:w="200" w:type="dxa"/>
            <w:vAlign w:val="bottom"/>
          </w:tcPr>
          <w:p>
            <w:pPr>
              <w:spacing w:after="0"/>
              <w:rPr>
                <w:sz w:val="20"/>
                <w:szCs w:val="20"/>
                <w:color w:val="auto"/>
              </w:rPr>
            </w:pPr>
          </w:p>
        </w:tc>
        <w:tc>
          <w:tcPr>
            <w:tcW w:w="7420" w:type="dxa"/>
            <w:vAlign w:val="bottom"/>
          </w:tcPr>
          <w:p>
            <w:pPr>
              <w:ind w:left="10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For all of our performance-based restricted stock unit awards, performance below threshold results in zero payout</w:t>
            </w:r>
          </w:p>
        </w:tc>
      </w:tr>
      <w:tr>
        <w:trPr>
          <w:trHeight w:val="247"/>
        </w:trPr>
        <w:tc>
          <w:tcPr>
            <w:tcW w:w="900" w:type="dxa"/>
            <w:vAlign w:val="bottom"/>
            <w:tcBorders>
              <w:left w:val="single" w:sz="8" w:color="7F7F7F"/>
              <w:right w:val="single" w:sz="8" w:color="7F7F7F"/>
            </w:tcBorders>
          </w:tcPr>
          <w:p>
            <w:pPr>
              <w:spacing w:after="0"/>
              <w:rPr>
                <w:sz w:val="21"/>
                <w:szCs w:val="21"/>
                <w:color w:val="auto"/>
              </w:rPr>
            </w:pPr>
          </w:p>
        </w:tc>
        <w:tc>
          <w:tcPr>
            <w:tcW w:w="1720" w:type="dxa"/>
            <w:vAlign w:val="bottom"/>
            <w:tcBorders>
              <w:right w:val="single" w:sz="8" w:color="7F7F7F"/>
            </w:tcBorders>
          </w:tcPr>
          <w:p>
            <w:pPr>
              <w:spacing w:after="0"/>
              <w:rPr>
                <w:sz w:val="21"/>
                <w:szCs w:val="21"/>
                <w:color w:val="auto"/>
              </w:rPr>
            </w:pPr>
          </w:p>
        </w:tc>
        <w:tc>
          <w:tcPr>
            <w:tcW w:w="680" w:type="dxa"/>
            <w:vAlign w:val="bottom"/>
            <w:tcBorders>
              <w:right w:val="single" w:sz="8" w:color="7F7F7F"/>
            </w:tcBorders>
          </w:tcPr>
          <w:p>
            <w:pPr>
              <w:spacing w:after="0"/>
              <w:rPr>
                <w:sz w:val="21"/>
                <w:szCs w:val="21"/>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color w:val="005CB9"/>
              </w:rPr>
              <w:t>•</w:t>
            </w:r>
          </w:p>
        </w:tc>
        <w:tc>
          <w:tcPr>
            <w:tcW w:w="7420" w:type="dxa"/>
            <w:vAlign w:val="bottom"/>
          </w:tcPr>
          <w:p>
            <w:pPr>
              <w:ind w:left="40"/>
              <w:spacing w:after="0"/>
              <w:rPr>
                <w:sz w:val="20"/>
                <w:szCs w:val="20"/>
                <w:color w:val="auto"/>
              </w:rPr>
            </w:pPr>
            <w:r>
              <w:rPr>
                <w:rFonts w:ascii="Arial" w:cs="Arial" w:eastAsia="Arial" w:hAnsi="Arial"/>
                <w:sz w:val="14"/>
                <w:szCs w:val="14"/>
                <w:b w:val="1"/>
                <w:bCs w:val="1"/>
                <w:color w:val="auto"/>
              </w:rPr>
              <w:t>Stock Options or Service-Based Restricted Stock Units (weighted at one-third)</w:t>
            </w:r>
            <w:r>
              <w:rPr>
                <w:rFonts w:ascii="Arial" w:cs="Arial" w:eastAsia="Arial" w:hAnsi="Arial"/>
                <w:sz w:val="14"/>
                <w:szCs w:val="14"/>
                <w:color w:val="auto"/>
              </w:rPr>
              <w:t>:</w:t>
            </w:r>
            <w:r>
              <w:rPr>
                <w:rFonts w:ascii="Arial" w:cs="Arial" w:eastAsia="Arial" w:hAnsi="Arial"/>
                <w:sz w:val="8"/>
                <w:szCs w:val="8"/>
                <w:b w:val="1"/>
                <w:bCs w:val="1"/>
                <w:color w:val="auto"/>
              </w:rPr>
              <w:t>(3)</w:t>
            </w:r>
            <w:r>
              <w:rPr>
                <w:rFonts w:ascii="Arial" w:cs="Arial" w:eastAsia="Arial" w:hAnsi="Arial"/>
                <w:sz w:val="14"/>
                <w:szCs w:val="14"/>
                <w:b w:val="1"/>
                <w:bCs w:val="1"/>
                <w:color w:val="auto"/>
              </w:rPr>
              <w:t xml:space="preserve"> </w:t>
            </w:r>
            <w:r>
              <w:rPr>
                <w:rFonts w:ascii="Arial" w:cs="Arial" w:eastAsia="Arial" w:hAnsi="Arial"/>
                <w:sz w:val="8"/>
                <w:szCs w:val="8"/>
                <w:color w:val="auto"/>
              </w:rPr>
              <w:t>Vest ratably over three years</w:t>
            </w:r>
          </w:p>
        </w:tc>
      </w:tr>
      <w:tr>
        <w:trPr>
          <w:trHeight w:val="42"/>
        </w:trPr>
        <w:tc>
          <w:tcPr>
            <w:tcW w:w="900" w:type="dxa"/>
            <w:vAlign w:val="bottom"/>
            <w:tcBorders>
              <w:left w:val="single" w:sz="8" w:color="7F7F7F"/>
              <w:bottom w:val="single" w:sz="8" w:color="7F7F7F"/>
              <w:right w:val="single" w:sz="8" w:color="7F7F7F"/>
            </w:tcBorders>
          </w:tcPr>
          <w:p>
            <w:pPr>
              <w:spacing w:after="0"/>
              <w:rPr>
                <w:sz w:val="3"/>
                <w:szCs w:val="3"/>
                <w:color w:val="auto"/>
              </w:rPr>
            </w:pPr>
          </w:p>
        </w:tc>
        <w:tc>
          <w:tcPr>
            <w:tcW w:w="1720" w:type="dxa"/>
            <w:vAlign w:val="bottom"/>
            <w:tcBorders>
              <w:bottom w:val="single" w:sz="8" w:color="7F7F7F"/>
              <w:right w:val="single" w:sz="8" w:color="7F7F7F"/>
            </w:tcBorders>
          </w:tcPr>
          <w:p>
            <w:pPr>
              <w:spacing w:after="0"/>
              <w:rPr>
                <w:sz w:val="3"/>
                <w:szCs w:val="3"/>
                <w:color w:val="auto"/>
              </w:rPr>
            </w:pPr>
          </w:p>
        </w:tc>
        <w:tc>
          <w:tcPr>
            <w:tcW w:w="680" w:type="dxa"/>
            <w:vAlign w:val="bottom"/>
            <w:tcBorders>
              <w:bottom w:val="single" w:sz="8" w:color="7F7F7F"/>
              <w:right w:val="single" w:sz="8" w:color="7F7F7F"/>
            </w:tcBorders>
          </w:tcPr>
          <w:p>
            <w:pPr>
              <w:spacing w:after="0"/>
              <w:rPr>
                <w:sz w:val="3"/>
                <w:szCs w:val="3"/>
                <w:color w:val="auto"/>
              </w:rPr>
            </w:pPr>
          </w:p>
        </w:tc>
        <w:tc>
          <w:tcPr>
            <w:tcW w:w="200" w:type="dxa"/>
            <w:vAlign w:val="bottom"/>
            <w:tcBorders>
              <w:bottom w:val="single" w:sz="8" w:color="7F7F7F"/>
            </w:tcBorders>
          </w:tcPr>
          <w:p>
            <w:pPr>
              <w:spacing w:after="0"/>
              <w:rPr>
                <w:sz w:val="3"/>
                <w:szCs w:val="3"/>
                <w:color w:val="auto"/>
              </w:rPr>
            </w:pPr>
          </w:p>
        </w:tc>
        <w:tc>
          <w:tcPr>
            <w:tcW w:w="7420" w:type="dxa"/>
            <w:vAlign w:val="bottom"/>
            <w:tcBorders>
              <w:bottom w:val="single" w:sz="8" w:color="7F7F7F"/>
            </w:tcBorders>
          </w:tcPr>
          <w:p>
            <w:pPr>
              <w:spacing w:after="0"/>
              <w:rPr>
                <w:sz w:val="3"/>
                <w:szCs w:val="3"/>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3</w:t>
      </w:r>
    </w:p>
    <w:p>
      <w:pPr>
        <w:spacing w:after="0" w:line="36" w:lineRule="exact"/>
        <w:rPr>
          <w:sz w:val="20"/>
          <w:szCs w:val="20"/>
          <w:color w:val="auto"/>
        </w:rPr>
      </w:pPr>
    </w:p>
    <w:p>
      <w:pPr>
        <w:ind w:left="480" w:hanging="313"/>
        <w:spacing w:after="0"/>
        <w:tabs>
          <w:tab w:leader="none" w:pos="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As used in this Compensation Discussion and Analysis, the term “long-term equity-based incentives” refers to the annual LTIP awards granted on January 2, 2025.</w:t>
      </w:r>
    </w:p>
    <w:p>
      <w:pPr>
        <w:spacing w:after="0" w:line="35" w:lineRule="exact"/>
        <w:rPr>
          <w:rFonts w:ascii="Arial" w:cs="Arial" w:eastAsia="Arial" w:hAnsi="Arial"/>
          <w:sz w:val="12"/>
          <w:szCs w:val="12"/>
          <w:color w:val="auto"/>
        </w:rPr>
      </w:pPr>
    </w:p>
    <w:p>
      <w:pPr>
        <w:ind w:left="480" w:right="220" w:hanging="313"/>
        <w:spacing w:after="0" w:line="267" w:lineRule="auto"/>
        <w:tabs>
          <w:tab w:leader="none" w:pos="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For purposes of long-term equity-based incentives, all references to the S&amp;P 500 Utilities Index or our S&amp;P 500 Utilities Index peers refer to the companies constituting the S&amp;P 500 Utilities Index, excluding water companies.</w:t>
      </w:r>
    </w:p>
    <w:p>
      <w:pPr>
        <w:ind w:left="480" w:right="20" w:hanging="313"/>
        <w:spacing w:after="0" w:line="279" w:lineRule="auto"/>
        <w:tabs>
          <w:tab w:leader="none" w:pos="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2025 annual LTIP award for Messrs. Martin and Bird and Ms. Sedgwick did not include service-based restricted stock units, and the 2025 annual LTIP award for Mss. Winn and Day did not include stock options.</w:t>
      </w:r>
    </w:p>
    <w:p>
      <w:pPr>
        <w:spacing w:after="0" w:line="62" w:lineRule="exact"/>
        <w:rPr>
          <w:sz w:val="20"/>
          <w:szCs w:val="20"/>
          <w:color w:val="auto"/>
        </w:rPr>
      </w:pPr>
    </w:p>
    <w:p>
      <w:pPr>
        <w:ind w:left="160" w:right="400"/>
        <w:spacing w:after="0" w:line="281" w:lineRule="auto"/>
        <w:rPr>
          <w:sz w:val="20"/>
          <w:szCs w:val="20"/>
          <w:color w:val="auto"/>
        </w:rPr>
      </w:pPr>
      <w:r>
        <w:rPr>
          <w:rFonts w:ascii="Arial" w:cs="Arial" w:eastAsia="Arial" w:hAnsi="Arial"/>
          <w:sz w:val="14"/>
          <w:szCs w:val="14"/>
          <w:color w:val="auto"/>
        </w:rPr>
        <w:t>The relative value of Mr. Martin’s 2025 pay opportunity for each of the three components of total direct compensation at target company performance is shown below in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140335</wp:posOffset>
            </wp:positionV>
            <wp:extent cx="69297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2025650</wp:posOffset>
            </wp:positionV>
            <wp:extent cx="69297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318770</wp:posOffset>
            </wp:positionV>
            <wp:extent cx="5621655" cy="15284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621655"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Figure 2</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Note: Based on 2025 annual base salary, 2025 target performance-based annual bonus and the target grant date value of 2025 long-term equity-based incentives.</w:t>
      </w:r>
    </w:p>
    <w:p>
      <w:pPr>
        <w:spacing w:after="0" w:line="107" w:lineRule="exact"/>
        <w:rPr>
          <w:sz w:val="20"/>
          <w:szCs w:val="20"/>
          <w:color w:val="auto"/>
        </w:rPr>
      </w:pPr>
    </w:p>
    <w:p>
      <w:pPr>
        <w:ind w:left="160" w:right="20"/>
        <w:spacing w:after="0" w:line="250" w:lineRule="auto"/>
        <w:rPr>
          <w:sz w:val="20"/>
          <w:szCs w:val="20"/>
          <w:color w:val="auto"/>
        </w:rPr>
      </w:pPr>
      <w:r>
        <w:rPr>
          <w:rFonts w:ascii="Arial" w:cs="Arial" w:eastAsia="Arial" w:hAnsi="Arial"/>
          <w:sz w:val="14"/>
          <w:szCs w:val="14"/>
          <w:color w:val="auto"/>
        </w:rPr>
        <w:t>Our pay mix is designed to align our executives’ interests with our shareholders’ interests by providing a greater proportion of target annual compensation through performance-based annual bonuses and long-term equity-based incentives rather than base salary. This means that most pay is intended to be variable and increase or decrease based on company performance. As shown in Figure 2, almost three-quarters of Mr. Martin’s target total direct pay opportunity in 2025 was in the form of performance-based equity awards (comprising two-thirds performance-based restricted stock units and one-third nonqualified stock options) and over 90% was in the form of at-risk variable incentive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200025</wp:posOffset>
            </wp:positionV>
            <wp:extent cx="69297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318770</wp:posOffset>
            </wp:positionV>
            <wp:extent cx="739140" cy="153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45</w:t>
      </w:r>
    </w:p>
    <w:p>
      <w:pPr>
        <w:sectPr>
          <w:pgSz w:w="11900" w:h="16838" w:orient="portrait"/>
          <w:cols w:equalWidth="0" w:num="1">
            <w:col w:w="11080"/>
          </w:cols>
          <w:pgMar w:left="320" w:top="478"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45" w:lineRule="exact"/>
        <w:rPr>
          <w:sz w:val="20"/>
          <w:szCs w:val="20"/>
          <w:color w:val="auto"/>
        </w:rPr>
      </w:pPr>
    </w:p>
    <w:p>
      <w:pPr>
        <w:ind w:left="160" w:right="60"/>
        <w:spacing w:after="0" w:line="253" w:lineRule="auto"/>
        <w:rPr>
          <w:sz w:val="20"/>
          <w:szCs w:val="20"/>
          <w:color w:val="auto"/>
        </w:rPr>
      </w:pPr>
      <w:r>
        <w:rPr>
          <w:rFonts w:ascii="Arial" w:cs="Arial" w:eastAsia="Arial" w:hAnsi="Arial"/>
          <w:sz w:val="14"/>
          <w:szCs w:val="14"/>
          <w:color w:val="auto"/>
        </w:rPr>
        <w:t>Actual pay mix may vary substantially from target pay mix. This may occur as a result of company performance, which greatly affects annual bonuses and payout percentages for EPS growth-based LTIP awards, and stock performance, which significantly impacts payout percentages for TSR-based LTIP awards and the ultimate value realized for all equity awards. Figure 3 shows the percentage of each component of the total 2025 direct pay opportunity as of December 31, 2025 at target company performance for each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297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330835</wp:posOffset>
            </wp:positionV>
            <wp:extent cx="6929755" cy="19450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29755" cy="194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Figure 3</w:t>
      </w:r>
    </w:p>
    <w:p>
      <w:pPr>
        <w:spacing w:after="0" w:line="36" w:lineRule="exact"/>
        <w:rPr>
          <w:sz w:val="20"/>
          <w:szCs w:val="20"/>
          <w:color w:val="auto"/>
        </w:rPr>
      </w:pPr>
    </w:p>
    <w:p>
      <w:pPr>
        <w:ind w:left="160" w:right="20"/>
        <w:spacing w:after="0" w:line="279" w:lineRule="auto"/>
        <w:rPr>
          <w:sz w:val="20"/>
          <w:szCs w:val="20"/>
          <w:color w:val="auto"/>
        </w:rPr>
      </w:pPr>
      <w:r>
        <w:rPr>
          <w:rFonts w:ascii="Arial" w:cs="Arial" w:eastAsia="Arial" w:hAnsi="Arial"/>
          <w:sz w:val="12"/>
          <w:szCs w:val="12"/>
          <w:color w:val="auto"/>
        </w:rPr>
        <w:t>Note: Based on annual base salaries as of December 31, 2025, target performance-based annual bonuses calculated using the base salary and target percentage in effect as of December 31, 2025, and the target grant date value of the 2025 annual long-term incentive plan award for each named executive officer.</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Target Compensation Summary</w:t>
      </w:r>
    </w:p>
    <w:p>
      <w:pPr>
        <w:spacing w:after="0" w:line="125" w:lineRule="exact"/>
        <w:rPr>
          <w:sz w:val="20"/>
          <w:szCs w:val="20"/>
          <w:color w:val="auto"/>
        </w:rPr>
      </w:pPr>
    </w:p>
    <w:p>
      <w:pPr>
        <w:ind w:left="160" w:right="640"/>
        <w:spacing w:after="0" w:line="281" w:lineRule="auto"/>
        <w:rPr>
          <w:sz w:val="20"/>
          <w:szCs w:val="20"/>
          <w:color w:val="auto"/>
        </w:rPr>
      </w:pPr>
      <w:r>
        <w:rPr>
          <w:rFonts w:ascii="Arial" w:cs="Arial" w:eastAsia="Arial" w:hAnsi="Arial"/>
          <w:sz w:val="14"/>
          <w:szCs w:val="14"/>
          <w:color w:val="auto"/>
        </w:rPr>
        <w:t>The Compensation and Talent Development Committee determined 2025 target pay opportunities for the named executive officers in late 2024. In setting 2025 pay opportunities, the Compensation and Talent Development Committee considered various factors, including the factors set forth below in Table 4.</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176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Factors</w:t>
            </w:r>
          </w:p>
        </w:tc>
        <w:tc>
          <w:tcPr>
            <w:tcW w:w="1220" w:type="dxa"/>
            <w:vAlign w:val="bottom"/>
            <w:tcBorders>
              <w:bottom w:val="single" w:sz="8" w:color="005CB9"/>
              <w:right w:val="single" w:sz="8" w:color="005CB9"/>
            </w:tcBorders>
            <w:shd w:val="clear" w:color="auto" w:fill="005CB9"/>
          </w:tcPr>
          <w:p>
            <w:pPr>
              <w:spacing w:after="0"/>
              <w:rPr>
                <w:sz w:val="23"/>
                <w:szCs w:val="23"/>
                <w:color w:val="auto"/>
              </w:rPr>
            </w:pPr>
          </w:p>
        </w:tc>
        <w:tc>
          <w:tcPr>
            <w:tcW w:w="7940" w:type="dxa"/>
            <w:vAlign w:val="bottom"/>
            <w:tcBorders>
              <w:bottom w:val="single" w:sz="8" w:color="005CB9"/>
            </w:tcBorders>
            <w:shd w:val="clear" w:color="auto" w:fill="005CB9"/>
          </w:tcPr>
          <w:p>
            <w:pPr>
              <w:ind w:left="3500"/>
              <w:spacing w:after="0"/>
              <w:rPr>
                <w:sz w:val="20"/>
                <w:szCs w:val="20"/>
                <w:color w:val="auto"/>
              </w:rPr>
            </w:pPr>
            <w:r>
              <w:rPr>
                <w:rFonts w:ascii="Arial" w:cs="Arial" w:eastAsia="Arial" w:hAnsi="Arial"/>
                <w:sz w:val="14"/>
                <w:szCs w:val="14"/>
                <w:b w:val="1"/>
                <w:bCs w:val="1"/>
                <w:color w:val="FFFFFF"/>
              </w:rPr>
              <w:t>Considerations</w:t>
            </w:r>
          </w:p>
        </w:tc>
      </w:tr>
      <w:tr>
        <w:trPr>
          <w:trHeight w:val="218"/>
        </w:trPr>
        <w:tc>
          <w:tcPr>
            <w:tcW w:w="2980" w:type="dxa"/>
            <w:vAlign w:val="bottom"/>
            <w:tcBorders>
              <w:right w:val="single" w:sz="8" w:color="7F7F7F"/>
            </w:tcBorders>
            <w:gridSpan w:val="2"/>
          </w:tcPr>
          <w:p>
            <w:pPr>
              <w:ind w:left="80"/>
              <w:spacing w:after="0"/>
              <w:rPr>
                <w:sz w:val="20"/>
                <w:szCs w:val="20"/>
                <w:color w:val="auto"/>
              </w:rPr>
            </w:pPr>
            <w:r>
              <w:rPr>
                <w:rFonts w:ascii="Arial" w:cs="Arial" w:eastAsia="Arial" w:hAnsi="Arial"/>
                <w:sz w:val="14"/>
                <w:szCs w:val="14"/>
                <w:color w:val="auto"/>
              </w:rPr>
              <w:t>Company and Individual Performance</w:t>
            </w:r>
          </w:p>
        </w:tc>
        <w:tc>
          <w:tcPr>
            <w:tcW w:w="7940" w:type="dxa"/>
            <w:vAlign w:val="bottom"/>
          </w:tcPr>
          <w:p>
            <w:pPr>
              <w:ind w:left="100"/>
              <w:spacing w:after="0"/>
              <w:rPr>
                <w:sz w:val="20"/>
                <w:szCs w:val="20"/>
                <w:color w:val="auto"/>
              </w:rPr>
            </w:pPr>
            <w:r>
              <w:rPr>
                <w:rFonts w:ascii="Arial" w:cs="Arial" w:eastAsia="Arial" w:hAnsi="Arial"/>
                <w:sz w:val="14"/>
                <w:szCs w:val="14"/>
                <w:color w:val="auto"/>
              </w:rPr>
              <w:t>Company performance in 2024 and over longer-term periods ending in 2024 was robust, including three-year 2022-2024</w:t>
            </w:r>
          </w:p>
        </w:tc>
      </w:tr>
      <w:tr>
        <w:trPr>
          <w:trHeight w:val="160"/>
        </w:trPr>
        <w:tc>
          <w:tcPr>
            <w:tcW w:w="1760" w:type="dxa"/>
            <w:vAlign w:val="bottom"/>
          </w:tcPr>
          <w:p>
            <w:pPr>
              <w:spacing w:after="0"/>
              <w:rPr>
                <w:sz w:val="13"/>
                <w:szCs w:val="13"/>
                <w:color w:val="auto"/>
              </w:rPr>
            </w:pPr>
          </w:p>
        </w:tc>
        <w:tc>
          <w:tcPr>
            <w:tcW w:w="1220" w:type="dxa"/>
            <w:vAlign w:val="bottom"/>
            <w:tcBorders>
              <w:right w:val="single" w:sz="8" w:color="7F7F7F"/>
            </w:tcBorders>
          </w:tcPr>
          <w:p>
            <w:pPr>
              <w:spacing w:after="0"/>
              <w:rPr>
                <w:sz w:val="13"/>
                <w:szCs w:val="13"/>
                <w:color w:val="auto"/>
              </w:rPr>
            </w:pPr>
          </w:p>
        </w:tc>
        <w:tc>
          <w:tcPr>
            <w:tcW w:w="7940" w:type="dxa"/>
            <w:vAlign w:val="bottom"/>
          </w:tcPr>
          <w:p>
            <w:pPr>
              <w:ind w:left="100"/>
              <w:spacing w:after="0"/>
              <w:rPr>
                <w:sz w:val="20"/>
                <w:szCs w:val="20"/>
                <w:color w:val="auto"/>
              </w:rPr>
            </w:pPr>
            <w:r>
              <w:rPr>
                <w:rFonts w:ascii="Arial" w:cs="Arial" w:eastAsia="Arial" w:hAnsi="Arial"/>
                <w:sz w:val="14"/>
                <w:szCs w:val="14"/>
                <w:color w:val="auto"/>
              </w:rPr>
              <w:t>total shareholder return that significantly outpaced the S&amp;P 500 Utilities Index and the return of $8.4 billion of total capital to</w:t>
            </w:r>
          </w:p>
        </w:tc>
      </w:tr>
      <w:tr>
        <w:trPr>
          <w:trHeight w:val="160"/>
        </w:trPr>
        <w:tc>
          <w:tcPr>
            <w:tcW w:w="1760" w:type="dxa"/>
            <w:vAlign w:val="bottom"/>
          </w:tcPr>
          <w:p>
            <w:pPr>
              <w:spacing w:after="0"/>
              <w:rPr>
                <w:sz w:val="13"/>
                <w:szCs w:val="13"/>
                <w:color w:val="auto"/>
              </w:rPr>
            </w:pPr>
          </w:p>
        </w:tc>
        <w:tc>
          <w:tcPr>
            <w:tcW w:w="1220" w:type="dxa"/>
            <w:vAlign w:val="bottom"/>
            <w:tcBorders>
              <w:right w:val="single" w:sz="8" w:color="7F7F7F"/>
            </w:tcBorders>
          </w:tcPr>
          <w:p>
            <w:pPr>
              <w:spacing w:after="0"/>
              <w:rPr>
                <w:sz w:val="13"/>
                <w:szCs w:val="13"/>
                <w:color w:val="auto"/>
              </w:rPr>
            </w:pPr>
          </w:p>
        </w:tc>
        <w:tc>
          <w:tcPr>
            <w:tcW w:w="7940" w:type="dxa"/>
            <w:vAlign w:val="bottom"/>
          </w:tcPr>
          <w:p>
            <w:pPr>
              <w:ind w:left="100"/>
              <w:spacing w:after="0"/>
              <w:rPr>
                <w:sz w:val="20"/>
                <w:szCs w:val="20"/>
                <w:color w:val="auto"/>
              </w:rPr>
            </w:pPr>
            <w:r>
              <w:rPr>
                <w:rFonts w:ascii="Arial" w:cs="Arial" w:eastAsia="Arial" w:hAnsi="Arial"/>
                <w:sz w:val="14"/>
                <w:szCs w:val="14"/>
                <w:color w:val="auto"/>
              </w:rPr>
              <w:t>shareholders through dividends and share repurchases from 2020 through 2024. In addition, total shareholder return from</w:t>
            </w:r>
          </w:p>
        </w:tc>
      </w:tr>
      <w:tr>
        <w:trPr>
          <w:trHeight w:val="160"/>
        </w:trPr>
        <w:tc>
          <w:tcPr>
            <w:tcW w:w="1760" w:type="dxa"/>
            <w:vAlign w:val="bottom"/>
          </w:tcPr>
          <w:p>
            <w:pPr>
              <w:spacing w:after="0"/>
              <w:rPr>
                <w:sz w:val="13"/>
                <w:szCs w:val="13"/>
                <w:color w:val="auto"/>
              </w:rPr>
            </w:pPr>
          </w:p>
        </w:tc>
        <w:tc>
          <w:tcPr>
            <w:tcW w:w="1220" w:type="dxa"/>
            <w:vAlign w:val="bottom"/>
            <w:tcBorders>
              <w:right w:val="single" w:sz="8" w:color="7F7F7F"/>
            </w:tcBorders>
          </w:tcPr>
          <w:p>
            <w:pPr>
              <w:spacing w:after="0"/>
              <w:rPr>
                <w:sz w:val="13"/>
                <w:szCs w:val="13"/>
                <w:color w:val="auto"/>
              </w:rPr>
            </w:pPr>
          </w:p>
        </w:tc>
        <w:tc>
          <w:tcPr>
            <w:tcW w:w="7940" w:type="dxa"/>
            <w:vAlign w:val="bottom"/>
          </w:tcPr>
          <w:p>
            <w:pPr>
              <w:ind w:left="100"/>
              <w:spacing w:after="0"/>
              <w:rPr>
                <w:sz w:val="20"/>
                <w:szCs w:val="20"/>
                <w:color w:val="auto"/>
              </w:rPr>
            </w:pPr>
            <w:r>
              <w:rPr>
                <w:rFonts w:ascii="Arial" w:cs="Arial" w:eastAsia="Arial" w:hAnsi="Arial"/>
                <w:sz w:val="14"/>
                <w:szCs w:val="14"/>
                <w:color w:val="auto"/>
              </w:rPr>
              <w:t>May 1, 2018, when Mr. Martin was initially appointed as Chief Executive Officer, through December 31, 2024 outpaced the</w:t>
            </w:r>
          </w:p>
        </w:tc>
      </w:tr>
      <w:tr>
        <w:trPr>
          <w:trHeight w:val="189"/>
        </w:trPr>
        <w:tc>
          <w:tcPr>
            <w:tcW w:w="1760" w:type="dxa"/>
            <w:vAlign w:val="bottom"/>
          </w:tcPr>
          <w:p>
            <w:pPr>
              <w:spacing w:after="0"/>
              <w:rPr>
                <w:sz w:val="16"/>
                <w:szCs w:val="16"/>
                <w:color w:val="auto"/>
              </w:rPr>
            </w:pPr>
          </w:p>
        </w:tc>
        <w:tc>
          <w:tcPr>
            <w:tcW w:w="1220" w:type="dxa"/>
            <w:vAlign w:val="bottom"/>
            <w:tcBorders>
              <w:right w:val="single" w:sz="8" w:color="7F7F7F"/>
            </w:tcBorders>
          </w:tcPr>
          <w:p>
            <w:pPr>
              <w:spacing w:after="0"/>
              <w:rPr>
                <w:sz w:val="16"/>
                <w:szCs w:val="16"/>
                <w:color w:val="auto"/>
              </w:rPr>
            </w:pPr>
          </w:p>
        </w:tc>
        <w:tc>
          <w:tcPr>
            <w:tcW w:w="7940" w:type="dxa"/>
            <w:vAlign w:val="bottom"/>
          </w:tcPr>
          <w:p>
            <w:pPr>
              <w:ind w:left="100"/>
              <w:spacing w:after="0"/>
              <w:rPr>
                <w:sz w:val="20"/>
                <w:szCs w:val="20"/>
                <w:color w:val="auto"/>
              </w:rPr>
            </w:pPr>
            <w:r>
              <w:rPr>
                <w:rFonts w:ascii="Arial" w:cs="Arial" w:eastAsia="Arial" w:hAnsi="Arial"/>
                <w:sz w:val="14"/>
                <w:szCs w:val="14"/>
                <w:color w:val="auto"/>
              </w:rPr>
              <w:t>S&amp;P 500 Utilities Index by 11%.</w:t>
            </w:r>
          </w:p>
        </w:tc>
      </w:tr>
      <w:tr>
        <w:trPr>
          <w:trHeight w:val="48"/>
        </w:trPr>
        <w:tc>
          <w:tcPr>
            <w:tcW w:w="1760" w:type="dxa"/>
            <w:vAlign w:val="bottom"/>
            <w:tcBorders>
              <w:bottom w:val="single" w:sz="8" w:color="7F7F7F"/>
            </w:tcBorders>
          </w:tcPr>
          <w:p>
            <w:pPr>
              <w:spacing w:after="0"/>
              <w:rPr>
                <w:sz w:val="4"/>
                <w:szCs w:val="4"/>
                <w:color w:val="auto"/>
              </w:rPr>
            </w:pPr>
          </w:p>
        </w:tc>
        <w:tc>
          <w:tcPr>
            <w:tcW w:w="1220" w:type="dxa"/>
            <w:vAlign w:val="bottom"/>
            <w:tcBorders>
              <w:bottom w:val="single" w:sz="8" w:color="7F7F7F"/>
              <w:right w:val="single" w:sz="8" w:color="7F7F7F"/>
            </w:tcBorders>
          </w:tcPr>
          <w:p>
            <w:pPr>
              <w:spacing w:after="0"/>
              <w:rPr>
                <w:sz w:val="4"/>
                <w:szCs w:val="4"/>
                <w:color w:val="auto"/>
              </w:rPr>
            </w:pPr>
          </w:p>
        </w:tc>
        <w:tc>
          <w:tcPr>
            <w:tcW w:w="7940" w:type="dxa"/>
            <w:vAlign w:val="bottom"/>
            <w:tcBorders>
              <w:bottom w:val="single" w:sz="8" w:color="7F7F7F"/>
            </w:tcBorders>
          </w:tcPr>
          <w:p>
            <w:pPr>
              <w:spacing w:after="0"/>
              <w:rPr>
                <w:sz w:val="4"/>
                <w:szCs w:val="4"/>
                <w:color w:val="auto"/>
              </w:rPr>
            </w:pPr>
          </w:p>
        </w:tc>
      </w:tr>
      <w:tr>
        <w:trPr>
          <w:trHeight w:val="198"/>
        </w:trPr>
        <w:tc>
          <w:tcPr>
            <w:tcW w:w="1760" w:type="dxa"/>
            <w:vAlign w:val="bottom"/>
            <w:shd w:val="clear" w:color="auto" w:fill="F2F2F2"/>
          </w:tcPr>
          <w:p>
            <w:pPr>
              <w:ind w:left="80"/>
              <w:spacing w:after="0"/>
              <w:rPr>
                <w:sz w:val="20"/>
                <w:szCs w:val="20"/>
                <w:color w:val="auto"/>
              </w:rPr>
            </w:pPr>
            <w:r>
              <w:rPr>
                <w:rFonts w:ascii="Arial" w:cs="Arial" w:eastAsia="Arial" w:hAnsi="Arial"/>
                <w:sz w:val="14"/>
                <w:szCs w:val="14"/>
                <w:color w:val="auto"/>
              </w:rPr>
              <w:t>Experience</w:t>
            </w:r>
          </w:p>
        </w:tc>
        <w:tc>
          <w:tcPr>
            <w:tcW w:w="1220" w:type="dxa"/>
            <w:vAlign w:val="bottom"/>
            <w:tcBorders>
              <w:right w:val="single" w:sz="8" w:color="7F7F7F"/>
            </w:tcBorders>
            <w:shd w:val="clear" w:color="auto" w:fill="F2F2F2"/>
          </w:tcPr>
          <w:p>
            <w:pPr>
              <w:spacing w:after="0"/>
              <w:rPr>
                <w:sz w:val="17"/>
                <w:szCs w:val="17"/>
                <w:color w:val="auto"/>
              </w:rPr>
            </w:pPr>
          </w:p>
        </w:tc>
        <w:tc>
          <w:tcPr>
            <w:tcW w:w="79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The experience that each named executive officer brings to their role and their tenure in their positions, including the</w:t>
            </w:r>
          </w:p>
        </w:tc>
      </w:tr>
      <w:tr>
        <w:trPr>
          <w:trHeight w:val="242"/>
        </w:trPr>
        <w:tc>
          <w:tcPr>
            <w:tcW w:w="1760" w:type="dxa"/>
            <w:vAlign w:val="bottom"/>
            <w:tcBorders>
              <w:bottom w:val="single" w:sz="8" w:color="F2F2F2"/>
            </w:tcBorders>
            <w:shd w:val="clear" w:color="auto" w:fill="F2F2F2"/>
          </w:tcPr>
          <w:p>
            <w:pPr>
              <w:spacing w:after="0"/>
              <w:rPr>
                <w:sz w:val="20"/>
                <w:szCs w:val="20"/>
                <w:color w:val="auto"/>
              </w:rPr>
            </w:pPr>
          </w:p>
        </w:tc>
        <w:tc>
          <w:tcPr>
            <w:tcW w:w="1220" w:type="dxa"/>
            <w:vAlign w:val="bottom"/>
            <w:tcBorders>
              <w:bottom w:val="single" w:sz="8" w:color="F2F2F2"/>
              <w:right w:val="single" w:sz="8" w:color="7F7F7F"/>
            </w:tcBorders>
            <w:shd w:val="clear" w:color="auto" w:fill="F2F2F2"/>
          </w:tcPr>
          <w:p>
            <w:pPr>
              <w:spacing w:after="0"/>
              <w:rPr>
                <w:sz w:val="20"/>
                <w:szCs w:val="20"/>
                <w:color w:val="auto"/>
              </w:rPr>
            </w:pPr>
          </w:p>
        </w:tc>
        <w:tc>
          <w:tcPr>
            <w:tcW w:w="79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committee’s practice of ramping up compensation over a two-year to three-year period following a promotion</w:t>
            </w:r>
          </w:p>
        </w:tc>
      </w:tr>
      <w:tr>
        <w:trPr>
          <w:trHeight w:val="198"/>
        </w:trPr>
        <w:tc>
          <w:tcPr>
            <w:tcW w:w="2980" w:type="dxa"/>
            <w:vAlign w:val="bottom"/>
            <w:tcBorders>
              <w:top w:val="single" w:sz="8" w:color="7F7F7F"/>
              <w:right w:val="single" w:sz="8" w:color="7F7F7F"/>
            </w:tcBorders>
            <w:gridSpan w:val="2"/>
          </w:tcPr>
          <w:p>
            <w:pPr>
              <w:ind w:left="80"/>
              <w:spacing w:after="0"/>
              <w:rPr>
                <w:sz w:val="20"/>
                <w:szCs w:val="20"/>
                <w:color w:val="auto"/>
              </w:rPr>
            </w:pPr>
            <w:r>
              <w:rPr>
                <w:rFonts w:ascii="Arial" w:cs="Arial" w:eastAsia="Arial" w:hAnsi="Arial"/>
                <w:sz w:val="14"/>
                <w:szCs w:val="14"/>
                <w:color w:val="auto"/>
              </w:rPr>
              <w:t>Company Strategy and Leadership Continuity</w:t>
            </w:r>
          </w:p>
        </w:tc>
        <w:tc>
          <w:tcPr>
            <w:tcW w:w="794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The importance of retaining seasoned, high-performing senior leadership while the company is at a pivotal time in advancing</w:t>
            </w:r>
          </w:p>
        </w:tc>
      </w:tr>
      <w:tr>
        <w:trPr>
          <w:trHeight w:val="160"/>
        </w:trPr>
        <w:tc>
          <w:tcPr>
            <w:tcW w:w="1760" w:type="dxa"/>
            <w:vAlign w:val="bottom"/>
          </w:tcPr>
          <w:p>
            <w:pPr>
              <w:spacing w:after="0"/>
              <w:rPr>
                <w:sz w:val="13"/>
                <w:szCs w:val="13"/>
                <w:color w:val="auto"/>
              </w:rPr>
            </w:pPr>
          </w:p>
        </w:tc>
        <w:tc>
          <w:tcPr>
            <w:tcW w:w="1220" w:type="dxa"/>
            <w:vAlign w:val="bottom"/>
            <w:tcBorders>
              <w:right w:val="single" w:sz="8" w:color="7F7F7F"/>
            </w:tcBorders>
          </w:tcPr>
          <w:p>
            <w:pPr>
              <w:spacing w:after="0"/>
              <w:rPr>
                <w:sz w:val="13"/>
                <w:szCs w:val="13"/>
                <w:color w:val="auto"/>
              </w:rPr>
            </w:pPr>
          </w:p>
        </w:tc>
        <w:tc>
          <w:tcPr>
            <w:tcW w:w="7940" w:type="dxa"/>
            <w:vAlign w:val="bottom"/>
          </w:tcPr>
          <w:p>
            <w:pPr>
              <w:ind w:left="100"/>
              <w:spacing w:after="0"/>
              <w:rPr>
                <w:sz w:val="20"/>
                <w:szCs w:val="20"/>
                <w:color w:val="auto"/>
              </w:rPr>
            </w:pPr>
            <w:r>
              <w:rPr>
                <w:rFonts w:ascii="Arial" w:cs="Arial" w:eastAsia="Arial" w:hAnsi="Arial"/>
                <w:sz w:val="14"/>
                <w:szCs w:val="14"/>
                <w:color w:val="auto"/>
              </w:rPr>
              <w:t>its corporate strategy focused on simplifying the business, improving capital efficiency and strengthening financials, which</w:t>
            </w:r>
          </w:p>
        </w:tc>
      </w:tr>
      <w:tr>
        <w:trPr>
          <w:trHeight w:val="189"/>
        </w:trPr>
        <w:tc>
          <w:tcPr>
            <w:tcW w:w="1760" w:type="dxa"/>
            <w:vAlign w:val="bottom"/>
          </w:tcPr>
          <w:p>
            <w:pPr>
              <w:spacing w:after="0"/>
              <w:rPr>
                <w:sz w:val="16"/>
                <w:szCs w:val="16"/>
                <w:color w:val="auto"/>
              </w:rPr>
            </w:pPr>
          </w:p>
        </w:tc>
        <w:tc>
          <w:tcPr>
            <w:tcW w:w="1220" w:type="dxa"/>
            <w:vAlign w:val="bottom"/>
            <w:tcBorders>
              <w:right w:val="single" w:sz="8" w:color="7F7F7F"/>
            </w:tcBorders>
          </w:tcPr>
          <w:p>
            <w:pPr>
              <w:spacing w:after="0"/>
              <w:rPr>
                <w:sz w:val="16"/>
                <w:szCs w:val="16"/>
                <w:color w:val="auto"/>
              </w:rPr>
            </w:pPr>
          </w:p>
        </w:tc>
        <w:tc>
          <w:tcPr>
            <w:tcW w:w="7940" w:type="dxa"/>
            <w:vAlign w:val="bottom"/>
          </w:tcPr>
          <w:p>
            <w:pPr>
              <w:ind w:left="100"/>
              <w:spacing w:after="0"/>
              <w:rPr>
                <w:sz w:val="20"/>
                <w:szCs w:val="20"/>
                <w:color w:val="auto"/>
              </w:rPr>
            </w:pPr>
            <w:r>
              <w:rPr>
                <w:rFonts w:ascii="Arial" w:cs="Arial" w:eastAsia="Arial" w:hAnsi="Arial"/>
                <w:sz w:val="14"/>
                <w:szCs w:val="14"/>
                <w:color w:val="auto"/>
              </w:rPr>
              <w:t>was anchored in 2025 by the five value creation initiatives described under “Proxy Summary” above</w:t>
            </w:r>
          </w:p>
        </w:tc>
      </w:tr>
      <w:tr>
        <w:trPr>
          <w:trHeight w:val="48"/>
        </w:trPr>
        <w:tc>
          <w:tcPr>
            <w:tcW w:w="2980" w:type="dxa"/>
            <w:vAlign w:val="bottom"/>
            <w:tcBorders>
              <w:bottom w:val="single" w:sz="8" w:color="7F7F7F"/>
              <w:right w:val="single" w:sz="8" w:color="7F7F7F"/>
            </w:tcBorders>
            <w:gridSpan w:val="2"/>
          </w:tcPr>
          <w:p>
            <w:pPr>
              <w:spacing w:after="0"/>
              <w:rPr>
                <w:sz w:val="4"/>
                <w:szCs w:val="4"/>
                <w:color w:val="auto"/>
              </w:rPr>
            </w:pPr>
          </w:p>
        </w:tc>
        <w:tc>
          <w:tcPr>
            <w:tcW w:w="7940" w:type="dxa"/>
            <w:vAlign w:val="bottom"/>
            <w:tcBorders>
              <w:bottom w:val="single" w:sz="8" w:color="7F7F7F"/>
            </w:tcBorders>
          </w:tcPr>
          <w:p>
            <w:pPr>
              <w:spacing w:after="0"/>
              <w:rPr>
                <w:sz w:val="4"/>
                <w:szCs w:val="4"/>
                <w:color w:val="auto"/>
              </w:rPr>
            </w:pPr>
          </w:p>
        </w:tc>
      </w:tr>
      <w:tr>
        <w:trPr>
          <w:trHeight w:val="198"/>
        </w:trPr>
        <w:tc>
          <w:tcPr>
            <w:tcW w:w="2980" w:type="dxa"/>
            <w:vAlign w:val="bottom"/>
            <w:tcBorders>
              <w:right w:val="single" w:sz="8" w:color="7F7F7F"/>
            </w:tcBorders>
            <w:gridSpan w:val="2"/>
            <w:shd w:val="clear" w:color="auto" w:fill="F2F2F2"/>
          </w:tcPr>
          <w:p>
            <w:pPr>
              <w:ind w:left="80"/>
              <w:spacing w:after="0"/>
              <w:rPr>
                <w:sz w:val="20"/>
                <w:szCs w:val="20"/>
                <w:color w:val="auto"/>
              </w:rPr>
            </w:pPr>
            <w:r>
              <w:rPr>
                <w:rFonts w:ascii="Arial" w:cs="Arial" w:eastAsia="Arial" w:hAnsi="Arial"/>
                <w:sz w:val="14"/>
                <w:szCs w:val="14"/>
                <w:color w:val="auto"/>
              </w:rPr>
              <w:t>Complexity of Roles and Responsibilities</w:t>
            </w:r>
          </w:p>
        </w:tc>
        <w:tc>
          <w:tcPr>
            <w:tcW w:w="79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The Chief Executive Officer and other named executive officers oversee electric and gas utilities serving approximately</w:t>
            </w:r>
          </w:p>
        </w:tc>
      </w:tr>
      <w:tr>
        <w:trPr>
          <w:trHeight w:val="160"/>
        </w:trPr>
        <w:tc>
          <w:tcPr>
            <w:tcW w:w="1760" w:type="dxa"/>
            <w:vAlign w:val="bottom"/>
            <w:shd w:val="clear" w:color="auto" w:fill="F2F2F2"/>
          </w:tcPr>
          <w:p>
            <w:pPr>
              <w:spacing w:after="0"/>
              <w:rPr>
                <w:sz w:val="13"/>
                <w:szCs w:val="13"/>
                <w:color w:val="auto"/>
              </w:rPr>
            </w:pPr>
          </w:p>
        </w:tc>
        <w:tc>
          <w:tcPr>
            <w:tcW w:w="1220" w:type="dxa"/>
            <w:vAlign w:val="bottom"/>
            <w:tcBorders>
              <w:right w:val="single" w:sz="8" w:color="7F7F7F"/>
            </w:tcBorders>
            <w:shd w:val="clear" w:color="auto" w:fill="F2F2F2"/>
          </w:tcPr>
          <w:p>
            <w:pPr>
              <w:spacing w:after="0"/>
              <w:rPr>
                <w:sz w:val="13"/>
                <w:szCs w:val="13"/>
                <w:color w:val="auto"/>
              </w:rPr>
            </w:pPr>
          </w:p>
        </w:tc>
        <w:tc>
          <w:tcPr>
            <w:tcW w:w="79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40 million customers, operating in multiple states, and subject to a range of federal and state regulatory jurisdictions, as well</w:t>
            </w:r>
          </w:p>
        </w:tc>
      </w:tr>
      <w:tr>
        <w:trPr>
          <w:trHeight w:val="242"/>
        </w:trPr>
        <w:tc>
          <w:tcPr>
            <w:tcW w:w="1760" w:type="dxa"/>
            <w:vAlign w:val="bottom"/>
            <w:tcBorders>
              <w:bottom w:val="single" w:sz="8" w:color="F2F2F2"/>
            </w:tcBorders>
            <w:shd w:val="clear" w:color="auto" w:fill="F2F2F2"/>
          </w:tcPr>
          <w:p>
            <w:pPr>
              <w:spacing w:after="0"/>
              <w:rPr>
                <w:sz w:val="20"/>
                <w:szCs w:val="20"/>
                <w:color w:val="auto"/>
              </w:rPr>
            </w:pPr>
          </w:p>
        </w:tc>
        <w:tc>
          <w:tcPr>
            <w:tcW w:w="1220" w:type="dxa"/>
            <w:vAlign w:val="bottom"/>
            <w:tcBorders>
              <w:bottom w:val="single" w:sz="8" w:color="F2F2F2"/>
              <w:right w:val="single" w:sz="8" w:color="7F7F7F"/>
            </w:tcBorders>
            <w:shd w:val="clear" w:color="auto" w:fill="F2F2F2"/>
          </w:tcPr>
          <w:p>
            <w:pPr>
              <w:spacing w:after="0"/>
              <w:rPr>
                <w:sz w:val="20"/>
                <w:szCs w:val="20"/>
                <w:color w:val="auto"/>
              </w:rPr>
            </w:pPr>
          </w:p>
        </w:tc>
        <w:tc>
          <w:tcPr>
            <w:tcW w:w="79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as managing the company’s energy infrastructure investments</w:t>
            </w:r>
          </w:p>
        </w:tc>
      </w:tr>
      <w:tr>
        <w:trPr>
          <w:trHeight w:val="198"/>
        </w:trPr>
        <w:tc>
          <w:tcPr>
            <w:tcW w:w="176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Market Positioning</w:t>
            </w:r>
          </w:p>
        </w:tc>
        <w:tc>
          <w:tcPr>
            <w:tcW w:w="1220" w:type="dxa"/>
            <w:vAlign w:val="bottom"/>
            <w:tcBorders>
              <w:top w:val="single" w:sz="8" w:color="7F7F7F"/>
              <w:right w:val="single" w:sz="8" w:color="7F7F7F"/>
            </w:tcBorders>
          </w:tcPr>
          <w:p>
            <w:pPr>
              <w:spacing w:after="0"/>
              <w:rPr>
                <w:sz w:val="17"/>
                <w:szCs w:val="17"/>
                <w:color w:val="auto"/>
              </w:rPr>
            </w:pPr>
          </w:p>
        </w:tc>
        <w:tc>
          <w:tcPr>
            <w:tcW w:w="794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Market compensation data relative to general industry data and utility and energy peers that are most similar to Sempra (see</w:t>
            </w:r>
          </w:p>
        </w:tc>
      </w:tr>
      <w:tr>
        <w:trPr>
          <w:trHeight w:val="189"/>
        </w:trPr>
        <w:tc>
          <w:tcPr>
            <w:tcW w:w="1760" w:type="dxa"/>
            <w:vAlign w:val="bottom"/>
          </w:tcPr>
          <w:p>
            <w:pPr>
              <w:spacing w:after="0"/>
              <w:rPr>
                <w:sz w:val="16"/>
                <w:szCs w:val="16"/>
                <w:color w:val="auto"/>
              </w:rPr>
            </w:pPr>
          </w:p>
        </w:tc>
        <w:tc>
          <w:tcPr>
            <w:tcW w:w="1220" w:type="dxa"/>
            <w:vAlign w:val="bottom"/>
            <w:tcBorders>
              <w:right w:val="single" w:sz="8" w:color="7F7F7F"/>
            </w:tcBorders>
          </w:tcPr>
          <w:p>
            <w:pPr>
              <w:spacing w:after="0"/>
              <w:rPr>
                <w:sz w:val="16"/>
                <w:szCs w:val="16"/>
                <w:color w:val="auto"/>
              </w:rPr>
            </w:pPr>
          </w:p>
        </w:tc>
        <w:tc>
          <w:tcPr>
            <w:tcW w:w="7940" w:type="dxa"/>
            <w:vAlign w:val="bottom"/>
          </w:tcPr>
          <w:p>
            <w:pPr>
              <w:ind w:left="100"/>
              <w:spacing w:after="0"/>
              <w:rPr>
                <w:sz w:val="20"/>
                <w:szCs w:val="20"/>
                <w:color w:val="auto"/>
              </w:rPr>
            </w:pPr>
            <w:r>
              <w:rPr>
                <w:rFonts w:ascii="Arial" w:cs="Arial" w:eastAsia="Arial" w:hAnsi="Arial"/>
                <w:sz w:val="14"/>
                <w:szCs w:val="14"/>
                <w:color w:val="auto"/>
              </w:rPr>
              <w:t>“Labor Market Reviews” below for additional information on how the committee uses external market data)</w:t>
            </w:r>
          </w:p>
        </w:tc>
      </w:tr>
      <w:tr>
        <w:trPr>
          <w:trHeight w:val="48"/>
        </w:trPr>
        <w:tc>
          <w:tcPr>
            <w:tcW w:w="1760" w:type="dxa"/>
            <w:vAlign w:val="bottom"/>
            <w:tcBorders>
              <w:bottom w:val="single" w:sz="8" w:color="7F7F7F"/>
            </w:tcBorders>
          </w:tcPr>
          <w:p>
            <w:pPr>
              <w:spacing w:after="0"/>
              <w:rPr>
                <w:sz w:val="4"/>
                <w:szCs w:val="4"/>
                <w:color w:val="auto"/>
              </w:rPr>
            </w:pPr>
          </w:p>
        </w:tc>
        <w:tc>
          <w:tcPr>
            <w:tcW w:w="1220" w:type="dxa"/>
            <w:vAlign w:val="bottom"/>
            <w:tcBorders>
              <w:bottom w:val="single" w:sz="8" w:color="7F7F7F"/>
              <w:right w:val="single" w:sz="8" w:color="7F7F7F"/>
            </w:tcBorders>
          </w:tcPr>
          <w:p>
            <w:pPr>
              <w:spacing w:after="0"/>
              <w:rPr>
                <w:sz w:val="4"/>
                <w:szCs w:val="4"/>
                <w:color w:val="auto"/>
              </w:rPr>
            </w:pPr>
          </w:p>
        </w:tc>
        <w:tc>
          <w:tcPr>
            <w:tcW w:w="7940" w:type="dxa"/>
            <w:vAlign w:val="bottom"/>
            <w:tcBorders>
              <w:bottom w:val="single" w:sz="8" w:color="7F7F7F"/>
            </w:tcBorders>
          </w:tcPr>
          <w:p>
            <w:pPr>
              <w:spacing w:after="0"/>
              <w:rPr>
                <w:sz w:val="4"/>
                <w:szCs w:val="4"/>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2"/>
                <w:szCs w:val="12"/>
                <w:color w:val="auto"/>
              </w:rPr>
              <w:t>Table 4</w:t>
            </w:r>
          </w:p>
        </w:tc>
        <w:tc>
          <w:tcPr>
            <w:tcW w:w="1220" w:type="dxa"/>
            <w:vAlign w:val="bottom"/>
          </w:tcPr>
          <w:p>
            <w:pPr>
              <w:spacing w:after="0"/>
              <w:rPr>
                <w:sz w:val="18"/>
                <w:szCs w:val="18"/>
                <w:color w:val="auto"/>
              </w:rPr>
            </w:pPr>
          </w:p>
        </w:tc>
        <w:tc>
          <w:tcPr>
            <w:tcW w:w="7940" w:type="dxa"/>
            <w:vAlign w:val="bottom"/>
          </w:tcPr>
          <w:p>
            <w:pPr>
              <w:spacing w:after="0"/>
              <w:rPr>
                <w:sz w:val="18"/>
                <w:szCs w:val="18"/>
                <w:color w:val="auto"/>
              </w:rPr>
            </w:pPr>
          </w:p>
        </w:tc>
      </w:tr>
      <w:tr>
        <w:trPr>
          <w:trHeight w:val="161"/>
        </w:trPr>
        <w:tc>
          <w:tcPr>
            <w:tcW w:w="1760" w:type="dxa"/>
            <w:vAlign w:val="bottom"/>
            <w:tcBorders>
              <w:bottom w:val="single" w:sz="8" w:color="7F7F7F"/>
            </w:tcBorders>
          </w:tcPr>
          <w:p>
            <w:pPr>
              <w:spacing w:after="0"/>
              <w:rPr>
                <w:sz w:val="13"/>
                <w:szCs w:val="13"/>
                <w:color w:val="auto"/>
              </w:rPr>
            </w:pPr>
          </w:p>
        </w:tc>
        <w:tc>
          <w:tcPr>
            <w:tcW w:w="9160" w:type="dxa"/>
            <w:vAlign w:val="bottom"/>
            <w:tcBorders>
              <w:bottom w:val="single" w:sz="8" w:color="7F7F7F"/>
            </w:tcBorders>
            <w:gridSpan w:val="2"/>
          </w:tcPr>
          <w:p>
            <w:pPr>
              <w:spacing w:after="0"/>
              <w:rPr>
                <w:sz w:val="13"/>
                <w:szCs w:val="13"/>
                <w:color w:val="auto"/>
              </w:rPr>
            </w:pPr>
          </w:p>
        </w:tc>
      </w:tr>
      <w:tr>
        <w:trPr>
          <w:trHeight w:val="354"/>
        </w:trPr>
        <w:tc>
          <w:tcPr>
            <w:tcW w:w="1760" w:type="dxa"/>
            <w:vAlign w:val="bottom"/>
          </w:tcPr>
          <w:p>
            <w:pPr>
              <w:spacing w:after="0"/>
              <w:rPr>
                <w:sz w:val="20"/>
                <w:szCs w:val="20"/>
                <w:color w:val="auto"/>
              </w:rPr>
            </w:pPr>
            <w:r>
              <w:rPr>
                <w:rFonts w:ascii="Arial" w:cs="Arial" w:eastAsia="Arial" w:hAnsi="Arial"/>
                <w:sz w:val="12"/>
                <w:szCs w:val="12"/>
                <w:color w:val="auto"/>
              </w:rPr>
              <w:t xml:space="preserve">46          </w:t>
            </w:r>
          </w:p>
        </w:tc>
        <w:tc>
          <w:tcPr>
            <w:tcW w:w="9160" w:type="dxa"/>
            <w:vAlign w:val="bottom"/>
            <w:gridSpan w:val="2"/>
          </w:tcPr>
          <w:p>
            <w:pPr>
              <w:ind w:left="520"/>
              <w:spacing w:after="0"/>
              <w:rPr>
                <w:sz w:val="20"/>
                <w:szCs w:val="20"/>
                <w:color w:val="auto"/>
              </w:rPr>
            </w:pPr>
            <w:r>
              <w:rPr>
                <w:rFonts w:ascii="Arial" w:cs="Arial" w:eastAsia="Arial" w:hAnsi="Arial"/>
                <w:sz w:val="12"/>
                <w:szCs w:val="12"/>
                <w:color w:val="auto"/>
              </w:rPr>
              <w:t>      2026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-118110</wp:posOffset>
            </wp:positionV>
            <wp:extent cx="739140" cy="153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Executive Compensation</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Based on its review, the committee approved increases to the target total direct compensation for all the named executive officers from 2024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158750</wp:posOffset>
            </wp:positionV>
            <wp:extent cx="6938010" cy="3568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38010" cy="356870"/>
                    </a:xfrm>
                    <a:prstGeom prst="rect">
                      <a:avLst/>
                    </a:prstGeom>
                    <a:noFill/>
                  </pic:spPr>
                </pic:pic>
              </a:graphicData>
            </a:graphic>
          </wp:anchor>
        </w:drawing>
      </w: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 xml:space="preserve">Of this year-over-year increase, </w:t>
      </w:r>
      <w:r>
        <w:rPr>
          <w:rFonts w:ascii="Arial" w:cs="Arial" w:eastAsia="Arial" w:hAnsi="Arial"/>
          <w:sz w:val="14"/>
          <w:szCs w:val="14"/>
          <w:b w:val="1"/>
          <w:bCs w:val="1"/>
          <w:color w:val="auto"/>
        </w:rPr>
        <w:t>over 92%</w:t>
      </w:r>
      <w:r>
        <w:rPr>
          <w:rFonts w:ascii="Arial" w:cs="Arial" w:eastAsia="Arial" w:hAnsi="Arial"/>
          <w:sz w:val="14"/>
          <w:szCs w:val="14"/>
          <w:color w:val="auto"/>
        </w:rPr>
        <w:t xml:space="preserve"> for Mr. Martin and </w:t>
      </w:r>
      <w:r>
        <w:rPr>
          <w:rFonts w:ascii="Arial" w:cs="Arial" w:eastAsia="Arial" w:hAnsi="Arial"/>
          <w:sz w:val="14"/>
          <w:szCs w:val="14"/>
          <w:b w:val="1"/>
          <w:bCs w:val="1"/>
          <w:color w:val="auto"/>
        </w:rPr>
        <w:t>over 70%</w:t>
      </w:r>
      <w:r>
        <w:rPr>
          <w:rFonts w:ascii="Arial" w:cs="Arial" w:eastAsia="Arial" w:hAnsi="Arial"/>
          <w:sz w:val="14"/>
          <w:szCs w:val="14"/>
          <w:color w:val="auto"/>
        </w:rPr>
        <w:t xml:space="preserve"> for the other named executive officers</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was in the form of at-risk annual and long-term incentive compensation.</w:t>
      </w:r>
    </w:p>
    <w:p>
      <w:pPr>
        <w:spacing w:after="0" w:line="333" w:lineRule="exact"/>
        <w:rPr>
          <w:sz w:val="20"/>
          <w:szCs w:val="20"/>
          <w:color w:val="auto"/>
        </w:rPr>
      </w:pPr>
    </w:p>
    <w:p>
      <w:pPr>
        <w:ind w:left="160" w:right="20"/>
        <w:spacing w:after="0" w:line="243" w:lineRule="auto"/>
        <w:rPr>
          <w:sz w:val="20"/>
          <w:szCs w:val="20"/>
          <w:color w:val="auto"/>
        </w:rPr>
      </w:pPr>
      <w:r>
        <w:rPr>
          <w:rFonts w:ascii="Arial" w:cs="Arial" w:eastAsia="Arial" w:hAnsi="Arial"/>
          <w:sz w:val="14"/>
          <w:szCs w:val="14"/>
          <w:color w:val="auto"/>
        </w:rPr>
        <w:t>The committee believes these adjustments are appropriate in the context of broader market trends and each individual’s roles, responsibilities and contributions to advancing our strategic priorities. These adjustments also reflect the committee’s desire to balance executives’ focus on both executing our near-term priorities and delivering long-term performance, while continuing to deliver the largest pay opportunity through long-term equity-based incentives. With respect to Mr. Martin, he is a seasoned Chief Executive Officer with eight years of tenure in his role who is leading the company during a period of significant change and growth, including successfully executing the company’s long-term capital recycling program, which is designed to provide efficient capital to fund our utility growth platform and in which Mr. Martin has overseen a number of impactful achievements, such as the sales of our renewables and South American businesses in 2019 and 2020, respectively, and the planned sale of a substantial portion of our interest in SI Partners. His target total direct compensation reflects his performance and the value of his leadership to date and going forward. In determining the target total direct compensation for the other named executive officers, the committee considered the factors set forth above as well as the officers’ time in their respective roles. All of the named executive officers except for Mr. Martin have assumed new roles within the past two years, including Ms. Winn being promoted to her current role in July 2025. In addition, Mr. Bird’s role continued to evolve during 2025, including his leadership of transformational strategic projects.</w:t>
      </w:r>
    </w:p>
    <w:p>
      <w:pPr>
        <w:spacing w:after="0" w:line="82" w:lineRule="exact"/>
        <w:rPr>
          <w:sz w:val="20"/>
          <w:szCs w:val="20"/>
          <w:color w:val="auto"/>
        </w:rPr>
      </w:pPr>
    </w:p>
    <w:p>
      <w:pPr>
        <w:ind w:left="160" w:right="380"/>
        <w:spacing w:after="0" w:line="281" w:lineRule="auto"/>
        <w:rPr>
          <w:sz w:val="20"/>
          <w:szCs w:val="20"/>
          <w:color w:val="auto"/>
        </w:rPr>
      </w:pPr>
      <w:r>
        <w:rPr>
          <w:rFonts w:ascii="Arial" w:cs="Arial" w:eastAsia="Arial" w:hAnsi="Arial"/>
          <w:sz w:val="14"/>
          <w:szCs w:val="14"/>
          <w:color w:val="auto"/>
        </w:rPr>
        <w:t>The table below summarizes 2025 base salaries, the target value of 2025 performance-based annual bonuses, and the target value of 2025 annual LTIP awards for the named executive officers.</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980" w:type="dxa"/>
            <w:vAlign w:val="bottom"/>
            <w:shd w:val="clear" w:color="auto" w:fill="005CB9"/>
          </w:tcPr>
          <w:p>
            <w:pPr>
              <w:spacing w:after="0"/>
              <w:rPr>
                <w:sz w:val="18"/>
                <w:szCs w:val="18"/>
                <w:color w:val="auto"/>
              </w:rPr>
            </w:pPr>
          </w:p>
        </w:tc>
        <w:tc>
          <w:tcPr>
            <w:tcW w:w="2140" w:type="dxa"/>
            <w:vAlign w:val="bottom"/>
            <w:shd w:val="clear" w:color="auto" w:fill="005CB9"/>
          </w:tcPr>
          <w:p>
            <w:pPr>
              <w:spacing w:after="0"/>
              <w:rPr>
                <w:sz w:val="18"/>
                <w:szCs w:val="18"/>
                <w:color w:val="auto"/>
              </w:rPr>
            </w:pPr>
          </w:p>
        </w:tc>
        <w:tc>
          <w:tcPr>
            <w:tcW w:w="2180" w:type="dxa"/>
            <w:vAlign w:val="bottom"/>
            <w:shd w:val="clear" w:color="auto" w:fill="005CB9"/>
          </w:tcPr>
          <w:p>
            <w:pPr>
              <w:jc w:val="center"/>
              <w:ind w:left="109"/>
              <w:spacing w:after="0"/>
              <w:rPr>
                <w:sz w:val="20"/>
                <w:szCs w:val="20"/>
                <w:color w:val="auto"/>
              </w:rPr>
            </w:pPr>
            <w:r>
              <w:rPr>
                <w:rFonts w:ascii="Arial" w:cs="Arial" w:eastAsia="Arial" w:hAnsi="Arial"/>
                <w:sz w:val="14"/>
                <w:szCs w:val="14"/>
                <w:b w:val="1"/>
                <w:bCs w:val="1"/>
                <w:color w:val="FFFFFF"/>
                <w:w w:val="99"/>
              </w:rPr>
              <w:t>Target Value of 2025</w:t>
            </w:r>
          </w:p>
        </w:tc>
        <w:tc>
          <w:tcPr>
            <w:tcW w:w="1740" w:type="dxa"/>
            <w:vAlign w:val="bottom"/>
            <w:shd w:val="clear" w:color="auto" w:fill="005CB9"/>
          </w:tcPr>
          <w:p>
            <w:pPr>
              <w:spacing w:after="0"/>
              <w:rPr>
                <w:sz w:val="18"/>
                <w:szCs w:val="18"/>
                <w:color w:val="auto"/>
              </w:rPr>
            </w:pPr>
          </w:p>
        </w:tc>
        <w:tc>
          <w:tcPr>
            <w:tcW w:w="1880" w:type="dxa"/>
            <w:vAlign w:val="bottom"/>
            <w:shd w:val="clear" w:color="auto" w:fill="005CB9"/>
          </w:tcPr>
          <w:p>
            <w:pPr>
              <w:spacing w:after="0"/>
              <w:rPr>
                <w:sz w:val="18"/>
                <w:szCs w:val="18"/>
                <w:color w:val="auto"/>
              </w:rPr>
            </w:pPr>
          </w:p>
        </w:tc>
      </w:tr>
      <w:tr>
        <w:trPr>
          <w:trHeight w:val="160"/>
        </w:trPr>
        <w:tc>
          <w:tcPr>
            <w:tcW w:w="2980" w:type="dxa"/>
            <w:vAlign w:val="bottom"/>
            <w:shd w:val="clear" w:color="auto" w:fill="005CB9"/>
          </w:tcPr>
          <w:p>
            <w:pPr>
              <w:spacing w:after="0"/>
              <w:rPr>
                <w:sz w:val="13"/>
                <w:szCs w:val="13"/>
                <w:color w:val="auto"/>
              </w:rPr>
            </w:pPr>
          </w:p>
        </w:tc>
        <w:tc>
          <w:tcPr>
            <w:tcW w:w="2140" w:type="dxa"/>
            <w:vAlign w:val="bottom"/>
            <w:shd w:val="clear" w:color="auto" w:fill="005CB9"/>
          </w:tcPr>
          <w:p>
            <w:pPr>
              <w:spacing w:after="0"/>
              <w:rPr>
                <w:sz w:val="13"/>
                <w:szCs w:val="13"/>
                <w:color w:val="auto"/>
              </w:rPr>
            </w:pPr>
          </w:p>
        </w:tc>
        <w:tc>
          <w:tcPr>
            <w:tcW w:w="2180" w:type="dxa"/>
            <w:vAlign w:val="bottom"/>
            <w:shd w:val="clear" w:color="auto" w:fill="005CB9"/>
          </w:tcPr>
          <w:p>
            <w:pPr>
              <w:jc w:val="center"/>
              <w:ind w:left="109"/>
              <w:spacing w:after="0"/>
              <w:rPr>
                <w:sz w:val="20"/>
                <w:szCs w:val="20"/>
                <w:color w:val="auto"/>
              </w:rPr>
            </w:pPr>
            <w:r>
              <w:rPr>
                <w:rFonts w:ascii="Arial" w:cs="Arial" w:eastAsia="Arial" w:hAnsi="Arial"/>
                <w:sz w:val="14"/>
                <w:szCs w:val="14"/>
                <w:b w:val="1"/>
                <w:bCs w:val="1"/>
                <w:color w:val="FFFFFF"/>
              </w:rPr>
              <w:t>Performance-Based</w:t>
            </w:r>
          </w:p>
        </w:tc>
        <w:tc>
          <w:tcPr>
            <w:tcW w:w="1740" w:type="dxa"/>
            <w:vAlign w:val="bottom"/>
            <w:shd w:val="clear" w:color="auto" w:fill="005CB9"/>
          </w:tcPr>
          <w:p>
            <w:pPr>
              <w:jc w:val="right"/>
              <w:ind w:right="249"/>
              <w:spacing w:after="0"/>
              <w:rPr>
                <w:sz w:val="20"/>
                <w:szCs w:val="20"/>
                <w:color w:val="auto"/>
              </w:rPr>
            </w:pPr>
            <w:r>
              <w:rPr>
                <w:rFonts w:ascii="Arial" w:cs="Arial" w:eastAsia="Arial" w:hAnsi="Arial"/>
                <w:sz w:val="14"/>
                <w:szCs w:val="14"/>
                <w:b w:val="1"/>
                <w:bCs w:val="1"/>
                <w:color w:val="FFFFFF"/>
              </w:rPr>
              <w:t>Target 2025 LTIP</w:t>
            </w:r>
          </w:p>
        </w:tc>
        <w:tc>
          <w:tcPr>
            <w:tcW w:w="1880" w:type="dxa"/>
            <w:vAlign w:val="bottom"/>
            <w:shd w:val="clear" w:color="auto" w:fill="005CB9"/>
          </w:tcPr>
          <w:p>
            <w:pPr>
              <w:jc w:val="right"/>
              <w:ind w:right="149"/>
              <w:spacing w:after="0"/>
              <w:rPr>
                <w:sz w:val="20"/>
                <w:szCs w:val="20"/>
                <w:color w:val="auto"/>
              </w:rPr>
            </w:pPr>
            <w:r>
              <w:rPr>
                <w:rFonts w:ascii="Arial" w:cs="Arial" w:eastAsia="Arial" w:hAnsi="Arial"/>
                <w:sz w:val="14"/>
                <w:szCs w:val="14"/>
                <w:b w:val="1"/>
                <w:bCs w:val="1"/>
                <w:color w:val="FFFFFF"/>
              </w:rPr>
              <w:t>Target 2025 Total</w:t>
            </w:r>
          </w:p>
        </w:tc>
      </w:tr>
      <w:tr>
        <w:trPr>
          <w:trHeight w:val="217"/>
        </w:trPr>
        <w:tc>
          <w:tcPr>
            <w:tcW w:w="298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Name</w:t>
            </w:r>
          </w:p>
        </w:tc>
        <w:tc>
          <w:tcPr>
            <w:tcW w:w="2140" w:type="dxa"/>
            <w:vAlign w:val="bottom"/>
            <w:tcBorders>
              <w:bottom w:val="single" w:sz="8" w:color="005CB9"/>
            </w:tcBorders>
            <w:shd w:val="clear" w:color="auto" w:fill="005CB9"/>
          </w:tcPr>
          <w:p>
            <w:pPr>
              <w:jc w:val="right"/>
              <w:ind w:right="409"/>
              <w:spacing w:after="0"/>
              <w:rPr>
                <w:sz w:val="20"/>
                <w:szCs w:val="20"/>
                <w:color w:val="auto"/>
              </w:rPr>
            </w:pPr>
            <w:r>
              <w:rPr>
                <w:rFonts w:ascii="Arial" w:cs="Arial" w:eastAsia="Arial" w:hAnsi="Arial"/>
                <w:sz w:val="14"/>
                <w:szCs w:val="14"/>
                <w:b w:val="1"/>
                <w:bCs w:val="1"/>
                <w:color w:val="FFFFFF"/>
              </w:rPr>
              <w:t>Base Salary</w:t>
            </w:r>
          </w:p>
        </w:tc>
        <w:tc>
          <w:tcPr>
            <w:tcW w:w="2180" w:type="dxa"/>
            <w:vAlign w:val="bottom"/>
            <w:tcBorders>
              <w:bottom w:val="single" w:sz="8" w:color="005CB9"/>
            </w:tcBorders>
            <w:shd w:val="clear" w:color="auto" w:fill="005CB9"/>
          </w:tcPr>
          <w:p>
            <w:pPr>
              <w:jc w:val="center"/>
              <w:ind w:left="109"/>
              <w:spacing w:after="0"/>
              <w:rPr>
                <w:sz w:val="20"/>
                <w:szCs w:val="20"/>
                <w:color w:val="auto"/>
              </w:rPr>
            </w:pPr>
            <w:r>
              <w:rPr>
                <w:rFonts w:ascii="Arial" w:cs="Arial" w:eastAsia="Arial" w:hAnsi="Arial"/>
                <w:sz w:val="14"/>
                <w:szCs w:val="14"/>
                <w:b w:val="1"/>
                <w:bCs w:val="1"/>
                <w:color w:val="FFFFFF"/>
              </w:rPr>
              <w:t>Annual Bonus</w:t>
            </w:r>
          </w:p>
        </w:tc>
        <w:tc>
          <w:tcPr>
            <w:tcW w:w="1740" w:type="dxa"/>
            <w:vAlign w:val="bottom"/>
            <w:tcBorders>
              <w:bottom w:val="single" w:sz="8" w:color="005CB9"/>
            </w:tcBorders>
            <w:shd w:val="clear" w:color="auto" w:fill="005CB9"/>
          </w:tcPr>
          <w:p>
            <w:pPr>
              <w:jc w:val="right"/>
              <w:ind w:right="389"/>
              <w:spacing w:after="0"/>
              <w:rPr>
                <w:sz w:val="20"/>
                <w:szCs w:val="20"/>
                <w:color w:val="auto"/>
              </w:rPr>
            </w:pPr>
            <w:r>
              <w:rPr>
                <w:rFonts w:ascii="Arial" w:cs="Arial" w:eastAsia="Arial" w:hAnsi="Arial"/>
                <w:sz w:val="14"/>
                <w:szCs w:val="14"/>
                <w:b w:val="1"/>
                <w:bCs w:val="1"/>
                <w:color w:val="FFFFFF"/>
              </w:rPr>
              <w:t>Award Value</w:t>
            </w:r>
          </w:p>
        </w:tc>
        <w:tc>
          <w:tcPr>
            <w:tcW w:w="1880" w:type="dxa"/>
            <w:vAlign w:val="bottom"/>
            <w:tcBorders>
              <w:bottom w:val="single" w:sz="8" w:color="005CB9"/>
            </w:tcBorders>
            <w:shd w:val="clear" w:color="auto" w:fill="005CB9"/>
          </w:tcPr>
          <w:p>
            <w:pPr>
              <w:jc w:val="right"/>
              <w:ind w:right="69"/>
              <w:spacing w:after="0"/>
              <w:rPr>
                <w:sz w:val="20"/>
                <w:szCs w:val="20"/>
                <w:color w:val="auto"/>
              </w:rPr>
            </w:pPr>
            <w:r>
              <w:rPr>
                <w:rFonts w:ascii="Arial" w:cs="Arial" w:eastAsia="Arial" w:hAnsi="Arial"/>
                <w:sz w:val="14"/>
                <w:szCs w:val="14"/>
                <w:b w:val="1"/>
                <w:bCs w:val="1"/>
                <w:color w:val="FFFFFF"/>
              </w:rPr>
              <w:t>Direct Compensation</w:t>
            </w:r>
          </w:p>
        </w:tc>
      </w:tr>
      <w:tr>
        <w:trPr>
          <w:trHeight w:val="247"/>
        </w:trPr>
        <w:tc>
          <w:tcPr>
            <w:tcW w:w="2980" w:type="dxa"/>
            <w:vAlign w:val="bottom"/>
          </w:tcPr>
          <w:p>
            <w:pPr>
              <w:ind w:left="80"/>
              <w:spacing w:after="0"/>
              <w:rPr>
                <w:sz w:val="20"/>
                <w:szCs w:val="20"/>
                <w:color w:val="auto"/>
              </w:rPr>
            </w:pPr>
            <w:r>
              <w:rPr>
                <w:rFonts w:ascii="Arial" w:cs="Arial" w:eastAsia="Arial" w:hAnsi="Arial"/>
                <w:sz w:val="14"/>
                <w:szCs w:val="14"/>
                <w:color w:val="auto"/>
              </w:rPr>
              <w:t>Jeffrey W. Martin</w:t>
            </w:r>
          </w:p>
        </w:tc>
        <w:tc>
          <w:tcPr>
            <w:tcW w:w="2140" w:type="dxa"/>
            <w:vAlign w:val="bottom"/>
          </w:tcPr>
          <w:p>
            <w:pPr>
              <w:jc w:val="right"/>
              <w:ind w:right="449"/>
              <w:spacing w:after="0"/>
              <w:rPr>
                <w:sz w:val="20"/>
                <w:szCs w:val="20"/>
                <w:color w:val="auto"/>
              </w:rPr>
            </w:pPr>
            <w:r>
              <w:rPr>
                <w:rFonts w:ascii="Arial" w:cs="Arial" w:eastAsia="Arial" w:hAnsi="Arial"/>
                <w:sz w:val="14"/>
                <w:szCs w:val="14"/>
                <w:color w:val="auto"/>
              </w:rPr>
              <w:t>$1,700,000</w:t>
            </w:r>
          </w:p>
        </w:tc>
        <w:tc>
          <w:tcPr>
            <w:tcW w:w="2180" w:type="dxa"/>
            <w:vAlign w:val="bottom"/>
          </w:tcPr>
          <w:p>
            <w:pPr>
              <w:jc w:val="right"/>
              <w:ind w:right="289"/>
              <w:spacing w:after="0"/>
              <w:rPr>
                <w:sz w:val="20"/>
                <w:szCs w:val="20"/>
                <w:color w:val="auto"/>
              </w:rPr>
            </w:pPr>
            <w:r>
              <w:rPr>
                <w:rFonts w:ascii="Arial" w:cs="Arial" w:eastAsia="Arial" w:hAnsi="Arial"/>
                <w:sz w:val="14"/>
                <w:szCs w:val="14"/>
                <w:color w:val="auto"/>
              </w:rPr>
              <w:t>$3,060,000</w:t>
            </w:r>
          </w:p>
        </w:tc>
        <w:tc>
          <w:tcPr>
            <w:tcW w:w="1740" w:type="dxa"/>
            <w:vAlign w:val="bottom"/>
          </w:tcPr>
          <w:p>
            <w:pPr>
              <w:jc w:val="right"/>
              <w:ind w:right="249"/>
              <w:spacing w:after="0"/>
              <w:rPr>
                <w:sz w:val="20"/>
                <w:szCs w:val="20"/>
                <w:color w:val="auto"/>
              </w:rPr>
            </w:pPr>
            <w:r>
              <w:rPr>
                <w:rFonts w:ascii="Arial" w:cs="Arial" w:eastAsia="Arial" w:hAnsi="Arial"/>
                <w:sz w:val="14"/>
                <w:szCs w:val="14"/>
                <w:color w:val="auto"/>
              </w:rPr>
              <w:t>$13,740,000</w:t>
            </w:r>
          </w:p>
        </w:tc>
        <w:tc>
          <w:tcPr>
            <w:tcW w:w="1880" w:type="dxa"/>
            <w:vAlign w:val="bottom"/>
          </w:tcPr>
          <w:p>
            <w:pPr>
              <w:jc w:val="right"/>
              <w:ind w:right="49"/>
              <w:spacing w:after="0"/>
              <w:rPr>
                <w:sz w:val="20"/>
                <w:szCs w:val="20"/>
                <w:color w:val="auto"/>
              </w:rPr>
            </w:pPr>
            <w:r>
              <w:rPr>
                <w:rFonts w:ascii="Arial" w:cs="Arial" w:eastAsia="Arial" w:hAnsi="Arial"/>
                <w:sz w:val="14"/>
                <w:szCs w:val="14"/>
                <w:color w:val="auto"/>
              </w:rPr>
              <w:t>$18,500,000</w:t>
            </w:r>
          </w:p>
        </w:tc>
      </w:tr>
      <w:tr>
        <w:trPr>
          <w:trHeight w:val="48"/>
        </w:trPr>
        <w:tc>
          <w:tcPr>
            <w:tcW w:w="2980" w:type="dxa"/>
            <w:vAlign w:val="bottom"/>
            <w:tcBorders>
              <w:bottom w:val="single" w:sz="8" w:color="7F7F7F"/>
            </w:tcBorders>
          </w:tcPr>
          <w:p>
            <w:pPr>
              <w:spacing w:after="0"/>
              <w:rPr>
                <w:sz w:val="4"/>
                <w:szCs w:val="4"/>
                <w:color w:val="auto"/>
              </w:rPr>
            </w:pPr>
          </w:p>
        </w:tc>
        <w:tc>
          <w:tcPr>
            <w:tcW w:w="2140" w:type="dxa"/>
            <w:vAlign w:val="bottom"/>
            <w:tcBorders>
              <w:bottom w:val="single" w:sz="8" w:color="7F7F7F"/>
            </w:tcBorders>
          </w:tcPr>
          <w:p>
            <w:pPr>
              <w:spacing w:after="0"/>
              <w:rPr>
                <w:sz w:val="4"/>
                <w:szCs w:val="4"/>
                <w:color w:val="auto"/>
              </w:rPr>
            </w:pPr>
          </w:p>
        </w:tc>
        <w:tc>
          <w:tcPr>
            <w:tcW w:w="2180" w:type="dxa"/>
            <w:vAlign w:val="bottom"/>
            <w:tcBorders>
              <w:bottom w:val="single" w:sz="8" w:color="7F7F7F"/>
            </w:tcBorders>
          </w:tcPr>
          <w:p>
            <w:pPr>
              <w:spacing w:after="0"/>
              <w:rPr>
                <w:sz w:val="4"/>
                <w:szCs w:val="4"/>
                <w:color w:val="auto"/>
              </w:rPr>
            </w:pPr>
          </w:p>
        </w:tc>
        <w:tc>
          <w:tcPr>
            <w:tcW w:w="1740" w:type="dxa"/>
            <w:vAlign w:val="bottom"/>
            <w:tcBorders>
              <w:bottom w:val="single" w:sz="8" w:color="7F7F7F"/>
            </w:tcBorders>
          </w:tcPr>
          <w:p>
            <w:pPr>
              <w:spacing w:after="0"/>
              <w:rPr>
                <w:sz w:val="4"/>
                <w:szCs w:val="4"/>
                <w:color w:val="auto"/>
              </w:rPr>
            </w:pPr>
          </w:p>
        </w:tc>
        <w:tc>
          <w:tcPr>
            <w:tcW w:w="1880" w:type="dxa"/>
            <w:vAlign w:val="bottom"/>
            <w:tcBorders>
              <w:bottom w:val="single" w:sz="8" w:color="7F7F7F"/>
            </w:tcBorders>
          </w:tcPr>
          <w:p>
            <w:pPr>
              <w:spacing w:after="0"/>
              <w:rPr>
                <w:sz w:val="4"/>
                <w:szCs w:val="4"/>
                <w:color w:val="auto"/>
              </w:rPr>
            </w:pPr>
          </w:p>
        </w:tc>
      </w:tr>
      <w:tr>
        <w:trPr>
          <w:trHeight w:val="279"/>
        </w:trPr>
        <w:tc>
          <w:tcPr>
            <w:tcW w:w="29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Karen L. Sedgwick</w:t>
            </w:r>
          </w:p>
        </w:tc>
        <w:tc>
          <w:tcPr>
            <w:tcW w:w="2140" w:type="dxa"/>
            <w:vAlign w:val="bottom"/>
            <w:tcBorders>
              <w:bottom w:val="single" w:sz="8" w:color="F2F2F2"/>
            </w:tcBorders>
            <w:shd w:val="clear" w:color="auto" w:fill="F2F2F2"/>
          </w:tcPr>
          <w:p>
            <w:pPr>
              <w:jc w:val="right"/>
              <w:ind w:right="449"/>
              <w:spacing w:after="0"/>
              <w:rPr>
                <w:sz w:val="20"/>
                <w:szCs w:val="20"/>
                <w:color w:val="auto"/>
              </w:rPr>
            </w:pPr>
            <w:r>
              <w:rPr>
                <w:rFonts w:ascii="Arial" w:cs="Arial" w:eastAsia="Arial" w:hAnsi="Arial"/>
                <w:sz w:val="14"/>
                <w:szCs w:val="14"/>
                <w:color w:val="auto"/>
              </w:rPr>
              <w:t>$   700,000</w:t>
            </w:r>
          </w:p>
        </w:tc>
        <w:tc>
          <w:tcPr>
            <w:tcW w:w="2180" w:type="dxa"/>
            <w:vAlign w:val="bottom"/>
            <w:tcBorders>
              <w:bottom w:val="single" w:sz="8" w:color="F2F2F2"/>
            </w:tcBorders>
            <w:shd w:val="clear" w:color="auto" w:fill="F2F2F2"/>
          </w:tcPr>
          <w:p>
            <w:pPr>
              <w:jc w:val="right"/>
              <w:ind w:right="289"/>
              <w:spacing w:after="0"/>
              <w:rPr>
                <w:sz w:val="20"/>
                <w:szCs w:val="20"/>
                <w:color w:val="auto"/>
              </w:rPr>
            </w:pPr>
            <w:r>
              <w:rPr>
                <w:rFonts w:ascii="Arial" w:cs="Arial" w:eastAsia="Arial" w:hAnsi="Arial"/>
                <w:sz w:val="14"/>
                <w:szCs w:val="14"/>
                <w:color w:val="auto"/>
              </w:rPr>
              <w:t>$   630,000</w:t>
            </w:r>
          </w:p>
        </w:tc>
        <w:tc>
          <w:tcPr>
            <w:tcW w:w="1740" w:type="dxa"/>
            <w:vAlign w:val="bottom"/>
            <w:tcBorders>
              <w:bottom w:val="single" w:sz="8" w:color="F2F2F2"/>
            </w:tcBorders>
            <w:shd w:val="clear" w:color="auto" w:fill="F2F2F2"/>
          </w:tcPr>
          <w:p>
            <w:pPr>
              <w:jc w:val="right"/>
              <w:ind w:right="249"/>
              <w:spacing w:after="0"/>
              <w:rPr>
                <w:sz w:val="20"/>
                <w:szCs w:val="20"/>
                <w:color w:val="auto"/>
              </w:rPr>
            </w:pPr>
            <w:r>
              <w:rPr>
                <w:rFonts w:ascii="Arial" w:cs="Arial" w:eastAsia="Arial" w:hAnsi="Arial"/>
                <w:sz w:val="14"/>
                <w:szCs w:val="14"/>
                <w:color w:val="auto"/>
              </w:rPr>
              <w:t>$  2,520,000</w:t>
            </w:r>
          </w:p>
        </w:tc>
        <w:tc>
          <w:tcPr>
            <w:tcW w:w="1880" w:type="dxa"/>
            <w:vAlign w:val="bottom"/>
            <w:tcBorders>
              <w:bottom w:val="single" w:sz="8" w:color="F2F2F2"/>
            </w:tcBorders>
            <w:shd w:val="clear" w:color="auto" w:fill="F2F2F2"/>
          </w:tcPr>
          <w:p>
            <w:pPr>
              <w:jc w:val="right"/>
              <w:ind w:right="49"/>
              <w:spacing w:after="0"/>
              <w:rPr>
                <w:sz w:val="20"/>
                <w:szCs w:val="20"/>
                <w:color w:val="auto"/>
              </w:rPr>
            </w:pPr>
            <w:r>
              <w:rPr>
                <w:rFonts w:ascii="Arial" w:cs="Arial" w:eastAsia="Arial" w:hAnsi="Arial"/>
                <w:sz w:val="14"/>
                <w:szCs w:val="14"/>
                <w:color w:val="auto"/>
              </w:rPr>
              <w:t>$  3,850,000</w:t>
            </w:r>
          </w:p>
        </w:tc>
      </w:tr>
      <w:tr>
        <w:trPr>
          <w:trHeight w:val="274"/>
        </w:trPr>
        <w:tc>
          <w:tcPr>
            <w:tcW w:w="298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color w:val="auto"/>
              </w:rPr>
              <w:t>Justin C. Bird</w:t>
            </w:r>
            <w:r>
              <w:rPr>
                <w:rFonts w:ascii="Arial" w:cs="Arial" w:eastAsia="Arial" w:hAnsi="Arial"/>
                <w:sz w:val="21"/>
                <w:szCs w:val="21"/>
                <w:color w:val="auto"/>
                <w:vertAlign w:val="superscript"/>
              </w:rPr>
              <w:t>(1)</w:t>
            </w:r>
          </w:p>
        </w:tc>
        <w:tc>
          <w:tcPr>
            <w:tcW w:w="2140" w:type="dxa"/>
            <w:vAlign w:val="bottom"/>
            <w:tcBorders>
              <w:top w:val="single" w:sz="8" w:color="7F7F7F"/>
              <w:bottom w:val="single" w:sz="8" w:color="7F7F7F"/>
            </w:tcBorders>
          </w:tcPr>
          <w:p>
            <w:pPr>
              <w:jc w:val="right"/>
              <w:ind w:right="449"/>
              <w:spacing w:after="0"/>
              <w:rPr>
                <w:sz w:val="20"/>
                <w:szCs w:val="20"/>
                <w:color w:val="auto"/>
              </w:rPr>
            </w:pPr>
            <w:r>
              <w:rPr>
                <w:rFonts w:ascii="Arial" w:cs="Arial" w:eastAsia="Arial" w:hAnsi="Arial"/>
                <w:sz w:val="14"/>
                <w:szCs w:val="14"/>
                <w:color w:val="auto"/>
              </w:rPr>
              <w:t>$   940,000</w:t>
            </w:r>
          </w:p>
        </w:tc>
        <w:tc>
          <w:tcPr>
            <w:tcW w:w="2180" w:type="dxa"/>
            <w:vAlign w:val="bottom"/>
            <w:tcBorders>
              <w:top w:val="single" w:sz="8" w:color="7F7F7F"/>
              <w:bottom w:val="single" w:sz="8" w:color="7F7F7F"/>
            </w:tcBorders>
          </w:tcPr>
          <w:p>
            <w:pPr>
              <w:jc w:val="right"/>
              <w:ind w:right="289"/>
              <w:spacing w:after="0"/>
              <w:rPr>
                <w:sz w:val="20"/>
                <w:szCs w:val="20"/>
                <w:color w:val="auto"/>
              </w:rPr>
            </w:pPr>
            <w:r>
              <w:rPr>
                <w:rFonts w:ascii="Arial" w:cs="Arial" w:eastAsia="Arial" w:hAnsi="Arial"/>
                <w:sz w:val="14"/>
                <w:szCs w:val="14"/>
                <w:color w:val="auto"/>
              </w:rPr>
              <w:t>$   940,000</w:t>
            </w:r>
          </w:p>
        </w:tc>
        <w:tc>
          <w:tcPr>
            <w:tcW w:w="1740" w:type="dxa"/>
            <w:vAlign w:val="bottom"/>
            <w:tcBorders>
              <w:top w:val="single" w:sz="8" w:color="7F7F7F"/>
              <w:bottom w:val="single" w:sz="8" w:color="7F7F7F"/>
            </w:tcBorders>
          </w:tcPr>
          <w:p>
            <w:pPr>
              <w:jc w:val="right"/>
              <w:ind w:right="249"/>
              <w:spacing w:after="0"/>
              <w:rPr>
                <w:sz w:val="20"/>
                <w:szCs w:val="20"/>
                <w:color w:val="auto"/>
              </w:rPr>
            </w:pPr>
            <w:r>
              <w:rPr>
                <w:rFonts w:ascii="Arial" w:cs="Arial" w:eastAsia="Arial" w:hAnsi="Arial"/>
                <w:sz w:val="14"/>
                <w:szCs w:val="14"/>
                <w:color w:val="auto"/>
              </w:rPr>
              <w:t>$  2,485,000</w:t>
            </w:r>
          </w:p>
        </w:tc>
        <w:tc>
          <w:tcPr>
            <w:tcW w:w="1880" w:type="dxa"/>
            <w:vAlign w:val="bottom"/>
            <w:tcBorders>
              <w:top w:val="single" w:sz="8" w:color="7F7F7F"/>
              <w:bottom w:val="single" w:sz="8" w:color="7F7F7F"/>
            </w:tcBorders>
          </w:tcPr>
          <w:p>
            <w:pPr>
              <w:jc w:val="right"/>
              <w:ind w:right="49"/>
              <w:spacing w:after="0"/>
              <w:rPr>
                <w:sz w:val="20"/>
                <w:szCs w:val="20"/>
                <w:color w:val="auto"/>
              </w:rPr>
            </w:pPr>
            <w:r>
              <w:rPr>
                <w:rFonts w:ascii="Arial" w:cs="Arial" w:eastAsia="Arial" w:hAnsi="Arial"/>
                <w:sz w:val="14"/>
                <w:szCs w:val="14"/>
                <w:color w:val="auto"/>
              </w:rPr>
              <w:t>$  4,365,000</w:t>
            </w:r>
          </w:p>
        </w:tc>
      </w:tr>
      <w:tr>
        <w:trPr>
          <w:trHeight w:val="274"/>
        </w:trPr>
        <w:tc>
          <w:tcPr>
            <w:tcW w:w="298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Caroline A. Winn</w:t>
            </w:r>
            <w:r>
              <w:rPr>
                <w:rFonts w:ascii="Arial" w:cs="Arial" w:eastAsia="Arial" w:hAnsi="Arial"/>
                <w:sz w:val="21"/>
                <w:szCs w:val="21"/>
                <w:color w:val="auto"/>
                <w:vertAlign w:val="superscript"/>
              </w:rPr>
              <w:t>(1)</w:t>
            </w:r>
          </w:p>
        </w:tc>
        <w:tc>
          <w:tcPr>
            <w:tcW w:w="2140" w:type="dxa"/>
            <w:vAlign w:val="bottom"/>
            <w:tcBorders>
              <w:bottom w:val="single" w:sz="8" w:color="7F7F7F"/>
            </w:tcBorders>
            <w:shd w:val="clear" w:color="auto" w:fill="F2F2F2"/>
          </w:tcPr>
          <w:p>
            <w:pPr>
              <w:jc w:val="right"/>
              <w:ind w:right="449"/>
              <w:spacing w:after="0"/>
              <w:rPr>
                <w:sz w:val="20"/>
                <w:szCs w:val="20"/>
                <w:color w:val="auto"/>
              </w:rPr>
            </w:pPr>
            <w:r>
              <w:rPr>
                <w:rFonts w:ascii="Arial" w:cs="Arial" w:eastAsia="Arial" w:hAnsi="Arial"/>
                <w:sz w:val="14"/>
                <w:szCs w:val="14"/>
                <w:color w:val="auto"/>
              </w:rPr>
              <w:t>$   875,000</w:t>
            </w:r>
          </w:p>
        </w:tc>
        <w:tc>
          <w:tcPr>
            <w:tcW w:w="2180" w:type="dxa"/>
            <w:vAlign w:val="bottom"/>
            <w:tcBorders>
              <w:bottom w:val="single" w:sz="8" w:color="7F7F7F"/>
            </w:tcBorders>
            <w:shd w:val="clear" w:color="auto" w:fill="F2F2F2"/>
          </w:tcPr>
          <w:p>
            <w:pPr>
              <w:jc w:val="right"/>
              <w:ind w:right="289"/>
              <w:spacing w:after="0"/>
              <w:rPr>
                <w:sz w:val="20"/>
                <w:szCs w:val="20"/>
                <w:color w:val="auto"/>
              </w:rPr>
            </w:pPr>
            <w:r>
              <w:rPr>
                <w:rFonts w:ascii="Arial" w:cs="Arial" w:eastAsia="Arial" w:hAnsi="Arial"/>
                <w:sz w:val="14"/>
                <w:szCs w:val="14"/>
                <w:color w:val="auto"/>
              </w:rPr>
              <w:t>$   875,000</w:t>
            </w:r>
          </w:p>
        </w:tc>
        <w:tc>
          <w:tcPr>
            <w:tcW w:w="1740" w:type="dxa"/>
            <w:vAlign w:val="bottom"/>
            <w:tcBorders>
              <w:bottom w:val="single" w:sz="8" w:color="7F7F7F"/>
            </w:tcBorders>
            <w:shd w:val="clear" w:color="auto" w:fill="F2F2F2"/>
          </w:tcPr>
          <w:p>
            <w:pPr>
              <w:jc w:val="right"/>
              <w:ind w:right="249"/>
              <w:spacing w:after="0"/>
              <w:rPr>
                <w:sz w:val="20"/>
                <w:szCs w:val="20"/>
                <w:color w:val="auto"/>
              </w:rPr>
            </w:pPr>
            <w:r>
              <w:rPr>
                <w:rFonts w:ascii="Arial" w:cs="Arial" w:eastAsia="Arial" w:hAnsi="Arial"/>
                <w:sz w:val="14"/>
                <w:szCs w:val="14"/>
                <w:color w:val="auto"/>
              </w:rPr>
              <w:t>$  1,646,400</w:t>
            </w:r>
          </w:p>
        </w:tc>
        <w:tc>
          <w:tcPr>
            <w:tcW w:w="1880" w:type="dxa"/>
            <w:vAlign w:val="bottom"/>
            <w:tcBorders>
              <w:bottom w:val="single" w:sz="8" w:color="7F7F7F"/>
            </w:tcBorders>
            <w:shd w:val="clear" w:color="auto" w:fill="F2F2F2"/>
          </w:tcPr>
          <w:p>
            <w:pPr>
              <w:jc w:val="right"/>
              <w:ind w:right="49"/>
              <w:spacing w:after="0"/>
              <w:rPr>
                <w:sz w:val="20"/>
                <w:szCs w:val="20"/>
                <w:color w:val="auto"/>
              </w:rPr>
            </w:pPr>
            <w:r>
              <w:rPr>
                <w:rFonts w:ascii="Arial" w:cs="Arial" w:eastAsia="Arial" w:hAnsi="Arial"/>
                <w:sz w:val="14"/>
                <w:szCs w:val="14"/>
                <w:color w:val="auto"/>
              </w:rPr>
              <w:t>$  3,396,400</w:t>
            </w:r>
          </w:p>
        </w:tc>
      </w:tr>
      <w:tr>
        <w:trPr>
          <w:trHeight w:val="227"/>
        </w:trPr>
        <w:tc>
          <w:tcPr>
            <w:tcW w:w="2980" w:type="dxa"/>
            <w:vAlign w:val="bottom"/>
          </w:tcPr>
          <w:p>
            <w:pPr>
              <w:ind w:left="80"/>
              <w:spacing w:after="0"/>
              <w:rPr>
                <w:sz w:val="20"/>
                <w:szCs w:val="20"/>
                <w:color w:val="auto"/>
              </w:rPr>
            </w:pPr>
            <w:r>
              <w:rPr>
                <w:rFonts w:ascii="Arial" w:cs="Arial" w:eastAsia="Arial" w:hAnsi="Arial"/>
                <w:sz w:val="14"/>
                <w:szCs w:val="14"/>
                <w:color w:val="auto"/>
              </w:rPr>
              <w:t>Diana L. Day</w:t>
            </w:r>
          </w:p>
        </w:tc>
        <w:tc>
          <w:tcPr>
            <w:tcW w:w="2140" w:type="dxa"/>
            <w:vAlign w:val="bottom"/>
          </w:tcPr>
          <w:p>
            <w:pPr>
              <w:jc w:val="right"/>
              <w:ind w:right="449"/>
              <w:spacing w:after="0"/>
              <w:rPr>
                <w:sz w:val="20"/>
                <w:szCs w:val="20"/>
                <w:color w:val="auto"/>
              </w:rPr>
            </w:pPr>
            <w:r>
              <w:rPr>
                <w:rFonts w:ascii="Arial" w:cs="Arial" w:eastAsia="Arial" w:hAnsi="Arial"/>
                <w:sz w:val="14"/>
                <w:szCs w:val="14"/>
                <w:color w:val="auto"/>
              </w:rPr>
              <w:t>$   600,000</w:t>
            </w:r>
          </w:p>
        </w:tc>
        <w:tc>
          <w:tcPr>
            <w:tcW w:w="2180" w:type="dxa"/>
            <w:vAlign w:val="bottom"/>
          </w:tcPr>
          <w:p>
            <w:pPr>
              <w:jc w:val="right"/>
              <w:ind w:right="289"/>
              <w:spacing w:after="0"/>
              <w:rPr>
                <w:sz w:val="20"/>
                <w:szCs w:val="20"/>
                <w:color w:val="auto"/>
              </w:rPr>
            </w:pPr>
            <w:r>
              <w:rPr>
                <w:rFonts w:ascii="Arial" w:cs="Arial" w:eastAsia="Arial" w:hAnsi="Arial"/>
                <w:sz w:val="14"/>
                <w:szCs w:val="14"/>
                <w:color w:val="auto"/>
              </w:rPr>
              <w:t>$   450,000</w:t>
            </w:r>
          </w:p>
        </w:tc>
        <w:tc>
          <w:tcPr>
            <w:tcW w:w="1740" w:type="dxa"/>
            <w:vAlign w:val="bottom"/>
          </w:tcPr>
          <w:p>
            <w:pPr>
              <w:jc w:val="right"/>
              <w:ind w:right="249"/>
              <w:spacing w:after="0"/>
              <w:rPr>
                <w:sz w:val="20"/>
                <w:szCs w:val="20"/>
                <w:color w:val="auto"/>
              </w:rPr>
            </w:pPr>
            <w:r>
              <w:rPr>
                <w:rFonts w:ascii="Arial" w:cs="Arial" w:eastAsia="Arial" w:hAnsi="Arial"/>
                <w:sz w:val="14"/>
                <w:szCs w:val="14"/>
                <w:color w:val="auto"/>
              </w:rPr>
              <w:t>$  1,250,000</w:t>
            </w:r>
          </w:p>
        </w:tc>
        <w:tc>
          <w:tcPr>
            <w:tcW w:w="1880" w:type="dxa"/>
            <w:vAlign w:val="bottom"/>
          </w:tcPr>
          <w:p>
            <w:pPr>
              <w:jc w:val="right"/>
              <w:ind w:right="49"/>
              <w:spacing w:after="0"/>
              <w:rPr>
                <w:sz w:val="20"/>
                <w:szCs w:val="20"/>
                <w:color w:val="auto"/>
              </w:rPr>
            </w:pPr>
            <w:r>
              <w:rPr>
                <w:rFonts w:ascii="Arial" w:cs="Arial" w:eastAsia="Arial" w:hAnsi="Arial"/>
                <w:sz w:val="14"/>
                <w:szCs w:val="14"/>
                <w:color w:val="auto"/>
              </w:rPr>
              <w:t>$  2,300,000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5</w:t>
      </w:r>
    </w:p>
    <w:p>
      <w:pPr>
        <w:spacing w:after="0" w:line="36" w:lineRule="exact"/>
        <w:rPr>
          <w:sz w:val="20"/>
          <w:szCs w:val="20"/>
          <w:color w:val="auto"/>
        </w:rPr>
      </w:pPr>
    </w:p>
    <w:p>
      <w:pPr>
        <w:ind w:left="480" w:right="220" w:hanging="313"/>
        <w:spacing w:after="0" w:line="256" w:lineRule="auto"/>
        <w:tabs>
          <w:tab w:leader="none" w:pos="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base salary and target value of 2025 performance-based annual bonus shown above for Mr. Bird and Ms. Winn reflect the amounts and percentages in effect as of December 31, 2025. Mr. Bird’s and Ms. Winn’s base salaries and performance-based annual bonus plan targets were adjusted effective June 21, 2025 and July 5, 2025, respectively, based on changes in their roles and/or responsibilities.</w:t>
      </w:r>
    </w:p>
    <w:p>
      <w:pPr>
        <w:spacing w:after="0" w:line="75" w:lineRule="exact"/>
        <w:rPr>
          <w:sz w:val="20"/>
          <w:szCs w:val="20"/>
          <w:color w:val="auto"/>
        </w:rPr>
      </w:pPr>
    </w:p>
    <w:p>
      <w:pPr>
        <w:ind w:left="160" w:right="140"/>
        <w:spacing w:after="0" w:line="245" w:lineRule="auto"/>
        <w:rPr>
          <w:sz w:val="20"/>
          <w:szCs w:val="20"/>
          <w:color w:val="auto"/>
        </w:rPr>
      </w:pPr>
      <w:r>
        <w:rPr>
          <w:rFonts w:ascii="Arial" w:cs="Arial" w:eastAsia="Arial" w:hAnsi="Arial"/>
          <w:sz w:val="14"/>
          <w:szCs w:val="14"/>
          <w:color w:val="auto"/>
        </w:rPr>
        <w:t>Target total direct compensation differs from the total compensation figures shown in the 2025 Summary Compensation Table appearing under “Executive Compensation— Compensation Tables” below. Target total direct compensation is a measure of total compensation opportunity provided in a given year. The Compensation and Talent Development Committee reviews target total direct compensation in its annual market review because it allows pay comparisons to be made across multiple organizations that may have dissimilar pay programs and different performance outcomes. Conversely, total compensation figures shown in the 2025 Summary Compensation Table combine performance outcomes of cash programs with grant date values of equity awards and include items such as the incremental, actuarial change in value of pension programs. The latter can experience extreme annual volatility based on factors such as interest rates or participants achieving vesting milestones based on age or service. For these reasons, the Compensation and Talent Development Committee believes target total direct compensation provides for more consistent annual compensation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69297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215900</wp:posOffset>
            </wp:positionV>
            <wp:extent cx="739140" cy="153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47</w:t>
      </w:r>
    </w:p>
    <w:p>
      <w:pPr>
        <w:sectPr>
          <w:pgSz w:w="11900" w:h="16838" w:orient="portrait"/>
          <w:cols w:equalWidth="0" w:num="1">
            <w:col w:w="11080"/>
          </w:cols>
          <w:pgMar w:left="320" w:top="478"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Pay-for-Performance Alignment</w:t>
      </w:r>
    </w:p>
    <w:p>
      <w:pPr>
        <w:spacing w:after="0" w:line="125" w:lineRule="exact"/>
        <w:rPr>
          <w:sz w:val="20"/>
          <w:szCs w:val="20"/>
          <w:color w:val="auto"/>
        </w:rPr>
      </w:pPr>
    </w:p>
    <w:p>
      <w:pPr>
        <w:ind w:left="160" w:right="160"/>
        <w:spacing w:after="0" w:line="253" w:lineRule="auto"/>
        <w:rPr>
          <w:sz w:val="20"/>
          <w:szCs w:val="20"/>
          <w:color w:val="auto"/>
        </w:rPr>
      </w:pPr>
      <w:r>
        <w:rPr>
          <w:rFonts w:ascii="Arial" w:cs="Arial" w:eastAsia="Arial" w:hAnsi="Arial"/>
          <w:sz w:val="14"/>
          <w:szCs w:val="14"/>
          <w:color w:val="auto"/>
        </w:rPr>
        <w:t>The Compensation and Talent Development Committee believes that pay should be structured to align executive compensation with company performance and with the interests of our shareholders. As a result, our incentive plans are designed to deliver payouts that are aligned with company performance. Our LTIP awards measure TSR performance relative to companies in the S&amp;P 500 Utilities Index and S&amp;P 500 Index and our EPS growth-based LTIP awards measure our adjusted EPS growth relative to our S&amp;P 500 Utilities Index peers.</w:t>
      </w:r>
    </w:p>
    <w:p>
      <w:pPr>
        <w:spacing w:after="0" w:line="70" w:lineRule="exact"/>
        <w:rPr>
          <w:sz w:val="20"/>
          <w:szCs w:val="20"/>
          <w:color w:val="auto"/>
        </w:rPr>
      </w:pPr>
    </w:p>
    <w:p>
      <w:pPr>
        <w:ind w:left="160" w:right="80"/>
        <w:spacing w:after="0" w:line="253" w:lineRule="auto"/>
        <w:rPr>
          <w:sz w:val="20"/>
          <w:szCs w:val="20"/>
          <w:color w:val="auto"/>
        </w:rPr>
      </w:pPr>
      <w:r>
        <w:rPr>
          <w:rFonts w:ascii="Arial" w:cs="Arial" w:eastAsia="Arial" w:hAnsi="Arial"/>
          <w:sz w:val="14"/>
          <w:szCs w:val="14"/>
          <w:color w:val="auto"/>
        </w:rPr>
        <w:t>The long-term link between pay and performance is demonstrated by comparing the LTIP payouts for our TSR-based and EPS growth-based annual LTIP awards granted from 2014 through 2023 and vesting from 2017 through 2025. Although our LTIP design and weighting of award components varied over this 10-year period, our TSR-based and EPS growth-based annual LTIP awards collectively comprised at least two-thirds of the total of each year’s annual LTIP grant date award value (with the remainder consisting of stock options or service-based restricted stock units, which are not reflected in the table below).</w:t>
      </w:r>
    </w:p>
    <w:p>
      <w:pPr>
        <w:spacing w:after="0" w:line="193" w:lineRule="exact"/>
        <w:rPr>
          <w:sz w:val="20"/>
          <w:szCs w:val="20"/>
          <w:color w:val="auto"/>
        </w:rPr>
      </w:pPr>
    </w:p>
    <w:tbl>
      <w:tblPr>
        <w:tblLayout w:type="fixed"/>
        <w:tblInd w:w="170" w:type="dxa"/>
        <w:tblCellMar>
          <w:top w:w="0" w:type="dxa"/>
          <w:left w:w="0" w:type="dxa"/>
          <w:bottom w:w="0" w:type="dxa"/>
          <w:right w:w="0" w:type="dxa"/>
        </w:tblCellMar>
      </w:tblPr>
      <w:tr>
        <w:trPr>
          <w:trHeight w:val="258"/>
        </w:trPr>
        <w:tc>
          <w:tcPr>
            <w:tcW w:w="1580" w:type="dxa"/>
            <w:vAlign w:val="bottom"/>
            <w:tcBorders>
              <w:top w:val="single" w:sz="8" w:color="005CB9"/>
              <w:left w:val="single" w:sz="8" w:color="005CB9"/>
            </w:tcBorders>
            <w:shd w:val="clear" w:color="auto" w:fill="F2F2F2"/>
          </w:tcPr>
          <w:p>
            <w:pPr>
              <w:spacing w:after="0"/>
              <w:rPr>
                <w:sz w:val="22"/>
                <w:szCs w:val="22"/>
                <w:color w:val="auto"/>
              </w:rPr>
            </w:pPr>
          </w:p>
        </w:tc>
        <w:tc>
          <w:tcPr>
            <w:tcW w:w="9340" w:type="dxa"/>
            <w:vAlign w:val="bottom"/>
            <w:tcBorders>
              <w:top w:val="single" w:sz="8" w:color="005CB9"/>
            </w:tcBorders>
            <w:shd w:val="clear" w:color="auto" w:fill="F2F2F2"/>
          </w:tcPr>
          <w:p>
            <w:pPr>
              <w:jc w:val="right"/>
              <w:ind w:right="1709"/>
              <w:spacing w:after="0"/>
              <w:rPr>
                <w:sz w:val="20"/>
                <w:szCs w:val="20"/>
                <w:color w:val="auto"/>
              </w:rPr>
            </w:pPr>
            <w:r>
              <w:rPr>
                <w:rFonts w:ascii="Arial" w:cs="Arial" w:eastAsia="Arial" w:hAnsi="Arial"/>
                <w:sz w:val="14"/>
                <w:szCs w:val="14"/>
                <w:color w:val="auto"/>
              </w:rPr>
              <w:t xml:space="preserve">The 10-year average realized payout for these awards was </w:t>
            </w:r>
            <w:r>
              <w:rPr>
                <w:rFonts w:ascii="Arial" w:cs="Arial" w:eastAsia="Arial" w:hAnsi="Arial"/>
                <w:sz w:val="14"/>
                <w:szCs w:val="14"/>
                <w:b w:val="1"/>
                <w:bCs w:val="1"/>
                <w:color w:val="auto"/>
              </w:rPr>
              <w:t>103% of target</w:t>
            </w:r>
            <w:r>
              <w:rPr>
                <w:rFonts w:ascii="Arial" w:cs="Arial" w:eastAsia="Arial" w:hAnsi="Arial"/>
                <w:sz w:val="14"/>
                <w:szCs w:val="14"/>
                <w:color w:val="auto"/>
              </w:rPr>
              <w:t>, with five years of above-target payouts</w:t>
            </w:r>
          </w:p>
        </w:tc>
        <w:tc>
          <w:tcPr>
            <w:tcW w:w="20" w:type="dxa"/>
            <w:vAlign w:val="bottom"/>
            <w:tcBorders>
              <w:top w:val="single" w:sz="8" w:color="005CB9"/>
            </w:tcBorders>
            <w:shd w:val="clear" w:color="auto" w:fill="005CB9"/>
          </w:tcPr>
          <w:p>
            <w:pPr>
              <w:spacing w:after="0"/>
              <w:rPr>
                <w:sz w:val="22"/>
                <w:szCs w:val="22"/>
                <w:color w:val="auto"/>
              </w:rPr>
            </w:pPr>
          </w:p>
        </w:tc>
      </w:tr>
      <w:tr>
        <w:trPr>
          <w:trHeight w:val="189"/>
        </w:trPr>
        <w:tc>
          <w:tcPr>
            <w:tcW w:w="1580" w:type="dxa"/>
            <w:vAlign w:val="bottom"/>
            <w:tcBorders>
              <w:left w:val="single" w:sz="8" w:color="005CB9"/>
            </w:tcBorders>
            <w:shd w:val="clear" w:color="auto" w:fill="F2F2F2"/>
          </w:tcPr>
          <w:p>
            <w:pPr>
              <w:spacing w:after="0"/>
              <w:rPr>
                <w:sz w:val="16"/>
                <w:szCs w:val="16"/>
                <w:color w:val="auto"/>
              </w:rPr>
            </w:pPr>
          </w:p>
        </w:tc>
        <w:tc>
          <w:tcPr>
            <w:tcW w:w="9340" w:type="dxa"/>
            <w:vAlign w:val="bottom"/>
            <w:shd w:val="clear" w:color="auto" w:fill="F2F2F2"/>
          </w:tcPr>
          <w:p>
            <w:pPr>
              <w:jc w:val="right"/>
              <w:ind w:right="4109"/>
              <w:spacing w:after="0"/>
              <w:rPr>
                <w:sz w:val="20"/>
                <w:szCs w:val="20"/>
                <w:color w:val="auto"/>
              </w:rPr>
            </w:pPr>
            <w:r>
              <w:rPr>
                <w:rFonts w:ascii="Arial" w:cs="Arial" w:eastAsia="Arial" w:hAnsi="Arial"/>
                <w:sz w:val="14"/>
                <w:szCs w:val="14"/>
                <w:color w:val="auto"/>
              </w:rPr>
              <w:t>and five years of below-target payouts.</w:t>
            </w:r>
          </w:p>
        </w:tc>
        <w:tc>
          <w:tcPr>
            <w:tcW w:w="20" w:type="dxa"/>
            <w:vAlign w:val="bottom"/>
            <w:shd w:val="clear" w:color="auto" w:fill="005CB9"/>
          </w:tcPr>
          <w:p>
            <w:pPr>
              <w:spacing w:after="0"/>
              <w:rPr>
                <w:sz w:val="16"/>
                <w:szCs w:val="16"/>
                <w:color w:val="auto"/>
              </w:rPr>
            </w:pPr>
          </w:p>
        </w:tc>
      </w:tr>
      <w:tr>
        <w:trPr>
          <w:trHeight w:val="88"/>
        </w:trPr>
        <w:tc>
          <w:tcPr>
            <w:tcW w:w="1580" w:type="dxa"/>
            <w:vAlign w:val="bottom"/>
            <w:tcBorders>
              <w:left w:val="single" w:sz="8" w:color="005CB9"/>
              <w:bottom w:val="single" w:sz="8" w:color="005CB9"/>
            </w:tcBorders>
            <w:shd w:val="clear" w:color="auto" w:fill="F2F2F2"/>
          </w:tcPr>
          <w:p>
            <w:pPr>
              <w:spacing w:after="0"/>
              <w:rPr>
                <w:sz w:val="7"/>
                <w:szCs w:val="7"/>
                <w:color w:val="auto"/>
              </w:rPr>
            </w:pPr>
          </w:p>
        </w:tc>
        <w:tc>
          <w:tcPr>
            <w:tcW w:w="9340" w:type="dxa"/>
            <w:vAlign w:val="bottom"/>
            <w:tcBorders>
              <w:bottom w:val="single" w:sz="8" w:color="005CB9"/>
            </w:tcBorders>
            <w:shd w:val="clear" w:color="auto" w:fill="F2F2F2"/>
          </w:tcPr>
          <w:p>
            <w:pPr>
              <w:spacing w:after="0"/>
              <w:rPr>
                <w:sz w:val="7"/>
                <w:szCs w:val="7"/>
                <w:color w:val="auto"/>
              </w:rPr>
            </w:pPr>
          </w:p>
        </w:tc>
        <w:tc>
          <w:tcPr>
            <w:tcW w:w="20" w:type="dxa"/>
            <w:vAlign w:val="bottom"/>
            <w:tcBorders>
              <w:bottom w:val="single" w:sz="8" w:color="005CB9"/>
            </w:tcBorders>
            <w:shd w:val="clear" w:color="auto" w:fill="005CB9"/>
          </w:tcPr>
          <w:p>
            <w:pPr>
              <w:spacing w:after="0"/>
              <w:rPr>
                <w:sz w:val="7"/>
                <w:szCs w:val="7"/>
                <w:color w:val="auto"/>
              </w:rPr>
            </w:pPr>
          </w:p>
        </w:tc>
      </w:tr>
      <w:tr>
        <w:trPr>
          <w:trHeight w:val="234"/>
        </w:trPr>
        <w:tc>
          <w:tcPr>
            <w:tcW w:w="158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1580" w:type="dxa"/>
            <w:vAlign w:val="bottom"/>
            <w:tcBorders>
              <w:left w:val="single" w:sz="8" w:color="005CB9"/>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Award Cycle</w:t>
            </w:r>
          </w:p>
        </w:tc>
        <w:tc>
          <w:tcPr>
            <w:tcW w:w="934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b w:val="1"/>
                <w:bCs w:val="1"/>
                <w:color w:val="FFFFFF"/>
              </w:rPr>
              <w:t>Realized Payout</w:t>
            </w:r>
          </w:p>
        </w:tc>
        <w:tc>
          <w:tcPr>
            <w:tcW w:w="20" w:type="dxa"/>
            <w:vAlign w:val="bottom"/>
          </w:tcPr>
          <w:p>
            <w:pPr>
              <w:spacing w:after="0"/>
              <w:rPr>
                <w:sz w:val="23"/>
                <w:szCs w:val="23"/>
                <w:color w:val="auto"/>
              </w:rPr>
            </w:pPr>
          </w:p>
        </w:tc>
      </w:tr>
      <w:tr>
        <w:trPr>
          <w:trHeight w:val="247"/>
        </w:trPr>
        <w:tc>
          <w:tcPr>
            <w:tcW w:w="1580" w:type="dxa"/>
            <w:vAlign w:val="bottom"/>
          </w:tcPr>
          <w:p>
            <w:pPr>
              <w:ind w:left="80"/>
              <w:spacing w:after="0"/>
              <w:rPr>
                <w:sz w:val="20"/>
                <w:szCs w:val="20"/>
                <w:color w:val="auto"/>
              </w:rPr>
            </w:pPr>
            <w:r>
              <w:rPr>
                <w:rFonts w:ascii="Arial" w:cs="Arial" w:eastAsia="Arial" w:hAnsi="Arial"/>
                <w:sz w:val="14"/>
                <w:szCs w:val="14"/>
                <w:color w:val="auto"/>
              </w:rPr>
              <w:t>2014-2017</w:t>
            </w:r>
          </w:p>
        </w:tc>
        <w:tc>
          <w:tcPr>
            <w:tcW w:w="9340" w:type="dxa"/>
            <w:vAlign w:val="bottom"/>
          </w:tcPr>
          <w:p>
            <w:pPr>
              <w:jc w:val="right"/>
              <w:ind w:right="29"/>
              <w:spacing w:after="0"/>
              <w:rPr>
                <w:sz w:val="20"/>
                <w:szCs w:val="20"/>
                <w:color w:val="auto"/>
              </w:rPr>
            </w:pPr>
            <w:r>
              <w:rPr>
                <w:rFonts w:ascii="Arial" w:cs="Arial" w:eastAsia="Arial" w:hAnsi="Arial"/>
                <w:sz w:val="14"/>
                <w:szCs w:val="14"/>
                <w:color w:val="auto"/>
              </w:rPr>
              <w:t>40% of Target</w:t>
            </w:r>
          </w:p>
        </w:tc>
        <w:tc>
          <w:tcPr>
            <w:tcW w:w="20" w:type="dxa"/>
            <w:vAlign w:val="bottom"/>
          </w:tcPr>
          <w:p>
            <w:pPr>
              <w:spacing w:after="0"/>
              <w:rPr>
                <w:sz w:val="21"/>
                <w:szCs w:val="21"/>
                <w:color w:val="auto"/>
              </w:rPr>
            </w:pPr>
          </w:p>
        </w:tc>
      </w:tr>
      <w:tr>
        <w:trPr>
          <w:trHeight w:val="48"/>
        </w:trPr>
        <w:tc>
          <w:tcPr>
            <w:tcW w:w="1580" w:type="dxa"/>
            <w:vAlign w:val="bottom"/>
            <w:tcBorders>
              <w:bottom w:val="single" w:sz="8" w:color="7F7F7F"/>
            </w:tcBorders>
          </w:tcPr>
          <w:p>
            <w:pPr>
              <w:spacing w:after="0"/>
              <w:rPr>
                <w:sz w:val="4"/>
                <w:szCs w:val="4"/>
                <w:color w:val="auto"/>
              </w:rPr>
            </w:pPr>
          </w:p>
        </w:tc>
        <w:tc>
          <w:tcPr>
            <w:tcW w:w="9340" w:type="dxa"/>
            <w:vAlign w:val="bottom"/>
            <w:tcBorders>
              <w:bottom w:val="single" w:sz="8" w:color="7F7F7F"/>
            </w:tcBorders>
          </w:tcPr>
          <w:p>
            <w:pPr>
              <w:spacing w:after="0"/>
              <w:rPr>
                <w:sz w:val="4"/>
                <w:szCs w:val="4"/>
                <w:color w:val="auto"/>
              </w:rPr>
            </w:pPr>
          </w:p>
        </w:tc>
        <w:tc>
          <w:tcPr>
            <w:tcW w:w="20" w:type="dxa"/>
            <w:vAlign w:val="bottom"/>
          </w:tcPr>
          <w:p>
            <w:pPr>
              <w:spacing w:after="0"/>
              <w:rPr>
                <w:sz w:val="4"/>
                <w:szCs w:val="4"/>
                <w:color w:val="auto"/>
              </w:rPr>
            </w:pPr>
          </w:p>
        </w:tc>
      </w:tr>
      <w:tr>
        <w:trPr>
          <w:trHeight w:val="279"/>
        </w:trPr>
        <w:tc>
          <w:tcPr>
            <w:tcW w:w="1580" w:type="dxa"/>
            <w:vAlign w:val="bottom"/>
            <w:tcBorders>
              <w:left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2015-2017</w:t>
            </w:r>
          </w:p>
        </w:tc>
        <w:tc>
          <w:tcPr>
            <w:tcW w:w="9340" w:type="dxa"/>
            <w:vAlign w:val="bottom"/>
            <w:tcBorders>
              <w:bottom w:val="single" w:sz="8" w:color="F2F2F2"/>
            </w:tcBorders>
            <w:shd w:val="clear" w:color="auto" w:fill="F2F2F2"/>
          </w:tcPr>
          <w:p>
            <w:pPr>
              <w:jc w:val="right"/>
              <w:ind w:right="29"/>
              <w:spacing w:after="0"/>
              <w:rPr>
                <w:sz w:val="20"/>
                <w:szCs w:val="20"/>
                <w:color w:val="auto"/>
              </w:rPr>
            </w:pPr>
            <w:r>
              <w:rPr>
                <w:rFonts w:ascii="Arial" w:cs="Arial" w:eastAsia="Arial" w:hAnsi="Arial"/>
                <w:sz w:val="14"/>
                <w:szCs w:val="14"/>
                <w:color w:val="auto"/>
              </w:rPr>
              <w:t>40% of Target</w:t>
            </w:r>
          </w:p>
        </w:tc>
        <w:tc>
          <w:tcPr>
            <w:tcW w:w="20" w:type="dxa"/>
            <w:vAlign w:val="bottom"/>
          </w:tcPr>
          <w:p>
            <w:pPr>
              <w:spacing w:after="0"/>
              <w:rPr>
                <w:sz w:val="23"/>
                <w:szCs w:val="23"/>
                <w:color w:val="auto"/>
              </w:rPr>
            </w:pPr>
          </w:p>
        </w:tc>
      </w:tr>
      <w:tr>
        <w:trPr>
          <w:trHeight w:val="227"/>
        </w:trPr>
        <w:tc>
          <w:tcPr>
            <w:tcW w:w="15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2016-2018</w:t>
            </w:r>
          </w:p>
        </w:tc>
        <w:tc>
          <w:tcPr>
            <w:tcW w:w="9340" w:type="dxa"/>
            <w:vAlign w:val="bottom"/>
            <w:tcBorders>
              <w:top w:val="single" w:sz="8" w:color="7F7F7F"/>
            </w:tcBorders>
          </w:tcPr>
          <w:p>
            <w:pPr>
              <w:jc w:val="right"/>
              <w:ind w:right="29"/>
              <w:spacing w:after="0"/>
              <w:rPr>
                <w:sz w:val="20"/>
                <w:szCs w:val="20"/>
                <w:color w:val="auto"/>
              </w:rPr>
            </w:pPr>
            <w:r>
              <w:rPr>
                <w:rFonts w:ascii="Arial" w:cs="Arial" w:eastAsia="Arial" w:hAnsi="Arial"/>
                <w:sz w:val="14"/>
                <w:szCs w:val="14"/>
                <w:color w:val="auto"/>
              </w:rPr>
              <w:t>40% of Target</w:t>
            </w:r>
          </w:p>
        </w:tc>
        <w:tc>
          <w:tcPr>
            <w:tcW w:w="20" w:type="dxa"/>
            <w:vAlign w:val="bottom"/>
          </w:tcPr>
          <w:p>
            <w:pPr>
              <w:spacing w:after="0"/>
              <w:rPr>
                <w:sz w:val="19"/>
                <w:szCs w:val="19"/>
                <w:color w:val="auto"/>
              </w:rPr>
            </w:pPr>
          </w:p>
        </w:tc>
      </w:tr>
      <w:tr>
        <w:trPr>
          <w:trHeight w:val="48"/>
        </w:trPr>
        <w:tc>
          <w:tcPr>
            <w:tcW w:w="1580" w:type="dxa"/>
            <w:vAlign w:val="bottom"/>
            <w:tcBorders>
              <w:bottom w:val="single" w:sz="8" w:color="7F7F7F"/>
            </w:tcBorders>
          </w:tcPr>
          <w:p>
            <w:pPr>
              <w:spacing w:after="0"/>
              <w:rPr>
                <w:sz w:val="4"/>
                <w:szCs w:val="4"/>
                <w:color w:val="auto"/>
              </w:rPr>
            </w:pPr>
          </w:p>
        </w:tc>
        <w:tc>
          <w:tcPr>
            <w:tcW w:w="9340" w:type="dxa"/>
            <w:vAlign w:val="bottom"/>
            <w:tcBorders>
              <w:bottom w:val="single" w:sz="8" w:color="7F7F7F"/>
            </w:tcBorders>
          </w:tcPr>
          <w:p>
            <w:pPr>
              <w:spacing w:after="0"/>
              <w:rPr>
                <w:sz w:val="4"/>
                <w:szCs w:val="4"/>
                <w:color w:val="auto"/>
              </w:rPr>
            </w:pPr>
          </w:p>
        </w:tc>
        <w:tc>
          <w:tcPr>
            <w:tcW w:w="20" w:type="dxa"/>
            <w:vAlign w:val="bottom"/>
          </w:tcPr>
          <w:p>
            <w:pPr>
              <w:spacing w:after="0"/>
              <w:rPr>
                <w:sz w:val="4"/>
                <w:szCs w:val="4"/>
                <w:color w:val="auto"/>
              </w:rPr>
            </w:pPr>
          </w:p>
        </w:tc>
      </w:tr>
      <w:tr>
        <w:trPr>
          <w:trHeight w:val="279"/>
        </w:trPr>
        <w:tc>
          <w:tcPr>
            <w:tcW w:w="1580" w:type="dxa"/>
            <w:vAlign w:val="bottom"/>
            <w:tcBorders>
              <w:left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2017-2019</w:t>
            </w:r>
          </w:p>
        </w:tc>
        <w:tc>
          <w:tcPr>
            <w:tcW w:w="9340" w:type="dxa"/>
            <w:vAlign w:val="bottom"/>
            <w:tcBorders>
              <w:bottom w:val="single" w:sz="8" w:color="F2F2F2"/>
            </w:tcBorders>
            <w:shd w:val="clear" w:color="auto" w:fill="F2F2F2"/>
          </w:tcPr>
          <w:p>
            <w:pPr>
              <w:jc w:val="right"/>
              <w:ind w:right="29"/>
              <w:spacing w:after="0"/>
              <w:rPr>
                <w:sz w:val="20"/>
                <w:szCs w:val="20"/>
                <w:color w:val="auto"/>
              </w:rPr>
            </w:pPr>
            <w:r>
              <w:rPr>
                <w:rFonts w:ascii="Arial" w:cs="Arial" w:eastAsia="Arial" w:hAnsi="Arial"/>
                <w:sz w:val="14"/>
                <w:szCs w:val="14"/>
                <w:color w:val="auto"/>
              </w:rPr>
              <w:t>151% of Target</w:t>
            </w:r>
          </w:p>
        </w:tc>
        <w:tc>
          <w:tcPr>
            <w:tcW w:w="20" w:type="dxa"/>
            <w:vAlign w:val="bottom"/>
          </w:tcPr>
          <w:p>
            <w:pPr>
              <w:spacing w:after="0"/>
              <w:rPr>
                <w:sz w:val="23"/>
                <w:szCs w:val="23"/>
                <w:color w:val="auto"/>
              </w:rPr>
            </w:pPr>
          </w:p>
        </w:tc>
      </w:tr>
      <w:tr>
        <w:trPr>
          <w:trHeight w:val="227"/>
        </w:trPr>
        <w:tc>
          <w:tcPr>
            <w:tcW w:w="15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2018-2020</w:t>
            </w:r>
          </w:p>
        </w:tc>
        <w:tc>
          <w:tcPr>
            <w:tcW w:w="9340" w:type="dxa"/>
            <w:vAlign w:val="bottom"/>
            <w:tcBorders>
              <w:top w:val="single" w:sz="8" w:color="7F7F7F"/>
            </w:tcBorders>
          </w:tcPr>
          <w:p>
            <w:pPr>
              <w:jc w:val="right"/>
              <w:ind w:right="29"/>
              <w:spacing w:after="0"/>
              <w:rPr>
                <w:sz w:val="20"/>
                <w:szCs w:val="20"/>
                <w:color w:val="auto"/>
              </w:rPr>
            </w:pPr>
            <w:r>
              <w:rPr>
                <w:rFonts w:ascii="Arial" w:cs="Arial" w:eastAsia="Arial" w:hAnsi="Arial"/>
                <w:sz w:val="14"/>
                <w:szCs w:val="14"/>
                <w:color w:val="auto"/>
              </w:rPr>
              <w:t>137% of Target</w:t>
            </w:r>
          </w:p>
        </w:tc>
        <w:tc>
          <w:tcPr>
            <w:tcW w:w="20" w:type="dxa"/>
            <w:vAlign w:val="bottom"/>
          </w:tcPr>
          <w:p>
            <w:pPr>
              <w:spacing w:after="0"/>
              <w:rPr>
                <w:sz w:val="19"/>
                <w:szCs w:val="19"/>
                <w:color w:val="auto"/>
              </w:rPr>
            </w:pPr>
          </w:p>
        </w:tc>
      </w:tr>
      <w:tr>
        <w:trPr>
          <w:trHeight w:val="48"/>
        </w:trPr>
        <w:tc>
          <w:tcPr>
            <w:tcW w:w="1580" w:type="dxa"/>
            <w:vAlign w:val="bottom"/>
            <w:tcBorders>
              <w:bottom w:val="single" w:sz="8" w:color="7F7F7F"/>
            </w:tcBorders>
          </w:tcPr>
          <w:p>
            <w:pPr>
              <w:spacing w:after="0"/>
              <w:rPr>
                <w:sz w:val="4"/>
                <w:szCs w:val="4"/>
                <w:color w:val="auto"/>
              </w:rPr>
            </w:pPr>
          </w:p>
        </w:tc>
        <w:tc>
          <w:tcPr>
            <w:tcW w:w="9340" w:type="dxa"/>
            <w:vAlign w:val="bottom"/>
            <w:tcBorders>
              <w:bottom w:val="single" w:sz="8" w:color="7F7F7F"/>
            </w:tcBorders>
          </w:tcPr>
          <w:p>
            <w:pPr>
              <w:spacing w:after="0"/>
              <w:rPr>
                <w:sz w:val="4"/>
                <w:szCs w:val="4"/>
                <w:color w:val="auto"/>
              </w:rPr>
            </w:pPr>
          </w:p>
        </w:tc>
        <w:tc>
          <w:tcPr>
            <w:tcW w:w="20" w:type="dxa"/>
            <w:vAlign w:val="bottom"/>
          </w:tcPr>
          <w:p>
            <w:pPr>
              <w:spacing w:after="0"/>
              <w:rPr>
                <w:sz w:val="4"/>
                <w:szCs w:val="4"/>
                <w:color w:val="auto"/>
              </w:rPr>
            </w:pPr>
          </w:p>
        </w:tc>
      </w:tr>
      <w:tr>
        <w:trPr>
          <w:trHeight w:val="279"/>
        </w:trPr>
        <w:tc>
          <w:tcPr>
            <w:tcW w:w="1580" w:type="dxa"/>
            <w:vAlign w:val="bottom"/>
            <w:tcBorders>
              <w:left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2019-2021</w:t>
            </w:r>
          </w:p>
        </w:tc>
        <w:tc>
          <w:tcPr>
            <w:tcW w:w="9340" w:type="dxa"/>
            <w:vAlign w:val="bottom"/>
            <w:tcBorders>
              <w:bottom w:val="single" w:sz="8" w:color="F2F2F2"/>
            </w:tcBorders>
            <w:shd w:val="clear" w:color="auto" w:fill="F2F2F2"/>
          </w:tcPr>
          <w:p>
            <w:pPr>
              <w:jc w:val="right"/>
              <w:ind w:right="29"/>
              <w:spacing w:after="0"/>
              <w:rPr>
                <w:sz w:val="20"/>
                <w:szCs w:val="20"/>
                <w:color w:val="auto"/>
              </w:rPr>
            </w:pPr>
            <w:r>
              <w:rPr>
                <w:rFonts w:ascii="Arial" w:cs="Arial" w:eastAsia="Arial" w:hAnsi="Arial"/>
                <w:sz w:val="14"/>
                <w:szCs w:val="14"/>
                <w:color w:val="auto"/>
              </w:rPr>
              <w:t>89% of Target</w:t>
            </w:r>
          </w:p>
        </w:tc>
        <w:tc>
          <w:tcPr>
            <w:tcW w:w="20" w:type="dxa"/>
            <w:vAlign w:val="bottom"/>
          </w:tcPr>
          <w:p>
            <w:pPr>
              <w:spacing w:after="0"/>
              <w:rPr>
                <w:sz w:val="23"/>
                <w:szCs w:val="23"/>
                <w:color w:val="auto"/>
              </w:rPr>
            </w:pPr>
          </w:p>
        </w:tc>
      </w:tr>
      <w:tr>
        <w:trPr>
          <w:trHeight w:val="227"/>
        </w:trPr>
        <w:tc>
          <w:tcPr>
            <w:tcW w:w="15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2020-2022</w:t>
            </w:r>
          </w:p>
        </w:tc>
        <w:tc>
          <w:tcPr>
            <w:tcW w:w="9340" w:type="dxa"/>
            <w:vAlign w:val="bottom"/>
            <w:tcBorders>
              <w:top w:val="single" w:sz="8" w:color="7F7F7F"/>
            </w:tcBorders>
          </w:tcPr>
          <w:p>
            <w:pPr>
              <w:jc w:val="right"/>
              <w:ind w:right="29"/>
              <w:spacing w:after="0"/>
              <w:rPr>
                <w:sz w:val="20"/>
                <w:szCs w:val="20"/>
                <w:color w:val="auto"/>
              </w:rPr>
            </w:pPr>
            <w:r>
              <w:rPr>
                <w:rFonts w:ascii="Arial" w:cs="Arial" w:eastAsia="Arial" w:hAnsi="Arial"/>
                <w:sz w:val="14"/>
                <w:szCs w:val="14"/>
                <w:color w:val="auto"/>
              </w:rPr>
              <w:t>140% of Target</w:t>
            </w:r>
          </w:p>
        </w:tc>
        <w:tc>
          <w:tcPr>
            <w:tcW w:w="20" w:type="dxa"/>
            <w:vAlign w:val="bottom"/>
          </w:tcPr>
          <w:p>
            <w:pPr>
              <w:spacing w:after="0"/>
              <w:rPr>
                <w:sz w:val="19"/>
                <w:szCs w:val="19"/>
                <w:color w:val="auto"/>
              </w:rPr>
            </w:pPr>
          </w:p>
        </w:tc>
      </w:tr>
      <w:tr>
        <w:trPr>
          <w:trHeight w:val="48"/>
        </w:trPr>
        <w:tc>
          <w:tcPr>
            <w:tcW w:w="1580" w:type="dxa"/>
            <w:vAlign w:val="bottom"/>
            <w:tcBorders>
              <w:bottom w:val="single" w:sz="8" w:color="7F7F7F"/>
            </w:tcBorders>
          </w:tcPr>
          <w:p>
            <w:pPr>
              <w:spacing w:after="0"/>
              <w:rPr>
                <w:sz w:val="4"/>
                <w:szCs w:val="4"/>
                <w:color w:val="auto"/>
              </w:rPr>
            </w:pPr>
          </w:p>
        </w:tc>
        <w:tc>
          <w:tcPr>
            <w:tcW w:w="9340" w:type="dxa"/>
            <w:vAlign w:val="bottom"/>
            <w:tcBorders>
              <w:bottom w:val="single" w:sz="8" w:color="7F7F7F"/>
            </w:tcBorders>
          </w:tcPr>
          <w:p>
            <w:pPr>
              <w:spacing w:after="0"/>
              <w:rPr>
                <w:sz w:val="4"/>
                <w:szCs w:val="4"/>
                <w:color w:val="auto"/>
              </w:rPr>
            </w:pPr>
          </w:p>
        </w:tc>
        <w:tc>
          <w:tcPr>
            <w:tcW w:w="20" w:type="dxa"/>
            <w:vAlign w:val="bottom"/>
          </w:tcPr>
          <w:p>
            <w:pPr>
              <w:spacing w:after="0"/>
              <w:rPr>
                <w:sz w:val="4"/>
                <w:szCs w:val="4"/>
                <w:color w:val="auto"/>
              </w:rPr>
            </w:pPr>
          </w:p>
        </w:tc>
      </w:tr>
      <w:tr>
        <w:trPr>
          <w:trHeight w:val="279"/>
        </w:trPr>
        <w:tc>
          <w:tcPr>
            <w:tcW w:w="1580" w:type="dxa"/>
            <w:vAlign w:val="bottom"/>
            <w:tcBorders>
              <w:left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2021-2023</w:t>
            </w:r>
          </w:p>
        </w:tc>
        <w:tc>
          <w:tcPr>
            <w:tcW w:w="9340" w:type="dxa"/>
            <w:vAlign w:val="bottom"/>
            <w:tcBorders>
              <w:bottom w:val="single" w:sz="8" w:color="F2F2F2"/>
            </w:tcBorders>
            <w:shd w:val="clear" w:color="auto" w:fill="F2F2F2"/>
          </w:tcPr>
          <w:p>
            <w:pPr>
              <w:jc w:val="right"/>
              <w:ind w:right="29"/>
              <w:spacing w:after="0"/>
              <w:rPr>
                <w:sz w:val="20"/>
                <w:szCs w:val="20"/>
                <w:color w:val="auto"/>
              </w:rPr>
            </w:pPr>
            <w:r>
              <w:rPr>
                <w:rFonts w:ascii="Arial" w:cs="Arial" w:eastAsia="Arial" w:hAnsi="Arial"/>
                <w:sz w:val="14"/>
                <w:szCs w:val="14"/>
                <w:color w:val="auto"/>
              </w:rPr>
              <w:t>163% of Target</w:t>
            </w:r>
          </w:p>
        </w:tc>
        <w:tc>
          <w:tcPr>
            <w:tcW w:w="20" w:type="dxa"/>
            <w:vAlign w:val="bottom"/>
          </w:tcPr>
          <w:p>
            <w:pPr>
              <w:spacing w:after="0"/>
              <w:rPr>
                <w:sz w:val="23"/>
                <w:szCs w:val="23"/>
                <w:color w:val="auto"/>
              </w:rPr>
            </w:pPr>
          </w:p>
        </w:tc>
      </w:tr>
      <w:tr>
        <w:trPr>
          <w:trHeight w:val="227"/>
        </w:trPr>
        <w:tc>
          <w:tcPr>
            <w:tcW w:w="15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2022-2024</w:t>
            </w:r>
          </w:p>
        </w:tc>
        <w:tc>
          <w:tcPr>
            <w:tcW w:w="9340" w:type="dxa"/>
            <w:vAlign w:val="bottom"/>
            <w:tcBorders>
              <w:top w:val="single" w:sz="8" w:color="7F7F7F"/>
            </w:tcBorders>
          </w:tcPr>
          <w:p>
            <w:pPr>
              <w:jc w:val="right"/>
              <w:ind w:right="29"/>
              <w:spacing w:after="0"/>
              <w:rPr>
                <w:sz w:val="20"/>
                <w:szCs w:val="20"/>
                <w:color w:val="auto"/>
              </w:rPr>
            </w:pPr>
            <w:r>
              <w:rPr>
                <w:rFonts w:ascii="Arial" w:cs="Arial" w:eastAsia="Arial" w:hAnsi="Arial"/>
                <w:sz w:val="14"/>
                <w:szCs w:val="14"/>
                <w:color w:val="auto"/>
              </w:rPr>
              <w:t>190% of Target</w:t>
            </w:r>
          </w:p>
        </w:tc>
        <w:tc>
          <w:tcPr>
            <w:tcW w:w="20" w:type="dxa"/>
            <w:vAlign w:val="bottom"/>
          </w:tcPr>
          <w:p>
            <w:pPr>
              <w:spacing w:after="0"/>
              <w:rPr>
                <w:sz w:val="19"/>
                <w:szCs w:val="19"/>
                <w:color w:val="auto"/>
              </w:rPr>
            </w:pPr>
          </w:p>
        </w:tc>
      </w:tr>
      <w:tr>
        <w:trPr>
          <w:trHeight w:val="48"/>
        </w:trPr>
        <w:tc>
          <w:tcPr>
            <w:tcW w:w="1580" w:type="dxa"/>
            <w:vAlign w:val="bottom"/>
            <w:tcBorders>
              <w:bottom w:val="single" w:sz="8" w:color="7F7F7F"/>
            </w:tcBorders>
          </w:tcPr>
          <w:p>
            <w:pPr>
              <w:spacing w:after="0"/>
              <w:rPr>
                <w:sz w:val="4"/>
                <w:szCs w:val="4"/>
                <w:color w:val="auto"/>
              </w:rPr>
            </w:pPr>
          </w:p>
        </w:tc>
        <w:tc>
          <w:tcPr>
            <w:tcW w:w="9340" w:type="dxa"/>
            <w:vAlign w:val="bottom"/>
            <w:tcBorders>
              <w:bottom w:val="single" w:sz="8" w:color="7F7F7F"/>
            </w:tcBorders>
          </w:tcPr>
          <w:p>
            <w:pPr>
              <w:spacing w:after="0"/>
              <w:rPr>
                <w:sz w:val="4"/>
                <w:szCs w:val="4"/>
                <w:color w:val="auto"/>
              </w:rPr>
            </w:pPr>
          </w:p>
        </w:tc>
        <w:tc>
          <w:tcPr>
            <w:tcW w:w="20" w:type="dxa"/>
            <w:vAlign w:val="bottom"/>
          </w:tcPr>
          <w:p>
            <w:pPr>
              <w:spacing w:after="0"/>
              <w:rPr>
                <w:sz w:val="4"/>
                <w:szCs w:val="4"/>
                <w:color w:val="auto"/>
              </w:rPr>
            </w:pPr>
          </w:p>
        </w:tc>
      </w:tr>
      <w:tr>
        <w:trPr>
          <w:trHeight w:val="279"/>
        </w:trPr>
        <w:tc>
          <w:tcPr>
            <w:tcW w:w="1580" w:type="dxa"/>
            <w:vAlign w:val="bottom"/>
            <w:tcBorders>
              <w:left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2023-2025</w:t>
            </w:r>
          </w:p>
        </w:tc>
        <w:tc>
          <w:tcPr>
            <w:tcW w:w="9340" w:type="dxa"/>
            <w:vAlign w:val="bottom"/>
            <w:tcBorders>
              <w:bottom w:val="single" w:sz="8" w:color="F2F2F2"/>
            </w:tcBorders>
            <w:shd w:val="clear" w:color="auto" w:fill="F2F2F2"/>
          </w:tcPr>
          <w:p>
            <w:pPr>
              <w:jc w:val="right"/>
              <w:ind w:right="29"/>
              <w:spacing w:after="0"/>
              <w:rPr>
                <w:sz w:val="20"/>
                <w:szCs w:val="20"/>
                <w:color w:val="auto"/>
              </w:rPr>
            </w:pPr>
            <w:r>
              <w:rPr>
                <w:rFonts w:ascii="Arial" w:cs="Arial" w:eastAsia="Arial" w:hAnsi="Arial"/>
                <w:sz w:val="14"/>
                <w:szCs w:val="14"/>
                <w:color w:val="auto"/>
              </w:rPr>
              <w:t>35% of Target</w:t>
            </w:r>
          </w:p>
        </w:tc>
        <w:tc>
          <w:tcPr>
            <w:tcW w:w="20" w:type="dxa"/>
            <w:vAlign w:val="bottom"/>
          </w:tcPr>
          <w:p>
            <w:pPr>
              <w:spacing w:after="0"/>
              <w:rPr>
                <w:sz w:val="23"/>
                <w:szCs w:val="23"/>
                <w:color w:val="auto"/>
              </w:rPr>
            </w:pPr>
          </w:p>
        </w:tc>
      </w:tr>
      <w:tr>
        <w:trPr>
          <w:trHeight w:val="233"/>
        </w:trPr>
        <w:tc>
          <w:tcPr>
            <w:tcW w:w="1580" w:type="dxa"/>
            <w:vAlign w:val="bottom"/>
            <w:tcBorders>
              <w:top w:val="single" w:sz="8" w:color="7F7F7F"/>
            </w:tcBorders>
          </w:tcPr>
          <w:p>
            <w:pPr>
              <w:ind w:left="80"/>
              <w:spacing w:after="0"/>
              <w:rPr>
                <w:sz w:val="20"/>
                <w:szCs w:val="20"/>
                <w:color w:val="auto"/>
              </w:rPr>
            </w:pPr>
            <w:r>
              <w:rPr>
                <w:rFonts w:ascii="Arial" w:cs="Arial" w:eastAsia="Arial" w:hAnsi="Arial"/>
                <w:sz w:val="14"/>
                <w:szCs w:val="14"/>
                <w:b w:val="1"/>
                <w:bCs w:val="1"/>
                <w:color w:val="auto"/>
              </w:rPr>
              <w:t>Ten-Year Average</w:t>
            </w:r>
          </w:p>
        </w:tc>
        <w:tc>
          <w:tcPr>
            <w:tcW w:w="9340" w:type="dxa"/>
            <w:vAlign w:val="bottom"/>
            <w:tcBorders>
              <w:top w:val="single" w:sz="8" w:color="7F7F7F"/>
            </w:tcBorders>
          </w:tcPr>
          <w:p>
            <w:pPr>
              <w:jc w:val="right"/>
              <w:ind w:right="29"/>
              <w:spacing w:after="0"/>
              <w:rPr>
                <w:sz w:val="20"/>
                <w:szCs w:val="20"/>
                <w:color w:val="auto"/>
              </w:rPr>
            </w:pPr>
            <w:r>
              <w:rPr>
                <w:rFonts w:ascii="Arial" w:cs="Arial" w:eastAsia="Arial" w:hAnsi="Arial"/>
                <w:sz w:val="14"/>
                <w:szCs w:val="14"/>
                <w:b w:val="1"/>
                <w:bCs w:val="1"/>
                <w:color w:val="auto"/>
              </w:rPr>
              <w:t>103% of Target</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26670</wp:posOffset>
            </wp:positionV>
            <wp:extent cx="69297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6</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Rigor of Incentive Targets</w:t>
      </w:r>
    </w:p>
    <w:p>
      <w:pPr>
        <w:spacing w:after="0" w:line="125" w:lineRule="exact"/>
        <w:rPr>
          <w:sz w:val="20"/>
          <w:szCs w:val="20"/>
          <w:color w:val="auto"/>
        </w:rPr>
      </w:pPr>
    </w:p>
    <w:p>
      <w:pPr>
        <w:ind w:left="160" w:right="140"/>
        <w:spacing w:after="0" w:line="246" w:lineRule="auto"/>
        <w:rPr>
          <w:sz w:val="20"/>
          <w:szCs w:val="20"/>
          <w:color w:val="auto"/>
        </w:rPr>
      </w:pPr>
      <w:r>
        <w:rPr>
          <w:rFonts w:ascii="Arial" w:cs="Arial" w:eastAsia="Arial" w:hAnsi="Arial"/>
          <w:sz w:val="14"/>
          <w:szCs w:val="14"/>
          <w:color w:val="auto"/>
        </w:rPr>
        <w:t>At the start of each year, our Compensation and Talent Development Committee sets challenging yet achievable incentive targets, designed to consider anticipated challenges and opportunities, to motivate our team to drive strong performance and sustained value creation, and to closely align executives’ interests with the interests of our shareholders. The committee’s robust process starts with an evaluation of the company’s annual and long-term financial plans and strategies, which take into account a wide range of internal and external factors such as macroeconomic, regulatory and market conditions and others that influence execution on our strategic priorities and overall performance. As a result of these factors, which are driven by business cycles and are not always linear, prior-year results do not necessarily underpin current-year targets. The committee also reviews recommendations from management and receives input from its independent compensation consultant. This comprehensive process results in rigorous targets that motivate leadership to strive for high levels of sustained performance.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Performance-Based Annual Bonus Plan</w:t>
      </w:r>
    </w:p>
    <w:p>
      <w:pPr>
        <w:spacing w:after="0" w:line="110" w:lineRule="exact"/>
        <w:rPr>
          <w:sz w:val="20"/>
          <w:szCs w:val="20"/>
          <w:color w:val="auto"/>
        </w:rPr>
      </w:pPr>
    </w:p>
    <w:p>
      <w:pPr>
        <w:ind w:left="160" w:right="20"/>
        <w:spacing w:after="0" w:line="249" w:lineRule="auto"/>
        <w:rPr>
          <w:sz w:val="20"/>
          <w:szCs w:val="20"/>
          <w:color w:val="auto"/>
        </w:rPr>
      </w:pPr>
      <w:r>
        <w:rPr>
          <w:rFonts w:ascii="Arial" w:cs="Arial" w:eastAsia="Arial" w:hAnsi="Arial"/>
          <w:sz w:val="14"/>
          <w:szCs w:val="14"/>
          <w:color w:val="auto"/>
        </w:rPr>
        <w:t>For 2025, the Compensation and Talent Development Committee selected earnings (weighted at 80%), safety (weighted at 12%) and responsible business practices (weighted at 8%) for the measurement of annual company performance under the performance-based annual bonus plan. The committee utilizes earnings as the basis of the primary annual bonus metric because it believes this measure provides an accurate and comprehensive picture of annual company financial performance that plan participants, shareholders, analysts and other parties can easily understand. The committee makes certain predefined adjustments to GAAP earnings as described in Appendix B to this proxy statement to calculate ABP Earnings.</w:t>
      </w:r>
    </w:p>
    <w:p>
      <w:pPr>
        <w:spacing w:after="0" w:line="74" w:lineRule="exact"/>
        <w:rPr>
          <w:sz w:val="20"/>
          <w:szCs w:val="20"/>
          <w:color w:val="auto"/>
        </w:rPr>
      </w:pPr>
    </w:p>
    <w:p>
      <w:pPr>
        <w:ind w:left="160" w:right="60"/>
        <w:spacing w:after="0" w:line="245" w:lineRule="auto"/>
        <w:rPr>
          <w:sz w:val="20"/>
          <w:szCs w:val="20"/>
          <w:color w:val="auto"/>
        </w:rPr>
      </w:pPr>
      <w:r>
        <w:rPr>
          <w:rFonts w:ascii="Arial" w:cs="Arial" w:eastAsia="Arial" w:hAnsi="Arial"/>
          <w:sz w:val="14"/>
          <w:szCs w:val="14"/>
          <w:color w:val="auto"/>
        </w:rPr>
        <w:t>The committee set a challenging 2025 ABP Earnings target of $2,912 million based on the company’s financial plan and consistent with the 2025 earnings guidance announced in February 2025. The 2025 target was lower than the 2024 ABP earnings target due to several factors, including (1) at Sempra California, the impact from regulatory outcomes in late 2024 that affected our forecasts for 2025, including the CPUC’s 2024 General Rate Case final decision, a CPUC decision resulting in lower authorized cost of capital for 2025, and an order by the Federal Energy Regulatory Commission resulting in lost eligibility for the additional return on equity for participating in the California Independent System Operator market; (2) at Sempra Texas, higher expected operating and maintenance costs and interest expenses, as well as the anticipated impacts from Oncor’s filing of a new base rate review with the PUCT; and (3) at Sempra Infrastructure, the delay in the commercial operations date from 2025 to 2026 for the ECA LNG Phase 1 project under construction. In consideration of the lower target value, the committee widened the range between the 2025 ABP Earnings target and maximum goals to $291 million, which is 19% broader than the $244 million range in 2024.</w:t>
      </w:r>
    </w:p>
    <w:p>
      <w:pPr>
        <w:spacing w:after="0" w:line="76" w:lineRule="exact"/>
        <w:rPr>
          <w:sz w:val="20"/>
          <w:szCs w:val="20"/>
          <w:color w:val="auto"/>
        </w:rPr>
      </w:pPr>
    </w:p>
    <w:p>
      <w:pPr>
        <w:ind w:left="160" w:right="60"/>
        <w:spacing w:after="0" w:line="260" w:lineRule="auto"/>
        <w:rPr>
          <w:sz w:val="20"/>
          <w:szCs w:val="20"/>
          <w:color w:val="auto"/>
        </w:rPr>
      </w:pPr>
      <w:r>
        <w:rPr>
          <w:rFonts w:ascii="Arial" w:cs="Arial" w:eastAsia="Arial" w:hAnsi="Arial"/>
          <w:sz w:val="14"/>
          <w:szCs w:val="14"/>
          <w:color w:val="auto"/>
        </w:rPr>
        <w:t>Our 2025 ABP Earnings of $3,154 million was between our ABP Earnings target of $2,912 million and our ABP Earnings maximum goal of $3,203 million. Our above-target performance was driven primarily by (1) at Sempra Texas, establishment of the Unified Tracker Mechanism, which is designed to improve the efficiency of recovery of capital investment costs and (2) at Sempra Infrastructure, enhanced optimization of transportation and supply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69297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48               </w:t>
      </w:r>
      <w:r>
        <w:rPr>
          <w:sz w:val="1"/>
          <w:szCs w:val="1"/>
          <w:color w:val="auto"/>
        </w:rPr>
        <w:drawing>
          <wp:inline distT="0" distB="0" distL="0" distR="0">
            <wp:extent cx="739140" cy="153035"/>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100"/>
          </w:cols>
          <w:pgMar w:left="320" w:top="478"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56" w:lineRule="exact"/>
        <w:rPr>
          <w:sz w:val="20"/>
          <w:szCs w:val="20"/>
          <w:color w:val="auto"/>
        </w:rPr>
      </w:pPr>
    </w:p>
    <w:p>
      <w:pPr>
        <w:ind w:left="160" w:right="80"/>
        <w:spacing w:after="0" w:line="253" w:lineRule="auto"/>
        <w:rPr>
          <w:sz w:val="20"/>
          <w:szCs w:val="20"/>
          <w:color w:val="auto"/>
        </w:rPr>
      </w:pPr>
      <w:r>
        <w:rPr>
          <w:rFonts w:ascii="Arial" w:cs="Arial" w:eastAsia="Arial" w:hAnsi="Arial"/>
          <w:sz w:val="14"/>
          <w:szCs w:val="14"/>
          <w:color w:val="auto"/>
        </w:rPr>
        <w:t>Adjustments to GAAP earnings were predefined at the time the Compensation and Talent Development Committee determined the 2025 annual bonus plan goals. For a reconciliation of GAAP earnings to ABP Earnings, see “Reconciliation of 2025 GAAP Earnings to ABP Earnings” below and Appendix B to this proxy statement. For detailed information about the component measurements of annual company performance under the performance-based annual bonus plan, see “Annual Bonus Performance Results” below and Appendix B to this proxy statement.</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Long-Term Equity-Based Incentives</w:t>
      </w:r>
    </w:p>
    <w:p>
      <w:pPr>
        <w:spacing w:after="0" w:line="110"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The 2025 annual LTIP award design for Messrs. Martin and Bird and Ms. Sedgwick was 100% performance based, with two-thirds in performance-based restricted stock units and one-third in nonqualified stock options, which the Compensation and Talent Development Committee views as performance-based because their value depends on our stock price increasing over time. The 2025 annual LTIP award design for Mss. Winn and Day was two-thirds performance-based restricted stock units and one-third service-based restricted stock units. The performance measures and weightings for the 2025 annual long-term incentive plan awards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143510</wp:posOffset>
            </wp:positionV>
            <wp:extent cx="69297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4017010" cy="1783715"/>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017010" cy="1783715"/>
                    </a:xfrm>
                    <a:prstGeom prst="rect">
                      <a:avLst/>
                    </a:prstGeom>
                    <a:noFill/>
                    <a:ln>
                      <a:noFill/>
                    </a:ln>
                  </pic:spPr>
                </pic:pic>
              </a:graphicData>
            </a:graphic>
          </wp:inline>
        </w:drawing>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162560</wp:posOffset>
            </wp:positionV>
            <wp:extent cx="69297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Figure 4</w:t>
      </w:r>
    </w:p>
    <w:p>
      <w:pPr>
        <w:spacing w:after="0" w:line="36" w:lineRule="exact"/>
        <w:rPr>
          <w:sz w:val="20"/>
          <w:szCs w:val="20"/>
          <w:color w:val="auto"/>
        </w:rPr>
      </w:pPr>
    </w:p>
    <w:p>
      <w:pPr>
        <w:ind w:left="480" w:right="60" w:hanging="313"/>
        <w:spacing w:after="0" w:line="267" w:lineRule="auto"/>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TSR portion of the awards includes two components: one that measures TSR relative to the S&amp;P 500 Utilities Index, weighted at 70%, and one that measures TSR relative to the S&amp;P 500 Index, weighted at 30%.</w:t>
      </w:r>
    </w:p>
    <w:p>
      <w:pPr>
        <w:ind w:left="480" w:right="220" w:hanging="313"/>
        <w:spacing w:after="0" w:line="279" w:lineRule="auto"/>
        <w:tabs>
          <w:tab w:leader="none" w:pos="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Stock options were awarded to the Chief Executive Officer and Executive Vice Presidents as of January 2, 2025. Other participants, consisting of Ms. Winn, who was promoted to Executive Vice President in July 2025, and Ms. Day, received service-based restricted stock units (RSUs) in lieu of stock options.</w:t>
      </w:r>
    </w:p>
    <w:p>
      <w:pPr>
        <w:spacing w:after="0" w:line="62"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The 2025 annual long-term incentive plan awards include two performance measures — relative total shareholder return (weighted at one-third of the total award value, 70% of which is based on performance against the S&amp;P 500 Utilities Index and 30% of which is based on performance against the S&amp;P 500 Index) and EPS growth (weighted at one-third of the total award value). The Compensation and Talent Development Committee measures performance against challenging targets in order to drive long-term growth and closely align executives’ interests with the interests of our shareholders.</w:t>
      </w:r>
    </w:p>
    <w:p>
      <w:pPr>
        <w:spacing w:after="0" w:line="93" w:lineRule="exact"/>
        <w:rPr>
          <w:sz w:val="20"/>
          <w:szCs w:val="20"/>
          <w:color w:val="auto"/>
        </w:rPr>
      </w:pPr>
    </w:p>
    <w:p>
      <w:pPr>
        <w:ind w:left="160"/>
        <w:spacing w:after="0" w:line="190" w:lineRule="auto"/>
        <w:rPr>
          <w:sz w:val="20"/>
          <w:szCs w:val="20"/>
          <w:color w:val="auto"/>
        </w:rPr>
      </w:pPr>
      <w:r>
        <w:rPr>
          <w:rFonts w:ascii="Arial" w:cs="Arial" w:eastAsia="Arial" w:hAnsi="Arial"/>
          <w:sz w:val="14"/>
          <w:szCs w:val="14"/>
          <w:color w:val="auto"/>
        </w:rPr>
        <w:t>In the event that Sempra’s total shareholder return is below the 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of the relevant index (S&amp;P 500 Utilities Index or S&amp;P 500 Index), participants receive zero shares for that portion of the award. To achieve the maximum payout, performance must be at or above the 90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of the relevant index (S&amp;P 500 Utilities Index or S&amp;P 500 Index). For the EPS growth portion of the annual LTIP award, no payout is made if our adjusted EPS CAGR is below the 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relative to the adjusted EPS CAGRs of our S&amp;P 500 Utilities Index peers. To achieve maximum payout, performance must be at or above the 90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relative to our S&amp;P 500 Utilities Index peers.</w:t>
      </w:r>
    </w:p>
    <w:p>
      <w:pPr>
        <w:spacing w:after="0" w:line="28" w:lineRule="exact"/>
        <w:rPr>
          <w:sz w:val="20"/>
          <w:szCs w:val="20"/>
          <w:color w:val="auto"/>
        </w:rPr>
      </w:pPr>
    </w:p>
    <w:p>
      <w:pPr>
        <w:ind w:left="160" w:right="320"/>
        <w:spacing w:after="0" w:line="281" w:lineRule="auto"/>
        <w:rPr>
          <w:sz w:val="20"/>
          <w:szCs w:val="20"/>
          <w:color w:val="auto"/>
        </w:rPr>
      </w:pPr>
      <w:r>
        <w:rPr>
          <w:rFonts w:ascii="Arial" w:cs="Arial" w:eastAsia="Arial" w:hAnsi="Arial"/>
          <w:sz w:val="14"/>
          <w:szCs w:val="14"/>
          <w:color w:val="auto"/>
        </w:rPr>
        <w:t>Actual payouts for performance-based restricted stock unit awards for the past ten completed award cycles ranged from 35% of target to 190% of target, with five cycles paying out below target and five cycles paying out above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38010" cy="3479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38010" cy="347980"/>
                    </a:xfrm>
                    <a:prstGeom prst="rect">
                      <a:avLst/>
                    </a:prstGeom>
                    <a:noFill/>
                  </pic:spPr>
                </pic:pic>
              </a:graphicData>
            </a:graphic>
          </wp:anchor>
        </w:drawing>
      </w:r>
    </w:p>
    <w:p>
      <w:pPr>
        <w:spacing w:after="0" w:line="27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 xml:space="preserve">The 35% payout for the 2023-2025 performance-based restricted stock unit awards was the </w:t>
      </w:r>
      <w:r>
        <w:rPr>
          <w:rFonts w:ascii="Arial" w:cs="Arial" w:eastAsia="Arial" w:hAnsi="Arial"/>
          <w:sz w:val="14"/>
          <w:szCs w:val="14"/>
          <w:b w:val="1"/>
          <w:bCs w:val="1"/>
          <w:color w:val="auto"/>
        </w:rPr>
        <w:t>lowest payout</w:t>
      </w:r>
      <w:r>
        <w:rPr>
          <w:rFonts w:ascii="Arial" w:cs="Arial" w:eastAsia="Arial" w:hAnsi="Arial"/>
          <w:sz w:val="14"/>
          <w:szCs w:val="14"/>
          <w:color w:val="auto"/>
        </w:rPr>
        <w:t xml:space="preserve"> over the ten-year period,</w:t>
      </w:r>
    </w:p>
    <w:p>
      <w:pPr>
        <w:spacing w:after="0" w:line="1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driven by the zero payout for the EPS-growth 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175260</wp:posOffset>
            </wp:positionV>
            <wp:extent cx="69297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302260</wp:posOffset>
            </wp:positionV>
            <wp:extent cx="739140" cy="153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49</w:t>
      </w:r>
    </w:p>
    <w:p>
      <w:pPr>
        <w:sectPr>
          <w:pgSz w:w="11900" w:h="16838" w:orient="portrait"/>
          <w:cols w:equalWidth="0" w:num="1">
            <w:col w:w="11080"/>
          </w:cols>
          <w:pgMar w:left="320" w:top="478"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45" w:lineRule="exact"/>
        <w:rPr>
          <w:sz w:val="20"/>
          <w:szCs w:val="20"/>
          <w:color w:val="auto"/>
        </w:rPr>
      </w:pPr>
    </w:p>
    <w:p>
      <w:pPr>
        <w:ind w:left="160" w:right="440"/>
        <w:spacing w:after="0" w:line="281" w:lineRule="auto"/>
        <w:rPr>
          <w:sz w:val="20"/>
          <w:szCs w:val="20"/>
          <w:color w:val="auto"/>
        </w:rPr>
      </w:pPr>
      <w:r>
        <w:rPr>
          <w:rFonts w:ascii="Arial" w:cs="Arial" w:eastAsia="Arial" w:hAnsi="Arial"/>
          <w:sz w:val="14"/>
          <w:szCs w:val="14"/>
          <w:color w:val="auto"/>
        </w:rPr>
        <w:t>The 2023 performance-based restricted stock unit awards, which had a 2023-2025 performance period, represented almost half of Mr. Martin’s 2023 target total direct compensation. A comparison of the target value and the value realized at vesting is provided in Figure 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131445</wp:posOffset>
            </wp:positionV>
            <wp:extent cx="6929755" cy="23183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29755" cy="231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Figure 5</w:t>
      </w:r>
    </w:p>
    <w:p>
      <w:pPr>
        <w:spacing w:after="0" w:line="27" w:lineRule="exact"/>
        <w:rPr>
          <w:sz w:val="20"/>
          <w:szCs w:val="20"/>
          <w:color w:val="auto"/>
        </w:rPr>
      </w:pPr>
    </w:p>
    <w:p>
      <w:pPr>
        <w:ind w:left="160" w:right="80"/>
        <w:spacing w:after="0" w:line="242" w:lineRule="auto"/>
        <w:rPr>
          <w:sz w:val="20"/>
          <w:szCs w:val="20"/>
          <w:color w:val="auto"/>
        </w:rPr>
      </w:pPr>
      <w:r>
        <w:rPr>
          <w:rFonts w:ascii="Arial" w:cs="Arial" w:eastAsia="Arial" w:hAnsi="Arial"/>
          <w:sz w:val="12"/>
          <w:szCs w:val="12"/>
          <w:color w:val="auto"/>
        </w:rPr>
        <w:t>Note: The grant date value is equal to the number of performance-based restricted stock units granted, assuming the target level of performance conditions were achieved, multiplied by the closing price of Sempra common stock on the grant date. The grant date value differs from the values reported in “Compensation Tables—Summary Compensation Table” and “Compensation Tables— Grants of Plan-Based Awards” with respect to awards based on relative total shareholder return, which are reported in those compensation tables based on a Monte Carlo valuation that is used to calculate the grant date fair value. The value realized at vesting is equal to the number of performance-based restricted stock units earned based on the performance conditions actually achieved, multiplied by the closing price of Sempra common stock on the vesting date.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Strong Compensation Governance Practices</w:t>
      </w:r>
    </w:p>
    <w:p>
      <w:pPr>
        <w:spacing w:after="0" w:line="125" w:lineRule="exact"/>
        <w:rPr>
          <w:sz w:val="20"/>
          <w:szCs w:val="20"/>
          <w:color w:val="auto"/>
        </w:rPr>
      </w:pPr>
    </w:p>
    <w:p>
      <w:pPr>
        <w:ind w:left="160"/>
        <w:spacing w:after="0" w:line="281" w:lineRule="auto"/>
        <w:rPr>
          <w:sz w:val="20"/>
          <w:szCs w:val="20"/>
          <w:color w:val="auto"/>
        </w:rPr>
      </w:pPr>
      <w:r>
        <w:rPr>
          <w:rFonts w:ascii="Arial" w:cs="Arial" w:eastAsia="Arial" w:hAnsi="Arial"/>
          <w:sz w:val="14"/>
          <w:szCs w:val="14"/>
          <w:color w:val="auto"/>
        </w:rPr>
        <w:t>We believe our compensation practices, which are highlighted below, reflect our pay-for-performance philosophy and program goals and our commitment to sound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123190</wp:posOffset>
            </wp:positionV>
            <wp:extent cx="6938010" cy="26409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38010" cy="2640965"/>
                    </a:xfrm>
                    <a:prstGeom prst="rect">
                      <a:avLst/>
                    </a:prstGeom>
                    <a:noFill/>
                  </pic:spPr>
                </pic:pic>
              </a:graphicData>
            </a:graphic>
          </wp:anchor>
        </w:drawing>
      </w:r>
    </w:p>
    <w:p>
      <w:pPr>
        <w:spacing w:after="0" w:line="362" w:lineRule="exact"/>
        <w:rPr>
          <w:sz w:val="20"/>
          <w:szCs w:val="20"/>
          <w:color w:val="auto"/>
        </w:rPr>
      </w:pPr>
    </w:p>
    <w:tbl>
      <w:tblPr>
        <w:tblLayout w:type="fixed"/>
        <w:tblInd w:w="320" w:type="dxa"/>
        <w:tblCellMar>
          <w:top w:w="0" w:type="dxa"/>
          <w:left w:w="0" w:type="dxa"/>
          <w:bottom w:w="0" w:type="dxa"/>
          <w:right w:w="0" w:type="dxa"/>
        </w:tblCellMar>
      </w:tblPr>
      <w:tr>
        <w:trPr>
          <w:trHeight w:val="326"/>
        </w:trPr>
        <w:tc>
          <w:tcPr>
            <w:tcW w:w="480" w:type="dxa"/>
            <w:vAlign w:val="bottom"/>
          </w:tcPr>
          <w:p>
            <w:pPr>
              <w:spacing w:after="0"/>
              <w:rPr>
                <w:sz w:val="20"/>
                <w:szCs w:val="20"/>
                <w:color w:val="auto"/>
              </w:rPr>
            </w:pPr>
            <w:r>
              <w:rPr>
                <w:rFonts w:ascii="Arial" w:cs="Arial" w:eastAsia="Arial" w:hAnsi="Arial"/>
                <w:sz w:val="21"/>
                <w:szCs w:val="21"/>
                <w:color w:val="auto"/>
              </w:rPr>
              <w:t> </w:t>
            </w:r>
          </w:p>
        </w:tc>
        <w:tc>
          <w:tcPr>
            <w:tcW w:w="4420" w:type="dxa"/>
            <w:vAlign w:val="bottom"/>
          </w:tcPr>
          <w:p>
            <w:pPr>
              <w:ind w:left="260"/>
              <w:spacing w:after="0"/>
              <w:rPr>
                <w:sz w:val="20"/>
                <w:szCs w:val="20"/>
                <w:color w:val="auto"/>
              </w:rPr>
            </w:pPr>
            <w:r>
              <w:rPr>
                <w:rFonts w:ascii="Arial" w:cs="Arial" w:eastAsia="Arial" w:hAnsi="Arial"/>
                <w:sz w:val="23"/>
                <w:szCs w:val="23"/>
                <w:b w:val="1"/>
                <w:bCs w:val="1"/>
                <w:color w:val="005CB9"/>
              </w:rPr>
              <w:t>  What we do</w:t>
            </w:r>
          </w:p>
        </w:tc>
        <w:tc>
          <w:tcPr>
            <w:tcW w:w="440" w:type="dxa"/>
            <w:vAlign w:val="bottom"/>
          </w:tcPr>
          <w:p>
            <w:pPr>
              <w:ind w:left="240"/>
              <w:spacing w:after="0"/>
              <w:rPr>
                <w:sz w:val="20"/>
                <w:szCs w:val="20"/>
                <w:color w:val="auto"/>
              </w:rPr>
            </w:pPr>
            <w:r>
              <w:rPr>
                <w:rFonts w:ascii="Arial" w:cs="Arial" w:eastAsia="Arial" w:hAnsi="Arial"/>
                <w:sz w:val="21"/>
                <w:szCs w:val="21"/>
                <w:color w:val="auto"/>
                <w:w w:val="85"/>
              </w:rPr>
              <w:t> </w:t>
            </w:r>
          </w:p>
        </w:tc>
        <w:tc>
          <w:tcPr>
            <w:tcW w:w="600" w:type="dxa"/>
            <w:vAlign w:val="bottom"/>
          </w:tcPr>
          <w:p>
            <w:pPr>
              <w:ind w:left="120"/>
              <w:spacing w:after="0"/>
              <w:rPr>
                <w:sz w:val="20"/>
                <w:szCs w:val="20"/>
                <w:color w:val="auto"/>
              </w:rPr>
            </w:pPr>
            <w:r>
              <w:rPr>
                <w:rFonts w:ascii="Arial" w:cs="Arial" w:eastAsia="Arial" w:hAnsi="Arial"/>
                <w:sz w:val="21"/>
                <w:szCs w:val="21"/>
                <w:color w:val="auto"/>
              </w:rPr>
              <w:t> </w:t>
            </w:r>
          </w:p>
        </w:tc>
        <w:tc>
          <w:tcPr>
            <w:tcW w:w="4320" w:type="dxa"/>
            <w:vAlign w:val="bottom"/>
          </w:tcPr>
          <w:p>
            <w:pPr>
              <w:ind w:left="240"/>
              <w:spacing w:after="0"/>
              <w:rPr>
                <w:sz w:val="20"/>
                <w:szCs w:val="20"/>
                <w:color w:val="auto"/>
              </w:rPr>
            </w:pPr>
            <w:r>
              <w:rPr>
                <w:rFonts w:ascii="Arial" w:cs="Arial" w:eastAsia="Arial" w:hAnsi="Arial"/>
                <w:sz w:val="23"/>
                <w:szCs w:val="23"/>
                <w:b w:val="1"/>
                <w:bCs w:val="1"/>
                <w:color w:val="005CB9"/>
              </w:rPr>
              <w:t>  What we don’t do</w:t>
            </w:r>
          </w:p>
        </w:tc>
        <w:tc>
          <w:tcPr>
            <w:tcW w:w="300" w:type="dxa"/>
            <w:vAlign w:val="bottom"/>
          </w:tcPr>
          <w:p>
            <w:pPr>
              <w:ind w:left="240"/>
              <w:spacing w:after="0"/>
              <w:rPr>
                <w:sz w:val="20"/>
                <w:szCs w:val="20"/>
                <w:color w:val="auto"/>
              </w:rPr>
            </w:pPr>
            <w:r>
              <w:rPr>
                <w:rFonts w:ascii="Arial" w:cs="Arial" w:eastAsia="Arial" w:hAnsi="Arial"/>
                <w:sz w:val="5"/>
                <w:szCs w:val="5"/>
                <w:color w:val="auto"/>
                <w:w w:val="79"/>
              </w:rPr>
              <w:t> </w:t>
            </w:r>
          </w:p>
        </w:tc>
        <w:tc>
          <w:tcPr>
            <w:tcW w:w="0" w:type="dxa"/>
            <w:vAlign w:val="bottom"/>
          </w:tcPr>
          <w:p>
            <w:pPr>
              <w:spacing w:after="0"/>
              <w:rPr>
                <w:sz w:val="1"/>
                <w:szCs w:val="1"/>
                <w:color w:val="auto"/>
              </w:rPr>
            </w:pPr>
          </w:p>
        </w:tc>
      </w:tr>
      <w:tr>
        <w:trPr>
          <w:trHeight w:val="480"/>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Incorporate shareholder feedback in our compensation program</w:t>
            </w:r>
          </w:p>
        </w:tc>
        <w:tc>
          <w:tcPr>
            <w:tcW w:w="44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005CB9"/>
              </w:rPr>
              <w:t>•</w:t>
            </w:r>
          </w:p>
        </w:tc>
        <w:tc>
          <w:tcPr>
            <w:tcW w:w="4320" w:type="dxa"/>
            <w:vAlign w:val="bottom"/>
          </w:tcPr>
          <w:p>
            <w:pPr>
              <w:ind w:left="80"/>
              <w:spacing w:after="0"/>
              <w:rPr>
                <w:sz w:val="20"/>
                <w:szCs w:val="20"/>
                <w:color w:val="auto"/>
              </w:rPr>
            </w:pPr>
            <w:r>
              <w:rPr>
                <w:rFonts w:ascii="Arial" w:cs="Arial" w:eastAsia="Arial" w:hAnsi="Arial"/>
                <w:sz w:val="14"/>
                <w:szCs w:val="14"/>
                <w:color w:val="auto"/>
              </w:rPr>
              <w:t>No excise tax gross-ups for named executive officers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420" w:type="dxa"/>
            <w:vAlign w:val="bottom"/>
          </w:tcPr>
          <w:p>
            <w:pPr>
              <w:ind w:left="100"/>
              <w:spacing w:after="0"/>
              <w:rPr>
                <w:sz w:val="20"/>
                <w:szCs w:val="20"/>
                <w:color w:val="auto"/>
              </w:rPr>
            </w:pPr>
            <w:r>
              <w:rPr>
                <w:rFonts w:ascii="Arial" w:cs="Arial" w:eastAsia="Arial" w:hAnsi="Arial"/>
                <w:sz w:val="14"/>
                <w:szCs w:val="14"/>
                <w:color w:val="auto"/>
              </w:rPr>
              <w:t>design</w:t>
            </w:r>
          </w:p>
        </w:tc>
        <w:tc>
          <w:tcPr>
            <w:tcW w:w="440" w:type="dxa"/>
            <w:vAlign w:val="bottom"/>
          </w:tcPr>
          <w:p>
            <w:pPr>
              <w:spacing w:after="0"/>
              <w:rPr>
                <w:sz w:val="16"/>
                <w:szCs w:val="16"/>
                <w:color w:val="auto"/>
              </w:rPr>
            </w:pP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005CB9"/>
              </w:rPr>
              <w:t>•</w:t>
            </w:r>
          </w:p>
        </w:tc>
        <w:tc>
          <w:tcPr>
            <w:tcW w:w="4320" w:type="dxa"/>
            <w:vAlign w:val="bottom"/>
            <w:vMerge w:val="restart"/>
          </w:tcPr>
          <w:p>
            <w:pPr>
              <w:ind w:left="80"/>
              <w:spacing w:after="0"/>
              <w:rPr>
                <w:sz w:val="20"/>
                <w:szCs w:val="20"/>
                <w:color w:val="auto"/>
              </w:rPr>
            </w:pPr>
            <w:r>
              <w:rPr>
                <w:rFonts w:ascii="Arial" w:cs="Arial" w:eastAsia="Arial" w:hAnsi="Arial"/>
                <w:sz w:val="14"/>
                <w:szCs w:val="14"/>
                <w:color w:val="auto"/>
              </w:rPr>
              <w:t>No employment contracts for named executive officers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9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Multiple, and complementary, LTIP award and annual bonus plan</w:t>
            </w:r>
          </w:p>
        </w:tc>
        <w:tc>
          <w:tcPr>
            <w:tcW w:w="4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9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005CB9"/>
              </w:rPr>
              <w:t>•</w:t>
            </w:r>
          </w:p>
        </w:tc>
        <w:tc>
          <w:tcPr>
            <w:tcW w:w="4320" w:type="dxa"/>
            <w:vAlign w:val="bottom"/>
            <w:vMerge w:val="restart"/>
          </w:tcPr>
          <w:p>
            <w:pPr>
              <w:ind w:left="80"/>
              <w:spacing w:after="0"/>
              <w:rPr>
                <w:sz w:val="20"/>
                <w:szCs w:val="20"/>
                <w:color w:val="auto"/>
              </w:rPr>
            </w:pPr>
            <w:r>
              <w:rPr>
                <w:rFonts w:ascii="Arial" w:cs="Arial" w:eastAsia="Arial" w:hAnsi="Arial"/>
                <w:sz w:val="14"/>
                <w:szCs w:val="14"/>
                <w:color w:val="auto"/>
              </w:rPr>
              <w:t>No stock option repricing</w:t>
            </w:r>
            <w:r>
              <w:rPr>
                <w:rFonts w:ascii="Arial" w:cs="Arial" w:eastAsia="Arial" w:hAnsi="Arial"/>
                <w:sz w:val="21"/>
                <w:szCs w:val="21"/>
                <w:color w:val="auto"/>
                <w:vertAlign w:val="superscript"/>
              </w:rPr>
              <w:t>(2)</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4420" w:type="dxa"/>
            <w:vAlign w:val="bottom"/>
          </w:tcPr>
          <w:p>
            <w:pPr>
              <w:ind w:left="100"/>
              <w:spacing w:after="0"/>
              <w:rPr>
                <w:sz w:val="20"/>
                <w:szCs w:val="20"/>
                <w:color w:val="auto"/>
              </w:rPr>
            </w:pPr>
            <w:r>
              <w:rPr>
                <w:rFonts w:ascii="Arial" w:cs="Arial" w:eastAsia="Arial" w:hAnsi="Arial"/>
                <w:sz w:val="14"/>
                <w:szCs w:val="14"/>
                <w:color w:val="auto"/>
              </w:rPr>
              <w:t>performance measures</w:t>
            </w:r>
          </w:p>
        </w:tc>
        <w:tc>
          <w:tcPr>
            <w:tcW w:w="44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43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Annual review of external market compensation data</w:t>
            </w:r>
          </w:p>
        </w:tc>
        <w:tc>
          <w:tcPr>
            <w:tcW w:w="440" w:type="dxa"/>
            <w:vAlign w:val="bottom"/>
          </w:tcPr>
          <w:p>
            <w:pPr>
              <w:spacing w:after="0"/>
              <w:rPr>
                <w:sz w:val="19"/>
                <w:szCs w:val="19"/>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005CB9"/>
              </w:rPr>
              <w:t>•</w:t>
            </w:r>
          </w:p>
        </w:tc>
        <w:tc>
          <w:tcPr>
            <w:tcW w:w="4320" w:type="dxa"/>
            <w:vAlign w:val="bottom"/>
          </w:tcPr>
          <w:p>
            <w:pPr>
              <w:ind w:left="80"/>
              <w:spacing w:after="0"/>
              <w:rPr>
                <w:sz w:val="20"/>
                <w:szCs w:val="20"/>
                <w:color w:val="auto"/>
              </w:rPr>
            </w:pPr>
            <w:r>
              <w:rPr>
                <w:rFonts w:ascii="Arial" w:cs="Arial" w:eastAsia="Arial" w:hAnsi="Arial"/>
                <w:sz w:val="14"/>
                <w:szCs w:val="14"/>
                <w:color w:val="auto"/>
              </w:rPr>
              <w:t>No stock options granted below fair market value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LTIPs include “double-trigger” equity vesting upon a change in</w:t>
            </w:r>
          </w:p>
        </w:tc>
        <w:tc>
          <w:tcPr>
            <w:tcW w:w="440" w:type="dxa"/>
            <w:vAlign w:val="bottom"/>
          </w:tcPr>
          <w:p>
            <w:pPr>
              <w:spacing w:after="0"/>
              <w:rPr>
                <w:sz w:val="21"/>
                <w:szCs w:val="21"/>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005CB9"/>
              </w:rPr>
              <w:t>•</w:t>
            </w:r>
          </w:p>
        </w:tc>
        <w:tc>
          <w:tcPr>
            <w:tcW w:w="4320" w:type="dxa"/>
            <w:vAlign w:val="bottom"/>
          </w:tcPr>
          <w:p>
            <w:pPr>
              <w:ind w:left="80"/>
              <w:spacing w:after="0"/>
              <w:rPr>
                <w:sz w:val="20"/>
                <w:szCs w:val="20"/>
                <w:color w:val="auto"/>
              </w:rPr>
            </w:pPr>
            <w:r>
              <w:rPr>
                <w:rFonts w:ascii="Arial" w:cs="Arial" w:eastAsia="Arial" w:hAnsi="Arial"/>
                <w:sz w:val="14"/>
                <w:szCs w:val="14"/>
                <w:color w:val="auto"/>
              </w:rPr>
              <w:t>No hedging or pledging of shares</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420" w:type="dxa"/>
            <w:vAlign w:val="bottom"/>
          </w:tcPr>
          <w:p>
            <w:pPr>
              <w:ind w:left="100"/>
              <w:spacing w:after="0" w:line="227" w:lineRule="exact"/>
              <w:rPr>
                <w:sz w:val="20"/>
                <w:szCs w:val="20"/>
                <w:color w:val="auto"/>
              </w:rPr>
            </w:pPr>
            <w:r>
              <w:rPr>
                <w:rFonts w:ascii="Arial" w:cs="Arial" w:eastAsia="Arial" w:hAnsi="Arial"/>
                <w:sz w:val="14"/>
                <w:szCs w:val="14"/>
                <w:color w:val="auto"/>
              </w:rPr>
              <w:t>control</w:t>
            </w:r>
            <w:r>
              <w:rPr>
                <w:rFonts w:ascii="Arial" w:cs="Arial" w:eastAsia="Arial" w:hAnsi="Arial"/>
                <w:sz w:val="21"/>
                <w:szCs w:val="21"/>
                <w:color w:val="auto"/>
                <w:vertAlign w:val="superscript"/>
              </w:rPr>
              <w:t>(1)</w:t>
            </w:r>
          </w:p>
        </w:tc>
        <w:tc>
          <w:tcPr>
            <w:tcW w:w="440" w:type="dxa"/>
            <w:vAlign w:val="bottom"/>
          </w:tcPr>
          <w:p>
            <w:pPr>
              <w:spacing w:after="0"/>
              <w:rPr>
                <w:sz w:val="19"/>
                <w:szCs w:val="19"/>
                <w:color w:val="auto"/>
              </w:rPr>
            </w:pP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005CB9"/>
              </w:rPr>
              <w:t>•</w:t>
            </w:r>
          </w:p>
        </w:tc>
        <w:tc>
          <w:tcPr>
            <w:tcW w:w="4320" w:type="dxa"/>
            <w:vAlign w:val="bottom"/>
            <w:vMerge w:val="restart"/>
          </w:tcPr>
          <w:p>
            <w:pPr>
              <w:ind w:left="80"/>
              <w:spacing w:after="0"/>
              <w:rPr>
                <w:sz w:val="20"/>
                <w:szCs w:val="20"/>
                <w:color w:val="auto"/>
              </w:rPr>
            </w:pPr>
            <w:r>
              <w:rPr>
                <w:rFonts w:ascii="Arial" w:cs="Arial" w:eastAsia="Arial" w:hAnsi="Arial"/>
                <w:sz w:val="14"/>
                <w:szCs w:val="14"/>
                <w:color w:val="auto"/>
              </w:rPr>
              <w:t>No uncapped incentives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8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3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Cash severance payments policy</w:t>
            </w:r>
          </w:p>
        </w:tc>
        <w:tc>
          <w:tcPr>
            <w:tcW w:w="440" w:type="dxa"/>
            <w:vAlign w:val="bottom"/>
          </w:tcPr>
          <w:p>
            <w:pPr>
              <w:spacing w:after="0"/>
              <w:rPr>
                <w:sz w:val="17"/>
                <w:szCs w:val="17"/>
                <w:color w:val="auto"/>
              </w:rPr>
            </w:pPr>
          </w:p>
        </w:tc>
        <w:tc>
          <w:tcPr>
            <w:tcW w:w="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005CB9"/>
              </w:rPr>
              <w:t>•</w:t>
            </w:r>
          </w:p>
        </w:tc>
        <w:tc>
          <w:tcPr>
            <w:tcW w:w="4320" w:type="dxa"/>
            <w:vAlign w:val="bottom"/>
            <w:vMerge w:val="restart"/>
          </w:tcPr>
          <w:p>
            <w:pPr>
              <w:ind w:left="80"/>
              <w:spacing w:after="0"/>
              <w:rPr>
                <w:sz w:val="20"/>
                <w:szCs w:val="20"/>
                <w:color w:val="auto"/>
              </w:rPr>
            </w:pPr>
            <w:r>
              <w:rPr>
                <w:rFonts w:ascii="Arial" w:cs="Arial" w:eastAsia="Arial" w:hAnsi="Arial"/>
                <w:sz w:val="14"/>
                <w:szCs w:val="14"/>
                <w:color w:val="auto"/>
              </w:rPr>
              <w:t>No single-trigger cash severance payments upon a change in</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8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3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480" w:type="dxa"/>
            <w:vAlign w:val="bottom"/>
          </w:tcPr>
          <w:p>
            <w:pPr>
              <w:ind w:left="340"/>
              <w:spacing w:after="0"/>
              <w:rPr>
                <w:sz w:val="20"/>
                <w:szCs w:val="20"/>
                <w:color w:val="auto"/>
              </w:rPr>
            </w:pPr>
            <w:r>
              <w:rPr>
                <w:rFonts w:ascii="Times New Roman" w:cs="Times New Roman" w:eastAsia="Times New Roman" w:hAnsi="Times New Roman"/>
                <w:sz w:val="14"/>
                <w:szCs w:val="14"/>
                <w:color w:val="005CB9"/>
              </w:rPr>
              <w:t>•</w:t>
            </w:r>
          </w:p>
        </w:tc>
        <w:tc>
          <w:tcPr>
            <w:tcW w:w="4420" w:type="dxa"/>
            <w:vAlign w:val="bottom"/>
          </w:tcPr>
          <w:p>
            <w:pPr>
              <w:ind w:left="100"/>
              <w:spacing w:after="0"/>
              <w:rPr>
                <w:sz w:val="20"/>
                <w:szCs w:val="20"/>
                <w:color w:val="auto"/>
              </w:rPr>
            </w:pPr>
            <w:r>
              <w:rPr>
                <w:rFonts w:ascii="Arial" w:cs="Arial" w:eastAsia="Arial" w:hAnsi="Arial"/>
                <w:sz w:val="14"/>
                <w:szCs w:val="14"/>
                <w:color w:val="auto"/>
              </w:rPr>
              <w:t>Clawback policy</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320" w:type="dxa"/>
            <w:vAlign w:val="bottom"/>
          </w:tcPr>
          <w:p>
            <w:pPr>
              <w:ind w:left="80"/>
              <w:spacing w:after="0"/>
              <w:rPr>
                <w:sz w:val="20"/>
                <w:szCs w:val="20"/>
                <w:color w:val="auto"/>
              </w:rPr>
            </w:pPr>
            <w:r>
              <w:rPr>
                <w:rFonts w:ascii="Arial" w:cs="Arial" w:eastAsia="Arial" w:hAnsi="Arial"/>
                <w:sz w:val="14"/>
                <w:szCs w:val="14"/>
                <w:color w:val="auto"/>
              </w:rPr>
              <w:t>control</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Share ownership guidelines (8x base salary for Chief Executive</w:t>
            </w:r>
          </w:p>
        </w:tc>
        <w:tc>
          <w:tcPr>
            <w:tcW w:w="44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4"/>
                <w:szCs w:val="14"/>
                <w:color w:val="005CB9"/>
              </w:rPr>
              <w:t>•</w:t>
            </w:r>
          </w:p>
        </w:tc>
        <w:tc>
          <w:tcPr>
            <w:tcW w:w="4320" w:type="dxa"/>
            <w:vAlign w:val="bottom"/>
          </w:tcPr>
          <w:p>
            <w:pPr>
              <w:ind w:left="80"/>
              <w:spacing w:after="0"/>
              <w:rPr>
                <w:sz w:val="20"/>
                <w:szCs w:val="20"/>
                <w:color w:val="auto"/>
              </w:rPr>
            </w:pPr>
            <w:r>
              <w:rPr>
                <w:rFonts w:ascii="Arial" w:cs="Arial" w:eastAsia="Arial" w:hAnsi="Arial"/>
                <w:sz w:val="14"/>
                <w:szCs w:val="14"/>
                <w:color w:val="auto"/>
              </w:rPr>
              <w:t>No excessive perquisites; all have a specific business rationale</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420" w:type="dxa"/>
            <w:vAlign w:val="bottom"/>
          </w:tcPr>
          <w:p>
            <w:pPr>
              <w:ind w:left="100"/>
              <w:spacing w:after="0"/>
              <w:rPr>
                <w:sz w:val="20"/>
                <w:szCs w:val="20"/>
                <w:color w:val="auto"/>
              </w:rPr>
            </w:pPr>
            <w:r>
              <w:rPr>
                <w:rFonts w:ascii="Arial" w:cs="Arial" w:eastAsia="Arial" w:hAnsi="Arial"/>
                <w:sz w:val="14"/>
                <w:szCs w:val="14"/>
                <w:color w:val="auto"/>
              </w:rPr>
              <w:t>Officer)</w:t>
            </w: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660"/>
        <w:spacing w:after="0"/>
        <w:tabs>
          <w:tab w:leader="none" w:pos="880" w:val="left"/>
        </w:tabs>
        <w:rPr>
          <w:sz w:val="20"/>
          <w:szCs w:val="20"/>
          <w:color w:val="auto"/>
        </w:rPr>
      </w:pPr>
      <w:r>
        <w:rPr>
          <w:rFonts w:ascii="Times New Roman" w:cs="Times New Roman" w:eastAsia="Times New Roman" w:hAnsi="Times New Roman"/>
          <w:sz w:val="14"/>
          <w:szCs w:val="14"/>
          <w:color w:val="005CB9"/>
        </w:rPr>
        <w:t>•</w:t>
      </w:r>
      <w:r>
        <w:rPr>
          <w:sz w:val="20"/>
          <w:szCs w:val="20"/>
          <w:color w:val="auto"/>
        </w:rPr>
        <w:tab/>
      </w:r>
      <w:r>
        <w:rPr>
          <w:rFonts w:ascii="Arial" w:cs="Arial" w:eastAsia="Arial" w:hAnsi="Arial"/>
          <w:sz w:val="14"/>
          <w:szCs w:val="14"/>
          <w:color w:val="auto"/>
        </w:rPr>
        <w:t>Independent advisors conduct risk assessment of compensation</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program</w:t>
      </w:r>
    </w:p>
    <w:p>
      <w:pPr>
        <w:spacing w:after="0" w:line="19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 </w:t>
      </w:r>
    </w:p>
    <w:p>
      <w:pPr>
        <w:spacing w:after="0" w:line="84" w:lineRule="exact"/>
        <w:rPr>
          <w:sz w:val="20"/>
          <w:szCs w:val="20"/>
          <w:color w:val="auto"/>
        </w:rPr>
      </w:pPr>
    </w:p>
    <w:p>
      <w:pPr>
        <w:ind w:left="480" w:hanging="313"/>
        <w:spacing w:after="0"/>
        <w:tabs>
          <w:tab w:leader="none" w:pos="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See “Severance and Change in Control Arrangements” for additional information.</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Long-term incentive plan awards are granted from a shareholder-approved plan that prohibits stock option repricing and cash buyouts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50               </w:t>
      </w:r>
      <w:r>
        <w:rPr>
          <w:sz w:val="1"/>
          <w:szCs w:val="1"/>
          <w:color w:val="auto"/>
        </w:rPr>
        <w:drawing>
          <wp:inline distT="0" distB="0" distL="0" distR="0">
            <wp:extent cx="739140" cy="153035"/>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40"/>
          </w:cols>
          <w:pgMar w:left="320" w:top="478"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Executive Compensation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Compensation Philosophy and Program Goals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Philosophy</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Compensation and Talent Development Committee of our Board of Directors sets the company’s executive compensation philosophy, which emphasizes four key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158750</wp:posOffset>
            </wp:positionV>
            <wp:extent cx="6938010" cy="1036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38010" cy="10363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279"/>
        <w:spacing w:after="0"/>
        <w:rPr>
          <w:sz w:val="20"/>
          <w:szCs w:val="20"/>
          <w:color w:val="auto"/>
        </w:rPr>
      </w:pPr>
      <w:r>
        <w:rPr>
          <w:rFonts w:ascii="Arial" w:cs="Arial" w:eastAsia="Arial" w:hAnsi="Arial"/>
          <w:sz w:val="23"/>
          <w:szCs w:val="23"/>
          <w:b w:val="1"/>
          <w:bCs w:val="1"/>
          <w:color w:val="005CB9"/>
        </w:rPr>
        <w:t>Sempra’s Executive Compensation Philosophy</w:t>
      </w:r>
    </w:p>
    <w:p>
      <w:pPr>
        <w:sectPr>
          <w:pgSz w:w="11900" w:h="16838" w:orient="portrait"/>
          <w:cols w:equalWidth="0" w:num="1">
            <w:col w:w="11080"/>
          </w:cols>
          <w:pgMar w:left="320" w:top="478" w:right="499" w:bottom="1440" w:gutter="0" w:footer="0" w:header="0"/>
        </w:sectPr>
      </w:pPr>
    </w:p>
    <w:p>
      <w:pPr>
        <w:spacing w:after="0" w:line="241" w:lineRule="exact"/>
        <w:rPr>
          <w:sz w:val="20"/>
          <w:szCs w:val="20"/>
          <w:color w:val="auto"/>
        </w:rPr>
      </w:pPr>
    </w:p>
    <w:p>
      <w:pPr>
        <w:ind w:left="1280" w:right="940"/>
        <w:spacing w:after="0" w:line="281" w:lineRule="auto"/>
        <w:rPr>
          <w:sz w:val="20"/>
          <w:szCs w:val="20"/>
          <w:color w:val="auto"/>
        </w:rPr>
      </w:pPr>
      <w:r>
        <w:rPr>
          <w:rFonts w:ascii="Arial" w:cs="Arial" w:eastAsia="Arial" w:hAnsi="Arial"/>
          <w:sz w:val="14"/>
          <w:szCs w:val="14"/>
          <w:color w:val="auto"/>
        </w:rPr>
        <w:t>Performance-based incentives aligned with shareholder value creation</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280"/>
        <w:spacing w:after="0" w:line="281" w:lineRule="auto"/>
        <w:rPr>
          <w:sz w:val="20"/>
          <w:szCs w:val="20"/>
          <w:color w:val="auto"/>
        </w:rPr>
      </w:pPr>
      <w:r>
        <w:rPr>
          <w:rFonts w:ascii="Arial" w:cs="Arial" w:eastAsia="Arial" w:hAnsi="Arial"/>
          <w:sz w:val="14"/>
          <w:szCs w:val="14"/>
          <w:color w:val="auto"/>
        </w:rPr>
        <w:t>Alignment of pay with short-term and long-term company performance</w:t>
      </w:r>
    </w:p>
    <w:p>
      <w:pPr>
        <w:spacing w:after="0" w:line="78" w:lineRule="exact"/>
        <w:rPr>
          <w:sz w:val="20"/>
          <w:szCs w:val="20"/>
          <w:color w:val="auto"/>
        </w:rPr>
      </w:pPr>
    </w:p>
    <w:p>
      <w:pPr>
        <w:sectPr>
          <w:pgSz w:w="11900" w:h="16838" w:orient="portrait"/>
          <w:cols w:equalWidth="0" w:num="2">
            <w:col w:w="6100" w:space="720"/>
            <w:col w:w="4260"/>
          </w:cols>
          <w:pgMar w:left="320" w:top="478" w:right="499" w:bottom="1440" w:gutter="0" w:footer="0" w:header="0"/>
          <w:type w:val="continuous"/>
        </w:sectPr>
      </w:pPr>
    </w:p>
    <w:p>
      <w:pPr>
        <w:ind w:left="1280"/>
        <w:spacing w:after="0"/>
        <w:rPr>
          <w:sz w:val="20"/>
          <w:szCs w:val="20"/>
          <w:color w:val="auto"/>
        </w:rPr>
      </w:pPr>
      <w:r>
        <w:rPr>
          <w:rFonts w:ascii="Arial" w:cs="Arial" w:eastAsia="Arial" w:hAnsi="Arial"/>
          <w:sz w:val="14"/>
          <w:szCs w:val="14"/>
          <w:color w:val="auto"/>
        </w:rPr>
        <w:t>Balance between short-term and long-term incentives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More pay tied to performance at higher levels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of responsibility</w:t>
      </w:r>
    </w:p>
    <w:p>
      <w:pPr>
        <w:spacing w:after="0" w:line="200" w:lineRule="exact"/>
        <w:rPr>
          <w:sz w:val="20"/>
          <w:szCs w:val="20"/>
          <w:color w:val="auto"/>
        </w:rPr>
      </w:pPr>
    </w:p>
    <w:p>
      <w:pPr>
        <w:sectPr>
          <w:pgSz w:w="11900" w:h="16838" w:orient="portrait"/>
          <w:cols w:equalWidth="0" w:num="2">
            <w:col w:w="6100" w:space="720"/>
            <w:col w:w="4260"/>
          </w:cols>
          <w:pgMar w:left="320" w:top="478" w:right="499" w:bottom="1440" w:gutter="0" w:footer="0" w:header="0"/>
          <w:type w:val="continuous"/>
        </w:sectPr>
      </w:pP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We believe this compensation philosophy enables us to attract, motivate and retain key executive talent and promote strong, sustainable long-term performance.</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Executive Compensation Program Goals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Our executive compensation program goals are designed to:</w:t>
      </w:r>
    </w:p>
    <w:p>
      <w:pPr>
        <w:spacing w:after="0" w:line="120" w:lineRule="exact"/>
        <w:rPr>
          <w:sz w:val="20"/>
          <w:szCs w:val="20"/>
          <w:color w:val="auto"/>
        </w:rPr>
      </w:pPr>
    </w:p>
    <w:p>
      <w:pPr>
        <w:ind w:left="800" w:hanging="312"/>
        <w:spacing w:after="0"/>
        <w:tabs>
          <w:tab w:leader="none" w:pos="800" w:val="left"/>
        </w:tabs>
        <w:numPr>
          <w:ilvl w:val="0"/>
          <w:numId w:val="65"/>
        </w:numPr>
        <w:rPr>
          <w:rFonts w:ascii="Times New Roman" w:cs="Times New Roman" w:eastAsia="Times New Roman" w:hAnsi="Times New Roman"/>
          <w:sz w:val="14"/>
          <w:szCs w:val="14"/>
          <w:color w:val="005CB9"/>
        </w:rPr>
      </w:pPr>
      <w:r>
        <w:rPr>
          <w:rFonts w:ascii="Arial" w:cs="Arial" w:eastAsia="Arial" w:hAnsi="Arial"/>
          <w:sz w:val="14"/>
          <w:szCs w:val="14"/>
          <w:color w:val="auto"/>
        </w:rPr>
        <w:t>Align executive compensation with shareholders’ interests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65"/>
        </w:numPr>
        <w:rPr>
          <w:rFonts w:ascii="Times New Roman" w:cs="Times New Roman" w:eastAsia="Times New Roman" w:hAnsi="Times New Roman"/>
          <w:sz w:val="14"/>
          <w:szCs w:val="14"/>
          <w:color w:val="005CB9"/>
        </w:rPr>
      </w:pPr>
      <w:r>
        <w:rPr>
          <w:rFonts w:ascii="Arial" w:cs="Arial" w:eastAsia="Arial" w:hAnsi="Arial"/>
          <w:sz w:val="14"/>
          <w:szCs w:val="14"/>
          <w:color w:val="auto"/>
        </w:rPr>
        <w:t>Link executive compensation to both annual and long-term business and individual performance</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65"/>
        </w:numPr>
        <w:rPr>
          <w:rFonts w:ascii="Times New Roman" w:cs="Times New Roman" w:eastAsia="Times New Roman" w:hAnsi="Times New Roman"/>
          <w:sz w:val="14"/>
          <w:szCs w:val="14"/>
          <w:color w:val="005CB9"/>
        </w:rPr>
      </w:pPr>
      <w:r>
        <w:rPr>
          <w:rFonts w:ascii="Arial" w:cs="Arial" w:eastAsia="Arial" w:hAnsi="Arial"/>
          <w:sz w:val="14"/>
          <w:szCs w:val="14"/>
          <w:color w:val="auto"/>
        </w:rPr>
        <w:t>Motivate executives to achieve superior performance</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65"/>
        </w:numPr>
        <w:rPr>
          <w:rFonts w:ascii="Times New Roman" w:cs="Times New Roman" w:eastAsia="Times New Roman" w:hAnsi="Times New Roman"/>
          <w:sz w:val="14"/>
          <w:szCs w:val="14"/>
          <w:color w:val="005CB9"/>
        </w:rPr>
      </w:pPr>
      <w:r>
        <w:rPr>
          <w:rFonts w:ascii="Arial" w:cs="Arial" w:eastAsia="Arial" w:hAnsi="Arial"/>
          <w:sz w:val="14"/>
          <w:szCs w:val="14"/>
          <w:color w:val="auto"/>
        </w:rPr>
        <w:t>Attract and retain executives with outstanding ability and experience who demonstrate high standards of integrity and ethics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Labor Market Reviews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Labor Market</w:t>
      </w:r>
    </w:p>
    <w:p>
      <w:pPr>
        <w:spacing w:after="0" w:line="125" w:lineRule="exact"/>
        <w:rPr>
          <w:sz w:val="20"/>
          <w:szCs w:val="20"/>
          <w:color w:val="auto"/>
        </w:rPr>
      </w:pPr>
    </w:p>
    <w:p>
      <w:pPr>
        <w:ind w:left="160" w:right="140"/>
        <w:spacing w:after="0" w:line="253" w:lineRule="auto"/>
        <w:rPr>
          <w:sz w:val="20"/>
          <w:szCs w:val="20"/>
          <w:color w:val="auto"/>
        </w:rPr>
      </w:pPr>
      <w:r>
        <w:rPr>
          <w:rFonts w:ascii="Arial" w:cs="Arial" w:eastAsia="Arial" w:hAnsi="Arial"/>
          <w:sz w:val="14"/>
          <w:szCs w:val="14"/>
          <w:color w:val="auto"/>
        </w:rPr>
        <w:t>The Compensation and Talent Development Committee uses external pay data to help align executive compensation levels with the labor market. The committee views the labor market for our most senior positions as a nationwide, broad cross-section of companies in various industries, and the committee recognizes that this labor market varies by position. The committee’s use of general industry, utilities industry and energy industry compensation data reflects the competitive labor market from which we recruit executives.</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Corporate Officer Backgrounds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Sempra’s 15 officers as of December 31, 2025 were hired from a broad range of industries, including accounting and finance, consulting, energy, law and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175260</wp:posOffset>
            </wp:positionV>
            <wp:extent cx="6929755" cy="22847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29755" cy="2284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238125</wp:posOffset>
            </wp:positionV>
            <wp:extent cx="739140" cy="144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51</w:t>
      </w:r>
    </w:p>
    <w:p>
      <w:pPr>
        <w:sectPr>
          <w:pgSz w:w="11900" w:h="16838" w:orient="portrait"/>
          <w:cols w:equalWidth="0" w:num="1">
            <w:col w:w="11080"/>
          </w:cols>
          <w:pgMar w:left="320" w:top="478" w:right="4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Market Review</w:t>
      </w:r>
    </w:p>
    <w:p>
      <w:pPr>
        <w:spacing w:after="0" w:line="125" w:lineRule="exact"/>
        <w:rPr>
          <w:sz w:val="20"/>
          <w:szCs w:val="20"/>
          <w:color w:val="auto"/>
        </w:rPr>
      </w:pPr>
    </w:p>
    <w:p>
      <w:pPr>
        <w:ind w:left="160" w:right="220"/>
        <w:spacing w:after="0" w:line="281" w:lineRule="auto"/>
        <w:rPr>
          <w:sz w:val="20"/>
          <w:szCs w:val="20"/>
          <w:color w:val="auto"/>
        </w:rPr>
      </w:pPr>
      <w:r>
        <w:rPr>
          <w:rFonts w:ascii="Arial" w:cs="Arial" w:eastAsia="Arial" w:hAnsi="Arial"/>
          <w:sz w:val="14"/>
          <w:szCs w:val="14"/>
          <w:color w:val="auto"/>
        </w:rPr>
        <w:t>The Compensation and Talent Development Committee seeks to provide compensation opportunities for our executives that are commensurate with the competitive labor market.</w:t>
      </w:r>
    </w:p>
    <w:p>
      <w:pPr>
        <w:spacing w:after="0" w:line="51" w:lineRule="exact"/>
        <w:rPr>
          <w:sz w:val="20"/>
          <w:szCs w:val="20"/>
          <w:color w:val="auto"/>
        </w:rPr>
      </w:pPr>
    </w:p>
    <w:p>
      <w:pPr>
        <w:ind w:left="160" w:right="180"/>
        <w:spacing w:after="0" w:line="260" w:lineRule="auto"/>
        <w:rPr>
          <w:sz w:val="20"/>
          <w:szCs w:val="20"/>
          <w:color w:val="auto"/>
        </w:rPr>
      </w:pPr>
      <w:r>
        <w:rPr>
          <w:rFonts w:ascii="Arial" w:cs="Arial" w:eastAsia="Arial" w:hAnsi="Arial"/>
          <w:sz w:val="14"/>
          <w:szCs w:val="14"/>
          <w:color w:val="auto"/>
        </w:rPr>
        <w:t>The Compensation and Talent Development Committee reviewed the labor market and set 2025 target pay opportunities for the named executive officers in late 2024. The labor market review used a 28-company peer group composed of general industry, utilities industry and energy industry companies (Compensation Peer Group). The Compensation Peer Group is representative of the broad multi-industry labor market from which officer roles are recruited.</w:t>
      </w:r>
    </w:p>
    <w:p>
      <w:pPr>
        <w:spacing w:after="0" w:line="61" w:lineRule="exact"/>
        <w:rPr>
          <w:sz w:val="20"/>
          <w:szCs w:val="20"/>
          <w:color w:val="auto"/>
        </w:rPr>
      </w:pPr>
    </w:p>
    <w:p>
      <w:pPr>
        <w:ind w:left="160" w:right="80"/>
        <w:spacing w:after="0" w:line="197" w:lineRule="auto"/>
        <w:rPr>
          <w:sz w:val="20"/>
          <w:szCs w:val="20"/>
          <w:color w:val="auto"/>
        </w:rPr>
      </w:pPr>
      <w:r>
        <w:rPr>
          <w:rFonts w:ascii="Arial" w:cs="Arial" w:eastAsia="Arial" w:hAnsi="Arial"/>
          <w:sz w:val="14"/>
          <w:szCs w:val="14"/>
          <w:color w:val="auto"/>
        </w:rPr>
        <w:t>The committee reviews compensation data at the 25</w:t>
      </w:r>
      <w:r>
        <w:rPr>
          <w:rFonts w:ascii="Arial" w:cs="Arial" w:eastAsia="Arial" w:hAnsi="Arial"/>
          <w:sz w:val="21"/>
          <w:szCs w:val="21"/>
          <w:color w:val="auto"/>
          <w:vertAlign w:val="superscript"/>
        </w:rPr>
        <w:t>th</w:t>
      </w:r>
      <w:r>
        <w:rPr>
          <w:rFonts w:ascii="Arial" w:cs="Arial" w:eastAsia="Arial" w:hAnsi="Arial"/>
          <w:sz w:val="14"/>
          <w:szCs w:val="14"/>
          <w:color w:val="auto"/>
        </w:rPr>
        <w:t>,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and 75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percentiles of the Compensation Peer Group data, in total and by component (base salaries, target performance-based annual bonuses and target long-term equity-based incentives), and generally targets alignment with the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However, positioning relative to the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may vary based on individual factors such as the comparability of market survey positions to the scope and structure of our positions, performance, experience, time in position, internal pay equity, succession planning considerations, and organizational factors, such as company size, which falls within the third quartile of the peer group based on market capitalization, and business complexity, which exceeds many of our peers in light of our utilities operating in multiple states and our investments in other, non-utility energy infrastructure.</w:t>
      </w:r>
    </w:p>
    <w:p>
      <w:pPr>
        <w:spacing w:after="0" w:line="79" w:lineRule="exact"/>
        <w:rPr>
          <w:sz w:val="20"/>
          <w:szCs w:val="20"/>
          <w:color w:val="auto"/>
        </w:rPr>
      </w:pPr>
    </w:p>
    <w:p>
      <w:pPr>
        <w:ind w:left="160" w:right="40"/>
        <w:spacing w:after="0" w:line="202" w:lineRule="auto"/>
        <w:rPr>
          <w:sz w:val="20"/>
          <w:szCs w:val="20"/>
          <w:color w:val="auto"/>
        </w:rPr>
      </w:pPr>
      <w:r>
        <w:rPr>
          <w:rFonts w:ascii="Arial" w:cs="Arial" w:eastAsia="Arial" w:hAnsi="Arial"/>
          <w:sz w:val="14"/>
          <w:szCs w:val="14"/>
          <w:color w:val="auto"/>
        </w:rPr>
        <w:t>Based on the late 2024 labor market review, 2025 target total compensation for Messrs. Martin and Bird fell within the third quartile (between the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and 75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percentiles) of the Compensation Peer Group data, reflecting Mr. Martin’s long tenure and strong long-term performance as Chief Executive Officer and the continued expansion of</w:t>
      </w:r>
    </w:p>
    <w:p>
      <w:pPr>
        <w:ind w:left="160"/>
        <w:spacing w:after="0" w:line="249" w:lineRule="auto"/>
        <w:rPr>
          <w:sz w:val="20"/>
          <w:szCs w:val="20"/>
          <w:color w:val="auto"/>
        </w:rPr>
      </w:pPr>
      <w:r>
        <w:rPr>
          <w:rFonts w:ascii="Arial" w:cs="Arial" w:eastAsia="Arial" w:hAnsi="Arial"/>
          <w:sz w:val="14"/>
          <w:szCs w:val="14"/>
          <w:color w:val="auto"/>
        </w:rPr>
        <w:t>Mr. Bird’s role. Target total compensation for 2025 for Mss. Sedgwick and Day, who were promoted to their roles in 2024, trailed the median of the Compensation Peer Group data reflecting the committee’s practice of ramping up compensation over a two-year to three-year period following a promotion. Ms. Winn, who was promoted to her role effective July 5, 2025, was not included in the late 2024 market review.</w:t>
      </w:r>
    </w:p>
    <w:p>
      <w:pPr>
        <w:spacing w:after="0" w:line="73" w:lineRule="exact"/>
        <w:rPr>
          <w:sz w:val="20"/>
          <w:szCs w:val="20"/>
          <w:color w:val="auto"/>
        </w:rPr>
      </w:pPr>
    </w:p>
    <w:p>
      <w:pPr>
        <w:ind w:left="160" w:right="20"/>
        <w:spacing w:after="0" w:line="281" w:lineRule="auto"/>
        <w:rPr>
          <w:sz w:val="20"/>
          <w:szCs w:val="20"/>
          <w:color w:val="auto"/>
        </w:rPr>
      </w:pPr>
      <w:r>
        <w:rPr>
          <w:rFonts w:ascii="Arial" w:cs="Arial" w:eastAsia="Arial" w:hAnsi="Arial"/>
          <w:sz w:val="14"/>
          <w:szCs w:val="14"/>
          <w:color w:val="auto"/>
        </w:rPr>
        <w:t>Actual compensation may be higher or lower than target compensation, because it reflects actual performance and payouts under our performance-based annual bonus plan and our long-term incentive plan.</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Peer Group Composition</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Compensation Peer Group is composed of 28 companies, with half representing the utilities and energy industries and half representing general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167005</wp:posOffset>
            </wp:positionV>
            <wp:extent cx="69297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353695</wp:posOffset>
            </wp:positionV>
            <wp:extent cx="6929755" cy="19361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29755"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Figure 7</w:t>
      </w:r>
    </w:p>
    <w:p>
      <w:pPr>
        <w:spacing w:after="0" w:line="111" w:lineRule="exact"/>
        <w:rPr>
          <w:sz w:val="20"/>
          <w:szCs w:val="20"/>
          <w:color w:val="auto"/>
        </w:rPr>
      </w:pPr>
    </w:p>
    <w:p>
      <w:pPr>
        <w:ind w:left="160" w:right="400"/>
        <w:spacing w:after="0" w:line="281" w:lineRule="auto"/>
        <w:rPr>
          <w:sz w:val="20"/>
          <w:szCs w:val="20"/>
          <w:color w:val="auto"/>
        </w:rPr>
      </w:pPr>
      <w:r>
        <w:rPr>
          <w:rFonts w:ascii="Arial" w:cs="Arial" w:eastAsia="Arial" w:hAnsi="Arial"/>
          <w:sz w:val="14"/>
          <w:szCs w:val="14"/>
          <w:color w:val="auto"/>
        </w:rPr>
        <w:t>In selecting the peer companies, the Compensation and Talent Development Committee considered multiple measures of company size, including revenue and market capitalization. Additional criteria considered by the Compensation and Talent Development Committee included:</w:t>
      </w:r>
    </w:p>
    <w:p>
      <w:pPr>
        <w:spacing w:after="0" w:line="64" w:lineRule="exact"/>
        <w:rPr>
          <w:sz w:val="20"/>
          <w:szCs w:val="20"/>
          <w:color w:val="auto"/>
        </w:rPr>
      </w:pPr>
    </w:p>
    <w:p>
      <w:pPr>
        <w:ind w:left="800" w:hanging="312"/>
        <w:spacing w:after="0"/>
        <w:tabs>
          <w:tab w:leader="none" w:pos="800" w:val="left"/>
        </w:tabs>
        <w:numPr>
          <w:ilvl w:val="0"/>
          <w:numId w:val="66"/>
        </w:numPr>
        <w:rPr>
          <w:rFonts w:ascii="Times New Roman" w:cs="Times New Roman" w:eastAsia="Times New Roman" w:hAnsi="Times New Roman"/>
          <w:sz w:val="14"/>
          <w:szCs w:val="14"/>
          <w:color w:val="005CB9"/>
        </w:rPr>
      </w:pPr>
      <w:r>
        <w:rPr>
          <w:rFonts w:ascii="Arial" w:cs="Arial" w:eastAsia="Arial" w:hAnsi="Arial"/>
          <w:sz w:val="14"/>
          <w:szCs w:val="14"/>
          <w:color w:val="auto"/>
        </w:rPr>
        <w:t>All of the peers are publicly traded companies with a strong United States domestic presence.</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66"/>
        </w:numPr>
        <w:rPr>
          <w:rFonts w:ascii="Times New Roman" w:cs="Times New Roman" w:eastAsia="Times New Roman" w:hAnsi="Times New Roman"/>
          <w:sz w:val="14"/>
          <w:szCs w:val="14"/>
          <w:color w:val="005CB9"/>
        </w:rPr>
      </w:pPr>
      <w:r>
        <w:rPr>
          <w:rFonts w:ascii="Arial" w:cs="Arial" w:eastAsia="Arial" w:hAnsi="Arial"/>
          <w:sz w:val="14"/>
          <w:szCs w:val="14"/>
          <w:color w:val="auto"/>
        </w:rPr>
        <w:t>All of the general industry peers are members of the S&amp;P 500 Index.</w:t>
      </w:r>
    </w:p>
    <w:p>
      <w:pPr>
        <w:spacing w:after="0" w:line="119" w:lineRule="exact"/>
        <w:rPr>
          <w:rFonts w:ascii="Times New Roman" w:cs="Times New Roman" w:eastAsia="Times New Roman" w:hAnsi="Times New Roman"/>
          <w:sz w:val="14"/>
          <w:szCs w:val="14"/>
          <w:color w:val="005CB9"/>
        </w:rPr>
      </w:pPr>
    </w:p>
    <w:p>
      <w:pPr>
        <w:ind w:left="800" w:right="400" w:hanging="312"/>
        <w:spacing w:after="0" w:line="280" w:lineRule="auto"/>
        <w:tabs>
          <w:tab w:leader="none" w:pos="800" w:val="left"/>
        </w:tabs>
        <w:numPr>
          <w:ilvl w:val="0"/>
          <w:numId w:val="66"/>
        </w:numPr>
        <w:rPr>
          <w:rFonts w:ascii="Times New Roman" w:cs="Times New Roman" w:eastAsia="Times New Roman" w:hAnsi="Times New Roman"/>
          <w:sz w:val="14"/>
          <w:szCs w:val="14"/>
          <w:color w:val="005CB9"/>
        </w:rPr>
      </w:pPr>
      <w:r>
        <w:rPr>
          <w:rFonts w:ascii="Arial" w:cs="Arial" w:eastAsia="Arial" w:hAnsi="Arial"/>
          <w:sz w:val="14"/>
          <w:szCs w:val="14"/>
          <w:color w:val="auto"/>
        </w:rPr>
        <w:t>General industry peers include representation from all 11 Global Industry Classification Standard (GICS) sectors to provide a broad cross-section of the labor market.</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66"/>
        </w:numPr>
        <w:rPr>
          <w:rFonts w:ascii="Times New Roman" w:cs="Times New Roman" w:eastAsia="Times New Roman" w:hAnsi="Times New Roman"/>
          <w:sz w:val="14"/>
          <w:szCs w:val="14"/>
          <w:color w:val="005CB9"/>
        </w:rPr>
      </w:pPr>
      <w:r>
        <w:rPr>
          <w:rFonts w:ascii="Arial" w:cs="Arial" w:eastAsia="Arial" w:hAnsi="Arial"/>
          <w:sz w:val="14"/>
          <w:szCs w:val="14"/>
          <w:color w:val="auto"/>
        </w:rPr>
        <w:t>All of the peers were in our peer group in 2024, maintaining continuity of comparisons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52               </w:t>
      </w:r>
      <w:r>
        <w:rPr>
          <w:sz w:val="1"/>
          <w:szCs w:val="1"/>
          <w:color w:val="auto"/>
        </w:rPr>
        <w:drawing>
          <wp:inline distT="0" distB="0" distL="0" distR="0">
            <wp:extent cx="739140" cy="153035"/>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Executive Compensation</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table below shows the companies included in the Compensation Peer Group and each company’s GICS sector.</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5600" w:type="dxa"/>
            <w:vAlign w:val="bottom"/>
            <w:tcBorders>
              <w:bottom w:val="single" w:sz="8" w:color="005CB9"/>
              <w:right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Company</w:t>
            </w:r>
          </w:p>
        </w:tc>
        <w:tc>
          <w:tcPr>
            <w:tcW w:w="5320" w:type="dxa"/>
            <w:vAlign w:val="bottom"/>
            <w:tcBorders>
              <w:bottom w:val="single" w:sz="8" w:color="005CB9"/>
            </w:tcBorders>
            <w:shd w:val="clear" w:color="auto" w:fill="005CB9"/>
          </w:tcPr>
          <w:p>
            <w:pPr>
              <w:ind w:left="100"/>
              <w:spacing w:after="0"/>
              <w:rPr>
                <w:sz w:val="20"/>
                <w:szCs w:val="20"/>
                <w:color w:val="auto"/>
              </w:rPr>
            </w:pPr>
            <w:r>
              <w:rPr>
                <w:rFonts w:ascii="Arial" w:cs="Arial" w:eastAsia="Arial" w:hAnsi="Arial"/>
                <w:sz w:val="14"/>
                <w:szCs w:val="14"/>
                <w:b w:val="1"/>
                <w:bCs w:val="1"/>
                <w:color w:val="FFFFFF"/>
              </w:rPr>
              <w:t>GICs Sector</w:t>
            </w:r>
          </w:p>
        </w:tc>
      </w:tr>
      <w:tr>
        <w:trPr>
          <w:trHeight w:val="247"/>
        </w:trPr>
        <w:tc>
          <w:tcPr>
            <w:tcW w:w="5600" w:type="dxa"/>
            <w:vAlign w:val="bottom"/>
            <w:tcBorders>
              <w:right w:val="single" w:sz="8" w:color="7F7F7F"/>
            </w:tcBorders>
          </w:tcPr>
          <w:p>
            <w:pPr>
              <w:ind w:left="80"/>
              <w:spacing w:after="0"/>
              <w:rPr>
                <w:sz w:val="20"/>
                <w:szCs w:val="20"/>
                <w:color w:val="auto"/>
              </w:rPr>
            </w:pPr>
            <w:r>
              <w:rPr>
                <w:rFonts w:ascii="Arial" w:cs="Arial" w:eastAsia="Arial" w:hAnsi="Arial"/>
                <w:sz w:val="14"/>
                <w:szCs w:val="14"/>
                <w:color w:val="auto"/>
              </w:rPr>
              <w:t>Air Products and Chemicals</w:t>
            </w:r>
          </w:p>
        </w:tc>
        <w:tc>
          <w:tcPr>
            <w:tcW w:w="5320" w:type="dxa"/>
            <w:vAlign w:val="bottom"/>
          </w:tcPr>
          <w:p>
            <w:pPr>
              <w:ind w:left="100"/>
              <w:spacing w:after="0"/>
              <w:rPr>
                <w:sz w:val="20"/>
                <w:szCs w:val="20"/>
                <w:color w:val="auto"/>
              </w:rPr>
            </w:pPr>
            <w:r>
              <w:rPr>
                <w:rFonts w:ascii="Arial" w:cs="Arial" w:eastAsia="Arial" w:hAnsi="Arial"/>
                <w:sz w:val="14"/>
                <w:szCs w:val="14"/>
                <w:color w:val="auto"/>
              </w:rPr>
              <w:t>Materials</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American Electric Power Company,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Utilities</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American Tower Corporation</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Real Estate</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Analog Devices,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Information Technology</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CenterPoint Energy, Inc.</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Utilities</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Cheniere Energy,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Energy</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Corning Incorporated</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Information Technology</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Dominion Energy,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Utilities</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Duke Energy Corporation</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Utilities</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Edison International</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Utilities</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Entergy Corporation</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Utilities</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Hilton Worldwide Holdings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Consumer Discretionary</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Illinois Tool Works Inc.</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Industrials</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International Flavors &amp; Fragrances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Materials</w:t>
            </w:r>
          </w:p>
        </w:tc>
      </w:tr>
      <w:tr>
        <w:trPr>
          <w:trHeight w:val="274"/>
        </w:trPr>
        <w:tc>
          <w:tcPr>
            <w:tcW w:w="5600" w:type="dxa"/>
            <w:vAlign w:val="bottom"/>
            <w:tcBorders>
              <w:top w:val="single" w:sz="8" w:color="7F7F7F"/>
              <w:bottom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The Interpublic Group of Companies</w:t>
            </w:r>
            <w:r>
              <w:rPr>
                <w:rFonts w:ascii="Arial" w:cs="Arial" w:eastAsia="Arial" w:hAnsi="Arial"/>
                <w:sz w:val="21"/>
                <w:szCs w:val="21"/>
                <w:color w:val="auto"/>
                <w:vertAlign w:val="superscript"/>
              </w:rPr>
              <w:t>(1)</w:t>
            </w:r>
          </w:p>
        </w:tc>
        <w:tc>
          <w:tcPr>
            <w:tcW w:w="5320" w:type="dxa"/>
            <w:vAlign w:val="bottom"/>
            <w:tcBorders>
              <w:top w:val="single" w:sz="8" w:color="7F7F7F"/>
              <w:bottom w:val="single" w:sz="8" w:color="7F7F7F"/>
            </w:tcBorders>
          </w:tcPr>
          <w:p>
            <w:pPr>
              <w:ind w:left="100"/>
              <w:spacing w:after="0"/>
              <w:rPr>
                <w:sz w:val="20"/>
                <w:szCs w:val="20"/>
                <w:color w:val="auto"/>
              </w:rPr>
            </w:pPr>
            <w:r>
              <w:rPr>
                <w:rFonts w:ascii="Arial" w:cs="Arial" w:eastAsia="Arial" w:hAnsi="Arial"/>
                <w:sz w:val="14"/>
                <w:szCs w:val="14"/>
                <w:color w:val="auto"/>
              </w:rPr>
              <w:t>Communication Services</w:t>
            </w: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IQVIA Holdings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Health Care</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Jacobs Solutions Inc.</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Industrials</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Kimberly-Clark Corporation</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Consumer Staples</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L3Harris Technologies, Inc.</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Industrials</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Marsh &amp; McLennan Companies,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Financials</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MPLX LP</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Energy</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NextEra Energy,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Utilities</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PG&amp;E Corporation</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Utilities</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Public Service Enterprise Group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Utilities</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Schlumberger Limited</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Energy</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79"/>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The Southern Company</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Utilities</w:t>
            </w:r>
          </w:p>
        </w:tc>
      </w:tr>
      <w:tr>
        <w:trPr>
          <w:trHeight w:val="227"/>
        </w:trPr>
        <w:tc>
          <w:tcPr>
            <w:tcW w:w="5600" w:type="dxa"/>
            <w:vAlign w:val="bottom"/>
            <w:tcBorders>
              <w:top w:val="single" w:sz="8" w:color="7F7F7F"/>
              <w:right w:val="single" w:sz="8" w:color="7F7F7F"/>
            </w:tcBorders>
          </w:tcPr>
          <w:p>
            <w:pPr>
              <w:ind w:left="80"/>
              <w:spacing w:after="0"/>
              <w:rPr>
                <w:sz w:val="20"/>
                <w:szCs w:val="20"/>
                <w:color w:val="auto"/>
              </w:rPr>
            </w:pPr>
            <w:r>
              <w:rPr>
                <w:rFonts w:ascii="Arial" w:cs="Arial" w:eastAsia="Arial" w:hAnsi="Arial"/>
                <w:sz w:val="14"/>
                <w:szCs w:val="14"/>
                <w:color w:val="auto"/>
              </w:rPr>
              <w:t>Textron Inc.</w:t>
            </w:r>
          </w:p>
        </w:tc>
        <w:tc>
          <w:tcPr>
            <w:tcW w:w="5320" w:type="dxa"/>
            <w:vAlign w:val="bottom"/>
            <w:tcBorders>
              <w:top w:val="single" w:sz="8" w:color="7F7F7F"/>
            </w:tcBorders>
          </w:tcPr>
          <w:p>
            <w:pPr>
              <w:ind w:left="100"/>
              <w:spacing w:after="0"/>
              <w:rPr>
                <w:sz w:val="20"/>
                <w:szCs w:val="20"/>
                <w:color w:val="auto"/>
              </w:rPr>
            </w:pPr>
            <w:r>
              <w:rPr>
                <w:rFonts w:ascii="Arial" w:cs="Arial" w:eastAsia="Arial" w:hAnsi="Arial"/>
                <w:sz w:val="14"/>
                <w:szCs w:val="14"/>
                <w:color w:val="auto"/>
              </w:rPr>
              <w:t>Industrials</w:t>
            </w:r>
          </w:p>
        </w:tc>
      </w:tr>
      <w:tr>
        <w:trPr>
          <w:trHeight w:val="48"/>
        </w:trPr>
        <w:tc>
          <w:tcPr>
            <w:tcW w:w="5600" w:type="dxa"/>
            <w:vAlign w:val="bottom"/>
            <w:tcBorders>
              <w:bottom w:val="single" w:sz="8" w:color="7F7F7F"/>
              <w:right w:val="single" w:sz="8" w:color="7F7F7F"/>
            </w:tcBorders>
          </w:tcPr>
          <w:p>
            <w:pPr>
              <w:spacing w:after="0"/>
              <w:rPr>
                <w:sz w:val="4"/>
                <w:szCs w:val="4"/>
                <w:color w:val="auto"/>
              </w:rPr>
            </w:pPr>
          </w:p>
        </w:tc>
        <w:tc>
          <w:tcPr>
            <w:tcW w:w="5320" w:type="dxa"/>
            <w:vAlign w:val="bottom"/>
            <w:tcBorders>
              <w:bottom w:val="single" w:sz="8" w:color="7F7F7F"/>
            </w:tcBorders>
          </w:tcPr>
          <w:p>
            <w:pPr>
              <w:spacing w:after="0"/>
              <w:rPr>
                <w:sz w:val="4"/>
                <w:szCs w:val="4"/>
                <w:color w:val="auto"/>
              </w:rPr>
            </w:pPr>
          </w:p>
        </w:tc>
      </w:tr>
      <w:tr>
        <w:trPr>
          <w:trHeight w:val="254"/>
        </w:trPr>
        <w:tc>
          <w:tcPr>
            <w:tcW w:w="5600" w:type="dxa"/>
            <w:vAlign w:val="bottom"/>
            <w:tcBorders>
              <w:bottom w:val="single" w:sz="8" w:color="F2F2F2"/>
              <w:right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The Williams Companies, Inc.</w:t>
            </w:r>
          </w:p>
        </w:tc>
        <w:tc>
          <w:tcPr>
            <w:tcW w:w="53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Energy</w:t>
            </w:r>
          </w:p>
        </w:tc>
      </w:tr>
      <w:tr>
        <w:trPr>
          <w:trHeight w:val="20"/>
        </w:trPr>
        <w:tc>
          <w:tcPr>
            <w:tcW w:w="5600" w:type="dxa"/>
            <w:vAlign w:val="bottom"/>
            <w:tcBorders>
              <w:right w:val="single" w:sz="8" w:color="7F7F7F"/>
            </w:tcBorders>
            <w:shd w:val="clear" w:color="auto" w:fill="7F7F7F"/>
          </w:tcPr>
          <w:p>
            <w:pPr>
              <w:spacing w:after="0" w:line="20" w:lineRule="exact"/>
              <w:rPr>
                <w:sz w:val="1"/>
                <w:szCs w:val="1"/>
                <w:color w:val="auto"/>
              </w:rPr>
            </w:pPr>
          </w:p>
        </w:tc>
        <w:tc>
          <w:tcPr>
            <w:tcW w:w="5320" w:type="dxa"/>
            <w:vAlign w:val="bottom"/>
            <w:shd w:val="clear" w:color="auto" w:fill="7F7F7F"/>
          </w:tcPr>
          <w:p>
            <w:pPr>
              <w:spacing w:after="0" w:line="20" w:lineRule="exact"/>
              <w:rPr>
                <w:sz w:val="1"/>
                <w:szCs w:val="1"/>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7</w:t>
      </w:r>
    </w:p>
    <w:p>
      <w:pPr>
        <w:spacing w:after="0" w:line="76" w:lineRule="exact"/>
        <w:rPr>
          <w:sz w:val="20"/>
          <w:szCs w:val="20"/>
          <w:color w:val="auto"/>
        </w:rPr>
      </w:pPr>
    </w:p>
    <w:p>
      <w:pPr>
        <w:ind w:left="480" w:right="80" w:hanging="313"/>
        <w:spacing w:after="0" w:line="279" w:lineRule="auto"/>
        <w:tabs>
          <w:tab w:leader="none" w:pos="4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As of November 26, 2025, The Interpublic Group of Companies, Inc. operates as a subsidiary of Omnicom Group Inc. Financial data for The Interpublic Group of Companies, Inc. is, therefore, not included in Table 8 below.</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8140" w:type="dxa"/>
            <w:vAlign w:val="bottom"/>
            <w:shd w:val="clear" w:color="auto" w:fill="005CB9"/>
          </w:tcPr>
          <w:p>
            <w:pPr>
              <w:spacing w:after="0"/>
              <w:rPr>
                <w:sz w:val="18"/>
                <w:szCs w:val="18"/>
                <w:color w:val="auto"/>
              </w:rPr>
            </w:pPr>
          </w:p>
        </w:tc>
        <w:tc>
          <w:tcPr>
            <w:tcW w:w="1560" w:type="dxa"/>
            <w:vAlign w:val="bottom"/>
            <w:shd w:val="clear" w:color="auto" w:fill="005CB9"/>
          </w:tcPr>
          <w:p>
            <w:pPr>
              <w:ind w:left="640"/>
              <w:spacing w:after="0"/>
              <w:rPr>
                <w:sz w:val="20"/>
                <w:szCs w:val="20"/>
                <w:color w:val="auto"/>
              </w:rPr>
            </w:pPr>
            <w:r>
              <w:rPr>
                <w:rFonts w:ascii="Arial" w:cs="Arial" w:eastAsia="Arial" w:hAnsi="Arial"/>
                <w:sz w:val="14"/>
                <w:szCs w:val="14"/>
                <w:b w:val="1"/>
                <w:bCs w:val="1"/>
                <w:color w:val="FFFFFF"/>
              </w:rPr>
              <w:t>Market</w:t>
            </w:r>
          </w:p>
        </w:tc>
        <w:tc>
          <w:tcPr>
            <w:tcW w:w="1220" w:type="dxa"/>
            <w:vAlign w:val="bottom"/>
            <w:shd w:val="clear" w:color="auto" w:fill="005CB9"/>
          </w:tcPr>
          <w:p>
            <w:pPr>
              <w:spacing w:after="0"/>
              <w:rPr>
                <w:sz w:val="18"/>
                <w:szCs w:val="18"/>
                <w:color w:val="auto"/>
              </w:rPr>
            </w:pPr>
          </w:p>
        </w:tc>
      </w:tr>
      <w:tr>
        <w:trPr>
          <w:trHeight w:val="241"/>
        </w:trPr>
        <w:tc>
          <w:tcPr>
            <w:tcW w:w="814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Compensation Peer Group Summary Statistics (Dollars in Millions)</w:t>
            </w:r>
          </w:p>
        </w:tc>
        <w:tc>
          <w:tcPr>
            <w:tcW w:w="1560" w:type="dxa"/>
            <w:vAlign w:val="bottom"/>
            <w:shd w:val="clear" w:color="auto" w:fill="005CB9"/>
          </w:tcPr>
          <w:p>
            <w:pPr>
              <w:ind w:left="340"/>
              <w:spacing w:after="0"/>
              <w:rPr>
                <w:sz w:val="20"/>
                <w:szCs w:val="20"/>
                <w:color w:val="auto"/>
              </w:rPr>
            </w:pPr>
            <w:r>
              <w:rPr>
                <w:rFonts w:ascii="Arial" w:cs="Arial" w:eastAsia="Arial" w:hAnsi="Arial"/>
                <w:sz w:val="14"/>
                <w:szCs w:val="14"/>
                <w:b w:val="1"/>
                <w:bCs w:val="1"/>
                <w:color w:val="FFFFFF"/>
              </w:rPr>
              <w:t>Capitalization</w:t>
            </w:r>
            <w:r>
              <w:rPr>
                <w:rFonts w:ascii="Arial" w:cs="Arial" w:eastAsia="Arial" w:hAnsi="Arial"/>
                <w:sz w:val="21"/>
                <w:szCs w:val="21"/>
                <w:b w:val="1"/>
                <w:bCs w:val="1"/>
                <w:color w:val="FFFFFF"/>
                <w:vertAlign w:val="superscript"/>
              </w:rPr>
              <w:t>(1)</w:t>
            </w:r>
          </w:p>
        </w:tc>
        <w:tc>
          <w:tcPr>
            <w:tcW w:w="1220" w:type="dxa"/>
            <w:vAlign w:val="bottom"/>
            <w:shd w:val="clear" w:color="auto" w:fill="005CB9"/>
          </w:tcPr>
          <w:p>
            <w:pPr>
              <w:jc w:val="right"/>
              <w:ind w:right="249"/>
              <w:spacing w:after="0"/>
              <w:rPr>
                <w:sz w:val="20"/>
                <w:szCs w:val="20"/>
                <w:color w:val="auto"/>
              </w:rPr>
            </w:pPr>
            <w:r>
              <w:rPr>
                <w:rFonts w:ascii="Arial" w:cs="Arial" w:eastAsia="Arial" w:hAnsi="Arial"/>
                <w:sz w:val="14"/>
                <w:szCs w:val="14"/>
                <w:b w:val="1"/>
                <w:bCs w:val="1"/>
                <w:color w:val="FFFFFF"/>
              </w:rPr>
              <w:t>Revenue</w:t>
            </w:r>
            <w:r>
              <w:rPr>
                <w:rFonts w:ascii="Arial" w:cs="Arial" w:eastAsia="Arial" w:hAnsi="Arial"/>
                <w:sz w:val="21"/>
                <w:szCs w:val="21"/>
                <w:b w:val="1"/>
                <w:bCs w:val="1"/>
                <w:color w:val="FFFFFF"/>
                <w:vertAlign w:val="superscript"/>
              </w:rPr>
              <w:t>(2)</w:t>
            </w:r>
          </w:p>
        </w:tc>
      </w:tr>
      <w:tr>
        <w:trPr>
          <w:trHeight w:val="294"/>
        </w:trPr>
        <w:tc>
          <w:tcPr>
            <w:tcW w:w="8140" w:type="dxa"/>
            <w:vAlign w:val="bottom"/>
            <w:tcBorders>
              <w:bottom w:val="single" w:sz="8" w:color="7F7F7F"/>
            </w:tcBorders>
          </w:tcPr>
          <w:p>
            <w:pPr>
              <w:ind w:left="80"/>
              <w:spacing w:after="0"/>
              <w:rPr>
                <w:sz w:val="20"/>
                <w:szCs w:val="20"/>
                <w:color w:val="auto"/>
              </w:rPr>
            </w:pPr>
            <w:r>
              <w:rPr>
                <w:rFonts w:ascii="Arial" w:cs="Arial" w:eastAsia="Arial" w:hAnsi="Arial"/>
                <w:sz w:val="14"/>
                <w:szCs w:val="14"/>
                <w:color w:val="auto"/>
              </w:rPr>
              <w:t>75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1560" w:type="dxa"/>
            <w:vAlign w:val="bottom"/>
            <w:tcBorders>
              <w:bottom w:val="single" w:sz="8" w:color="7F7F7F"/>
            </w:tcBorders>
          </w:tcPr>
          <w:p>
            <w:pPr>
              <w:ind w:left="580"/>
              <w:spacing w:after="0"/>
              <w:rPr>
                <w:sz w:val="20"/>
                <w:szCs w:val="20"/>
                <w:color w:val="auto"/>
              </w:rPr>
            </w:pPr>
            <w:r>
              <w:rPr>
                <w:rFonts w:ascii="Arial" w:cs="Arial" w:eastAsia="Arial" w:hAnsi="Arial"/>
                <w:sz w:val="14"/>
                <w:szCs w:val="14"/>
                <w:color w:val="auto"/>
              </w:rPr>
              <w:t>$73,261 </w:t>
            </w:r>
          </w:p>
        </w:tc>
        <w:tc>
          <w:tcPr>
            <w:tcW w:w="1220" w:type="dxa"/>
            <w:vAlign w:val="bottom"/>
            <w:tcBorders>
              <w:bottom w:val="single" w:sz="8" w:color="7F7F7F"/>
            </w:tcBorders>
          </w:tcPr>
          <w:p>
            <w:pPr>
              <w:jc w:val="right"/>
              <w:ind w:right="249"/>
              <w:spacing w:after="0"/>
              <w:rPr>
                <w:sz w:val="20"/>
                <w:szCs w:val="20"/>
                <w:color w:val="auto"/>
              </w:rPr>
            </w:pPr>
            <w:r>
              <w:rPr>
                <w:rFonts w:ascii="Arial" w:cs="Arial" w:eastAsia="Arial" w:hAnsi="Arial"/>
                <w:sz w:val="14"/>
                <w:szCs w:val="14"/>
                <w:color w:val="auto"/>
              </w:rPr>
              <w:t>$21,871</w:t>
            </w:r>
          </w:p>
        </w:tc>
      </w:tr>
      <w:tr>
        <w:trPr>
          <w:trHeight w:val="279"/>
        </w:trPr>
        <w:tc>
          <w:tcPr>
            <w:tcW w:w="81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Median</w:t>
            </w:r>
          </w:p>
        </w:tc>
        <w:tc>
          <w:tcPr>
            <w:tcW w:w="1560" w:type="dxa"/>
            <w:vAlign w:val="bottom"/>
            <w:tcBorders>
              <w:bottom w:val="single" w:sz="8" w:color="F2F2F2"/>
            </w:tcBorders>
            <w:shd w:val="clear" w:color="auto" w:fill="F2F2F2"/>
          </w:tcPr>
          <w:p>
            <w:pPr>
              <w:ind w:left="580"/>
              <w:spacing w:after="0"/>
              <w:rPr>
                <w:sz w:val="20"/>
                <w:szCs w:val="20"/>
                <w:color w:val="auto"/>
              </w:rPr>
            </w:pPr>
            <w:r>
              <w:rPr>
                <w:rFonts w:ascii="Arial" w:cs="Arial" w:eastAsia="Arial" w:hAnsi="Arial"/>
                <w:sz w:val="14"/>
                <w:szCs w:val="14"/>
                <w:color w:val="auto"/>
              </w:rPr>
              <w:t>$54,281</w:t>
            </w:r>
          </w:p>
        </w:tc>
        <w:tc>
          <w:tcPr>
            <w:tcW w:w="1220" w:type="dxa"/>
            <w:vAlign w:val="bottom"/>
            <w:tcBorders>
              <w:bottom w:val="single" w:sz="8" w:color="F2F2F2"/>
            </w:tcBorders>
            <w:shd w:val="clear" w:color="auto" w:fill="F2F2F2"/>
          </w:tcPr>
          <w:p>
            <w:pPr>
              <w:jc w:val="right"/>
              <w:ind w:right="249"/>
              <w:spacing w:after="0"/>
              <w:rPr>
                <w:sz w:val="20"/>
                <w:szCs w:val="20"/>
                <w:color w:val="auto"/>
              </w:rPr>
            </w:pPr>
            <w:r>
              <w:rPr>
                <w:rFonts w:ascii="Arial" w:cs="Arial" w:eastAsia="Arial" w:hAnsi="Arial"/>
                <w:sz w:val="14"/>
                <w:szCs w:val="14"/>
                <w:color w:val="auto"/>
              </w:rPr>
              <w:t>$16,044</w:t>
            </w:r>
          </w:p>
        </w:tc>
      </w:tr>
      <w:tr>
        <w:trPr>
          <w:trHeight w:val="274"/>
        </w:trPr>
        <w:tc>
          <w:tcPr>
            <w:tcW w:w="814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color w:val="auto"/>
              </w:rPr>
              <w:t>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1560" w:type="dxa"/>
            <w:vAlign w:val="bottom"/>
            <w:tcBorders>
              <w:top w:val="single" w:sz="8" w:color="7F7F7F"/>
              <w:bottom w:val="single" w:sz="8" w:color="7F7F7F"/>
            </w:tcBorders>
          </w:tcPr>
          <w:p>
            <w:pPr>
              <w:ind w:left="580"/>
              <w:spacing w:after="0"/>
              <w:rPr>
                <w:sz w:val="20"/>
                <w:szCs w:val="20"/>
                <w:color w:val="auto"/>
              </w:rPr>
            </w:pPr>
            <w:r>
              <w:rPr>
                <w:rFonts w:ascii="Arial" w:cs="Arial" w:eastAsia="Arial" w:hAnsi="Arial"/>
                <w:sz w:val="14"/>
                <w:szCs w:val="14"/>
                <w:color w:val="auto"/>
              </w:rPr>
              <w:t>$34,403</w:t>
            </w:r>
          </w:p>
        </w:tc>
        <w:tc>
          <w:tcPr>
            <w:tcW w:w="1220" w:type="dxa"/>
            <w:vAlign w:val="bottom"/>
            <w:tcBorders>
              <w:top w:val="single" w:sz="8" w:color="7F7F7F"/>
              <w:bottom w:val="single" w:sz="8" w:color="7F7F7F"/>
            </w:tcBorders>
          </w:tcPr>
          <w:p>
            <w:pPr>
              <w:jc w:val="right"/>
              <w:ind w:right="249"/>
              <w:spacing w:after="0"/>
              <w:rPr>
                <w:sz w:val="20"/>
                <w:szCs w:val="20"/>
                <w:color w:val="auto"/>
              </w:rPr>
            </w:pPr>
            <w:r>
              <w:rPr>
                <w:rFonts w:ascii="Arial" w:cs="Arial" w:eastAsia="Arial" w:hAnsi="Arial"/>
                <w:sz w:val="14"/>
                <w:szCs w:val="14"/>
                <w:color w:val="auto"/>
              </w:rPr>
              <w:t>$11,923</w:t>
            </w:r>
          </w:p>
        </w:tc>
      </w:tr>
      <w:tr>
        <w:trPr>
          <w:trHeight w:val="279"/>
        </w:trPr>
        <w:tc>
          <w:tcPr>
            <w:tcW w:w="81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Sempra</w:t>
            </w:r>
          </w:p>
        </w:tc>
        <w:tc>
          <w:tcPr>
            <w:tcW w:w="1560" w:type="dxa"/>
            <w:vAlign w:val="bottom"/>
            <w:tcBorders>
              <w:bottom w:val="single" w:sz="8" w:color="F2F2F2"/>
            </w:tcBorders>
            <w:shd w:val="clear" w:color="auto" w:fill="F2F2F2"/>
          </w:tcPr>
          <w:p>
            <w:pPr>
              <w:ind w:left="580"/>
              <w:spacing w:after="0"/>
              <w:rPr>
                <w:sz w:val="20"/>
                <w:szCs w:val="20"/>
                <w:color w:val="auto"/>
              </w:rPr>
            </w:pPr>
            <w:r>
              <w:rPr>
                <w:rFonts w:ascii="Arial" w:cs="Arial" w:eastAsia="Arial" w:hAnsi="Arial"/>
                <w:sz w:val="14"/>
                <w:szCs w:val="14"/>
                <w:color w:val="auto"/>
              </w:rPr>
              <w:t>$57,625</w:t>
            </w:r>
          </w:p>
        </w:tc>
        <w:tc>
          <w:tcPr>
            <w:tcW w:w="1220" w:type="dxa"/>
            <w:vAlign w:val="bottom"/>
            <w:tcBorders>
              <w:bottom w:val="single" w:sz="8" w:color="F2F2F2"/>
            </w:tcBorders>
            <w:shd w:val="clear" w:color="auto" w:fill="F2F2F2"/>
          </w:tcPr>
          <w:p>
            <w:pPr>
              <w:jc w:val="right"/>
              <w:ind w:right="249"/>
              <w:spacing w:after="0"/>
              <w:rPr>
                <w:sz w:val="20"/>
                <w:szCs w:val="20"/>
                <w:color w:val="auto"/>
              </w:rPr>
            </w:pPr>
            <w:r>
              <w:rPr>
                <w:rFonts w:ascii="Arial" w:cs="Arial" w:eastAsia="Arial" w:hAnsi="Arial"/>
                <w:sz w:val="14"/>
                <w:szCs w:val="14"/>
                <w:color w:val="auto"/>
              </w:rPr>
              <w:t>$13,702</w:t>
            </w:r>
          </w:p>
        </w:tc>
      </w:tr>
      <w:tr>
        <w:trPr>
          <w:trHeight w:val="320"/>
        </w:trPr>
        <w:tc>
          <w:tcPr>
            <w:tcW w:w="8140" w:type="dxa"/>
            <w:vAlign w:val="bottom"/>
            <w:tcBorders>
              <w:top w:val="single" w:sz="8" w:color="7F7F7F"/>
            </w:tcBorders>
          </w:tcPr>
          <w:p>
            <w:pPr>
              <w:ind w:left="80"/>
              <w:spacing w:after="0"/>
              <w:rPr>
                <w:sz w:val="20"/>
                <w:szCs w:val="20"/>
                <w:color w:val="auto"/>
              </w:rPr>
            </w:pPr>
            <w:r>
              <w:rPr>
                <w:rFonts w:ascii="Arial" w:cs="Arial" w:eastAsia="Arial" w:hAnsi="Arial"/>
                <w:sz w:val="14"/>
                <w:szCs w:val="14"/>
                <w:b w:val="1"/>
                <w:bCs w:val="1"/>
                <w:color w:val="auto"/>
              </w:rPr>
              <w:t>Sempra Percentile Rank</w:t>
            </w:r>
          </w:p>
        </w:tc>
        <w:tc>
          <w:tcPr>
            <w:tcW w:w="1560" w:type="dxa"/>
            <w:vAlign w:val="bottom"/>
            <w:tcBorders>
              <w:top w:val="single" w:sz="8" w:color="7F7F7F"/>
            </w:tcBorders>
          </w:tcPr>
          <w:p>
            <w:pPr>
              <w:ind w:left="940"/>
              <w:spacing w:after="0"/>
              <w:rPr>
                <w:sz w:val="20"/>
                <w:szCs w:val="20"/>
                <w:color w:val="auto"/>
              </w:rPr>
            </w:pPr>
            <w:r>
              <w:rPr>
                <w:rFonts w:ascii="Arial" w:cs="Arial" w:eastAsia="Arial" w:hAnsi="Arial"/>
                <w:sz w:val="14"/>
                <w:szCs w:val="14"/>
                <w:color w:val="auto"/>
              </w:rPr>
              <w:t>62</w:t>
            </w:r>
            <w:r>
              <w:rPr>
                <w:rFonts w:ascii="Arial" w:cs="Arial" w:eastAsia="Arial" w:hAnsi="Arial"/>
                <w:sz w:val="21"/>
                <w:szCs w:val="21"/>
                <w:color w:val="auto"/>
                <w:vertAlign w:val="superscript"/>
              </w:rPr>
              <w:t>nd</w:t>
            </w:r>
          </w:p>
        </w:tc>
        <w:tc>
          <w:tcPr>
            <w:tcW w:w="1220" w:type="dxa"/>
            <w:vAlign w:val="bottom"/>
            <w:tcBorders>
              <w:top w:val="single" w:sz="8" w:color="7F7F7F"/>
            </w:tcBorders>
          </w:tcPr>
          <w:p>
            <w:pPr>
              <w:jc w:val="right"/>
              <w:ind w:right="169"/>
              <w:spacing w:after="0"/>
              <w:rPr>
                <w:sz w:val="20"/>
                <w:szCs w:val="20"/>
                <w:color w:val="auto"/>
              </w:rPr>
            </w:pPr>
            <w:r>
              <w:rPr>
                <w:rFonts w:ascii="Arial" w:cs="Arial" w:eastAsia="Arial" w:hAnsi="Arial"/>
                <w:sz w:val="14"/>
                <w:szCs w:val="14"/>
                <w:color w:val="auto"/>
              </w:rPr>
              <w:t>40</w:t>
            </w:r>
            <w:r>
              <w:rPr>
                <w:rFonts w:ascii="Arial" w:cs="Arial" w:eastAsia="Arial" w:hAnsi="Arial"/>
                <w:sz w:val="21"/>
                <w:szCs w:val="21"/>
                <w:color w:val="auto"/>
                <w:vertAlign w:val="superscript"/>
              </w:rPr>
              <w:t>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2"/>
          <w:szCs w:val="12"/>
          <w:color w:val="auto"/>
        </w:rPr>
        <w:t>Table 8</w:t>
      </w:r>
    </w:p>
    <w:p>
      <w:pPr>
        <w:spacing w:after="0" w:line="36" w:lineRule="exact"/>
        <w:rPr>
          <w:sz w:val="20"/>
          <w:szCs w:val="20"/>
          <w:color w:val="auto"/>
        </w:rPr>
      </w:pPr>
    </w:p>
    <w:p>
      <w:pPr>
        <w:ind w:left="480" w:right="60" w:hanging="313"/>
        <w:spacing w:after="0" w:line="267" w:lineRule="auto"/>
        <w:tabs>
          <w:tab w:leader="none" w:pos="4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Market capitalization is calculated using the common stock closing price on December 31, 2025 and the number of outstanding shares of common stock based on publicly reported information available as of December 31, 2025.</w:t>
      </w:r>
    </w:p>
    <w:p>
      <w:pPr>
        <w:ind w:left="480" w:hanging="313"/>
        <w:spacing w:after="0"/>
        <w:tabs>
          <w:tab w:leader="none" w:pos="4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Revenue is for fiscal year 2025 (except for one peer company that is based on fiscal 2024 revenue due to the timing of its fiscal year end and filing of its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238125</wp:posOffset>
            </wp:positionV>
            <wp:extent cx="739140" cy="153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53</w:t>
      </w:r>
    </w:p>
    <w:p>
      <w:pPr>
        <w:sectPr>
          <w:pgSz w:w="11900" w:h="16838" w:orient="portrait"/>
          <w:cols w:equalWidth="0" w:num="1">
            <w:col w:w="11080"/>
          </w:cols>
          <w:pgMar w:left="320" w:top="478"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Use of Survey Data</w:t>
      </w:r>
    </w:p>
    <w:p>
      <w:pPr>
        <w:spacing w:after="0" w:line="125" w:lineRule="exact"/>
        <w:rPr>
          <w:sz w:val="20"/>
          <w:szCs w:val="20"/>
          <w:color w:val="auto"/>
        </w:rPr>
      </w:pPr>
    </w:p>
    <w:p>
      <w:pPr>
        <w:ind w:left="160" w:right="340"/>
        <w:spacing w:after="0" w:line="281" w:lineRule="auto"/>
        <w:rPr>
          <w:sz w:val="20"/>
          <w:szCs w:val="20"/>
          <w:color w:val="auto"/>
        </w:rPr>
      </w:pPr>
      <w:r>
        <w:rPr>
          <w:rFonts w:ascii="Arial" w:cs="Arial" w:eastAsia="Arial" w:hAnsi="Arial"/>
          <w:sz w:val="14"/>
          <w:szCs w:val="14"/>
          <w:color w:val="auto"/>
        </w:rPr>
        <w:t>Compensation survey data may be used to supplement Compensation Peer Group data or if Compensation Peer Group data is not available for a particular role. In this case, information about specific surveys or specific companies in the survey data is not provided to the Compensation and Talent Development Committee.</w:t>
      </w:r>
    </w:p>
    <w:p>
      <w:pPr>
        <w:spacing w:after="0" w:line="24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Role of Internal Pay Equity</w:t>
      </w:r>
    </w:p>
    <w:p>
      <w:pPr>
        <w:spacing w:after="0" w:line="125" w:lineRule="exact"/>
        <w:rPr>
          <w:sz w:val="20"/>
          <w:szCs w:val="20"/>
          <w:color w:val="auto"/>
        </w:rPr>
      </w:pPr>
    </w:p>
    <w:p>
      <w:pPr>
        <w:jc w:val="both"/>
        <w:ind w:left="160"/>
        <w:spacing w:after="0" w:line="260" w:lineRule="auto"/>
        <w:rPr>
          <w:sz w:val="20"/>
          <w:szCs w:val="20"/>
          <w:color w:val="auto"/>
        </w:rPr>
      </w:pPr>
      <w:r>
        <w:rPr>
          <w:rFonts w:ascii="Arial" w:cs="Arial" w:eastAsia="Arial" w:hAnsi="Arial"/>
          <w:sz w:val="14"/>
          <w:szCs w:val="14"/>
          <w:color w:val="auto"/>
        </w:rPr>
        <w:t>The Compensation and Talent Development Committee uses internal pay equity principles to determine the compensation for positions that are unique or difficult to compare to market data. Internal equity is also considered in establishing compensation for positions considered to be equivalent in responsibilities and importance, especially where precise external data is not available.</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Compensation Components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Primary Components of Executive Compensation Program</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primary components of our executive compensation program are:</w:t>
      </w:r>
    </w:p>
    <w:p>
      <w:pPr>
        <w:spacing w:after="0" w:line="120" w:lineRule="exact"/>
        <w:rPr>
          <w:sz w:val="20"/>
          <w:szCs w:val="20"/>
          <w:color w:val="auto"/>
        </w:rPr>
      </w:pPr>
    </w:p>
    <w:p>
      <w:pPr>
        <w:ind w:left="800" w:hanging="312"/>
        <w:spacing w:after="0"/>
        <w:tabs>
          <w:tab w:leader="none" w:pos="800" w:val="left"/>
        </w:tabs>
        <w:numPr>
          <w:ilvl w:val="0"/>
          <w:numId w:val="69"/>
        </w:numPr>
        <w:rPr>
          <w:rFonts w:ascii="Times New Roman" w:cs="Times New Roman" w:eastAsia="Times New Roman" w:hAnsi="Times New Roman"/>
          <w:sz w:val="14"/>
          <w:szCs w:val="14"/>
          <w:color w:val="005CB9"/>
        </w:rPr>
      </w:pPr>
      <w:r>
        <w:rPr>
          <w:rFonts w:ascii="Arial" w:cs="Arial" w:eastAsia="Arial" w:hAnsi="Arial"/>
          <w:sz w:val="14"/>
          <w:szCs w:val="14"/>
          <w:color w:val="auto"/>
        </w:rPr>
        <w:t>Base salaries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69"/>
        </w:numPr>
        <w:rPr>
          <w:rFonts w:ascii="Times New Roman" w:cs="Times New Roman" w:eastAsia="Times New Roman" w:hAnsi="Times New Roman"/>
          <w:sz w:val="14"/>
          <w:szCs w:val="14"/>
          <w:color w:val="005CB9"/>
        </w:rPr>
      </w:pPr>
      <w:r>
        <w:rPr>
          <w:rFonts w:ascii="Arial" w:cs="Arial" w:eastAsia="Arial" w:hAnsi="Arial"/>
          <w:sz w:val="14"/>
          <w:szCs w:val="14"/>
          <w:color w:val="auto"/>
        </w:rPr>
        <w:t>Performance-based annual bonuses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69"/>
        </w:numPr>
        <w:rPr>
          <w:rFonts w:ascii="Times New Roman" w:cs="Times New Roman" w:eastAsia="Times New Roman" w:hAnsi="Times New Roman"/>
          <w:sz w:val="14"/>
          <w:szCs w:val="14"/>
          <w:color w:val="005CB9"/>
        </w:rPr>
      </w:pPr>
      <w:r>
        <w:rPr>
          <w:rFonts w:ascii="Arial" w:cs="Arial" w:eastAsia="Arial" w:hAnsi="Arial"/>
          <w:sz w:val="14"/>
          <w:szCs w:val="14"/>
          <w:color w:val="auto"/>
        </w:rPr>
        <w:t>Long-term equity-based incentives</w:t>
      </w:r>
    </w:p>
    <w:p>
      <w:pPr>
        <w:spacing w:after="0" w:line="106" w:lineRule="exact"/>
        <w:rPr>
          <w:sz w:val="20"/>
          <w:szCs w:val="20"/>
          <w:color w:val="auto"/>
        </w:rPr>
      </w:pPr>
    </w:p>
    <w:p>
      <w:pPr>
        <w:ind w:left="160" w:right="60"/>
        <w:spacing w:after="0" w:line="281" w:lineRule="auto"/>
        <w:rPr>
          <w:sz w:val="20"/>
          <w:szCs w:val="20"/>
          <w:color w:val="auto"/>
        </w:rPr>
      </w:pPr>
      <w:r>
        <w:rPr>
          <w:rFonts w:ascii="Arial" w:cs="Arial" w:eastAsia="Arial" w:hAnsi="Arial"/>
          <w:sz w:val="14"/>
          <w:szCs w:val="14"/>
          <w:color w:val="auto"/>
        </w:rPr>
        <w:t>Additional benefits include participation in savings and retirement plans and health and welfare programs, as well as personal benefits and severance and change in control arrangements.</w:t>
      </w:r>
    </w:p>
    <w:p>
      <w:pPr>
        <w:spacing w:after="0" w:line="51" w:lineRule="exact"/>
        <w:rPr>
          <w:sz w:val="20"/>
          <w:szCs w:val="20"/>
          <w:color w:val="auto"/>
        </w:rPr>
      </w:pPr>
    </w:p>
    <w:p>
      <w:pPr>
        <w:ind w:left="160" w:right="160"/>
        <w:spacing w:after="0" w:line="281" w:lineRule="auto"/>
        <w:rPr>
          <w:sz w:val="20"/>
          <w:szCs w:val="20"/>
          <w:color w:val="auto"/>
        </w:rPr>
      </w:pPr>
      <w:r>
        <w:rPr>
          <w:rFonts w:ascii="Arial" w:cs="Arial" w:eastAsia="Arial" w:hAnsi="Arial"/>
          <w:sz w:val="14"/>
          <w:szCs w:val="14"/>
          <w:color w:val="auto"/>
        </w:rPr>
        <w:t>All of our named executive officers generally participate in the same compensation program. However, compensation levels for named executive officers vary substantially based on the roles and responsibilities of the individual officers.</w:t>
      </w:r>
    </w:p>
    <w:p>
      <w:pPr>
        <w:spacing w:after="0" w:line="139"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21"/>
          <w:szCs w:val="21"/>
          <w:b w:val="1"/>
          <w:bCs w:val="1"/>
          <w:color w:val="auto"/>
        </w:rPr>
        <w:t>1. </w:t>
        <w:tab/>
        <w:t>Base Salaries</w:t>
      </w:r>
    </w:p>
    <w:p>
      <w:pPr>
        <w:spacing w:after="0" w:line="125" w:lineRule="exact"/>
        <w:rPr>
          <w:sz w:val="20"/>
          <w:szCs w:val="20"/>
          <w:color w:val="auto"/>
        </w:rPr>
      </w:pPr>
    </w:p>
    <w:p>
      <w:pPr>
        <w:ind w:left="160" w:right="400"/>
        <w:spacing w:after="0" w:line="281" w:lineRule="auto"/>
        <w:rPr>
          <w:sz w:val="20"/>
          <w:szCs w:val="20"/>
          <w:color w:val="auto"/>
        </w:rPr>
      </w:pPr>
      <w:r>
        <w:rPr>
          <w:rFonts w:ascii="Arial" w:cs="Arial" w:eastAsia="Arial" w:hAnsi="Arial"/>
          <w:sz w:val="14"/>
          <w:szCs w:val="14"/>
          <w:color w:val="auto"/>
        </w:rPr>
        <w:t>Our executive compensation program emphasizes performance-based pay. This includes annual cash bonuses and long-term equity-based incentives. However, base salaries remain a common and necessary element of compensation for attracting and retaining outstanding employees at all levels.</w:t>
      </w:r>
    </w:p>
    <w:p>
      <w:pPr>
        <w:spacing w:after="0" w:line="51" w:lineRule="exact"/>
        <w:rPr>
          <w:sz w:val="20"/>
          <w:szCs w:val="20"/>
          <w:color w:val="auto"/>
        </w:rPr>
      </w:pPr>
    </w:p>
    <w:p>
      <w:pPr>
        <w:ind w:left="160" w:right="80"/>
        <w:spacing w:after="0" w:line="281" w:lineRule="auto"/>
        <w:rPr>
          <w:sz w:val="20"/>
          <w:szCs w:val="20"/>
          <w:color w:val="auto"/>
        </w:rPr>
      </w:pPr>
      <w:r>
        <w:rPr>
          <w:rFonts w:ascii="Arial" w:cs="Arial" w:eastAsia="Arial" w:hAnsi="Arial"/>
          <w:sz w:val="14"/>
          <w:szCs w:val="14"/>
          <w:color w:val="auto"/>
        </w:rPr>
        <w:t>The Compensation and Talent Development Committee annually reviews base salaries for executive officers. The committee considers the following factors, among others, in its annual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121285</wp:posOffset>
            </wp:positionV>
            <wp:extent cx="6934200" cy="14306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34200" cy="1430655"/>
                    </a:xfrm>
                    <a:prstGeom prst="rect">
                      <a:avLst/>
                    </a:prstGeom>
                    <a:noFill/>
                  </pic:spPr>
                </pic:pic>
              </a:graphicData>
            </a:graphic>
          </wp:anchor>
        </w:drawing>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005CB9"/>
        </w:rPr>
        <w:t>Factors Considered in Determining Base Salaries</w:t>
      </w:r>
    </w:p>
    <w:p>
      <w:pPr>
        <w:spacing w:after="0" w:line="371" w:lineRule="exact"/>
        <w:rPr>
          <w:sz w:val="20"/>
          <w:szCs w:val="20"/>
          <w:color w:val="auto"/>
        </w:rPr>
      </w:pPr>
    </w:p>
    <w:tbl>
      <w:tblPr>
        <w:tblLayout w:type="fixed"/>
        <w:tblInd w:w="180" w:type="dxa"/>
        <w:tblCellMar>
          <w:top w:w="0" w:type="dxa"/>
          <w:left w:w="0" w:type="dxa"/>
          <w:bottom w:w="0" w:type="dxa"/>
          <w:right w:w="0" w:type="dxa"/>
        </w:tblCellMar>
      </w:tblPr>
      <w:tr>
        <w:trPr>
          <w:trHeight w:val="376"/>
        </w:trPr>
        <w:tc>
          <w:tcPr>
            <w:tcW w:w="3520" w:type="dxa"/>
            <w:vAlign w:val="bottom"/>
          </w:tcPr>
          <w:p>
            <w:pPr>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28"/>
                <w:szCs w:val="28"/>
                <w:color w:val="auto"/>
                <w:vertAlign w:val="subscript"/>
              </w:rPr>
              <w:t xml:space="preserve">    </w:t>
            </w:r>
            <w:r>
              <w:rPr>
                <w:rFonts w:ascii="Arial" w:cs="Arial" w:eastAsia="Arial" w:hAnsi="Arial"/>
                <w:sz w:val="14"/>
                <w:szCs w:val="14"/>
                <w:color w:val="auto"/>
              </w:rPr>
              <w:t xml:space="preserve"> Peer group salary data</w:t>
            </w:r>
          </w:p>
        </w:tc>
        <w:tc>
          <w:tcPr>
            <w:tcW w:w="3700" w:type="dxa"/>
            <w:vAlign w:val="bottom"/>
          </w:tcPr>
          <w:p>
            <w:pPr>
              <w:ind w:left="18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28"/>
                <w:szCs w:val="28"/>
                <w:color w:val="auto"/>
                <w:vertAlign w:val="subscript"/>
              </w:rPr>
              <w:t xml:space="preserve">    </w:t>
            </w:r>
            <w:r>
              <w:rPr>
                <w:rFonts w:ascii="Arial" w:cs="Arial" w:eastAsia="Arial" w:hAnsi="Arial"/>
                <w:sz w:val="14"/>
                <w:szCs w:val="14"/>
                <w:color w:val="auto"/>
              </w:rPr>
              <w:t xml:space="preserve"> Complexity of roles and responsibilities</w:t>
            </w:r>
          </w:p>
        </w:tc>
        <w:tc>
          <w:tcPr>
            <w:tcW w:w="2500" w:type="dxa"/>
            <w:vAlign w:val="bottom"/>
          </w:tcPr>
          <w:p>
            <w:pPr>
              <w:ind w:left="300"/>
              <w:spacing w:after="0"/>
              <w:rPr>
                <w:sz w:val="20"/>
                <w:szCs w:val="20"/>
                <w:color w:val="auto"/>
              </w:rPr>
            </w:pPr>
            <w:r>
              <w:rPr>
                <w:rFonts w:ascii="Arial" w:cs="Arial" w:eastAsia="Arial" w:hAnsi="Arial"/>
                <w:sz w:val="14"/>
                <w:szCs w:val="14"/>
                <w:color w:val="auto"/>
                <w:w w:val="99"/>
              </w:rPr>
              <w:t xml:space="preserve">          </w:t>
            </w:r>
            <w:r>
              <w:rPr>
                <w:rFonts w:ascii="Times New Roman" w:cs="Times New Roman" w:eastAsia="Times New Roman" w:hAnsi="Times New Roman"/>
                <w:sz w:val="28"/>
                <w:szCs w:val="28"/>
                <w:color w:val="auto"/>
                <w:w w:val="99"/>
                <w:vertAlign w:val="subscript"/>
              </w:rPr>
              <w:t xml:space="preserve">    </w:t>
            </w:r>
            <w:r>
              <w:rPr>
                <w:rFonts w:ascii="Arial" w:cs="Arial" w:eastAsia="Arial" w:hAnsi="Arial"/>
                <w:sz w:val="14"/>
                <w:szCs w:val="14"/>
                <w:color w:val="auto"/>
                <w:w w:val="99"/>
              </w:rPr>
              <w:t xml:space="preserve"> Reporting relationships</w:t>
            </w:r>
          </w:p>
        </w:tc>
      </w:tr>
      <w:tr>
        <w:trPr>
          <w:trHeight w:val="376"/>
        </w:trPr>
        <w:tc>
          <w:tcPr>
            <w:tcW w:w="3520" w:type="dxa"/>
            <w:vAlign w:val="bottom"/>
          </w:tcPr>
          <w:p>
            <w:pPr>
              <w:ind w:left="580"/>
              <w:spacing w:after="0"/>
              <w:rPr>
                <w:sz w:val="20"/>
                <w:szCs w:val="20"/>
                <w:color w:val="auto"/>
              </w:rPr>
            </w:pPr>
            <w:r>
              <w:rPr>
                <w:rFonts w:ascii="Times New Roman" w:cs="Times New Roman" w:eastAsia="Times New Roman" w:hAnsi="Times New Roman"/>
                <w:sz w:val="28"/>
                <w:szCs w:val="28"/>
                <w:color w:val="auto"/>
                <w:vertAlign w:val="subscript"/>
              </w:rPr>
              <w:t xml:space="preserve">    </w:t>
            </w:r>
            <w:r>
              <w:rPr>
                <w:rFonts w:ascii="Arial" w:cs="Arial" w:eastAsia="Arial" w:hAnsi="Arial"/>
                <w:sz w:val="14"/>
                <w:szCs w:val="14"/>
                <w:color w:val="auto"/>
              </w:rPr>
              <w:t xml:space="preserve"> Individual contributions and performance</w:t>
            </w:r>
          </w:p>
        </w:tc>
        <w:tc>
          <w:tcPr>
            <w:tcW w:w="3700" w:type="dxa"/>
            <w:vAlign w:val="bottom"/>
          </w:tcPr>
          <w:p>
            <w:pPr>
              <w:ind w:left="780"/>
              <w:spacing w:after="0"/>
              <w:rPr>
                <w:sz w:val="20"/>
                <w:szCs w:val="20"/>
                <w:color w:val="auto"/>
              </w:rPr>
            </w:pPr>
            <w:r>
              <w:rPr>
                <w:rFonts w:ascii="Times New Roman" w:cs="Times New Roman" w:eastAsia="Times New Roman" w:hAnsi="Times New Roman"/>
                <w:sz w:val="28"/>
                <w:szCs w:val="28"/>
                <w:color w:val="auto"/>
                <w:vertAlign w:val="subscript"/>
              </w:rPr>
              <w:t xml:space="preserve">    </w:t>
            </w:r>
            <w:r>
              <w:rPr>
                <w:rFonts w:ascii="Arial" w:cs="Arial" w:eastAsia="Arial" w:hAnsi="Arial"/>
                <w:sz w:val="14"/>
                <w:szCs w:val="14"/>
                <w:color w:val="auto"/>
              </w:rPr>
              <w:t xml:space="preserve"> Succession planning</w:t>
            </w:r>
          </w:p>
        </w:tc>
        <w:tc>
          <w:tcPr>
            <w:tcW w:w="2500" w:type="dxa"/>
            <w:vAlign w:val="bottom"/>
          </w:tcPr>
          <w:p>
            <w:pPr>
              <w:ind w:left="860"/>
              <w:spacing w:after="0"/>
              <w:rPr>
                <w:sz w:val="20"/>
                <w:szCs w:val="20"/>
                <w:color w:val="auto"/>
              </w:rPr>
            </w:pPr>
            <w:r>
              <w:rPr>
                <w:rFonts w:ascii="Times New Roman" w:cs="Times New Roman" w:eastAsia="Times New Roman" w:hAnsi="Times New Roman"/>
                <w:sz w:val="28"/>
                <w:szCs w:val="28"/>
                <w:color w:val="auto"/>
                <w:vertAlign w:val="subscript"/>
              </w:rPr>
              <w:t xml:space="preserve">    </w:t>
            </w:r>
            <w:r>
              <w:rPr>
                <w:rFonts w:ascii="Arial" w:cs="Arial" w:eastAsia="Arial" w:hAnsi="Arial"/>
                <w:sz w:val="14"/>
                <w:szCs w:val="14"/>
                <w:color w:val="auto"/>
              </w:rPr>
              <w:t xml:space="preserve"> Internal pay equity</w:t>
            </w:r>
          </w:p>
        </w:tc>
      </w:tr>
      <w:tr>
        <w:trPr>
          <w:trHeight w:val="376"/>
        </w:trPr>
        <w:tc>
          <w:tcPr>
            <w:tcW w:w="3520" w:type="dxa"/>
            <w:vAlign w:val="bottom"/>
          </w:tcPr>
          <w:p>
            <w:pPr>
              <w:ind w:left="580"/>
              <w:spacing w:after="0"/>
              <w:rPr>
                <w:sz w:val="20"/>
                <w:szCs w:val="20"/>
                <w:color w:val="auto"/>
              </w:rPr>
            </w:pPr>
            <w:r>
              <w:rPr>
                <w:rFonts w:ascii="Times New Roman" w:cs="Times New Roman" w:eastAsia="Times New Roman" w:hAnsi="Times New Roman"/>
                <w:sz w:val="28"/>
                <w:szCs w:val="28"/>
                <w:color w:val="auto"/>
                <w:vertAlign w:val="subscript"/>
              </w:rPr>
              <w:t xml:space="preserve">     </w:t>
            </w:r>
            <w:r>
              <w:rPr>
                <w:rFonts w:ascii="Arial" w:cs="Arial" w:eastAsia="Arial" w:hAnsi="Arial"/>
                <w:sz w:val="14"/>
                <w:szCs w:val="14"/>
                <w:color w:val="auto"/>
              </w:rPr>
              <w:t>Labor market conditions</w:t>
            </w:r>
          </w:p>
        </w:tc>
        <w:tc>
          <w:tcPr>
            <w:tcW w:w="3700" w:type="dxa"/>
            <w:vAlign w:val="bottom"/>
          </w:tcPr>
          <w:p>
            <w:pPr>
              <w:ind w:left="780"/>
              <w:spacing w:after="0"/>
              <w:rPr>
                <w:sz w:val="20"/>
                <w:szCs w:val="20"/>
                <w:color w:val="auto"/>
              </w:rPr>
            </w:pPr>
            <w:r>
              <w:rPr>
                <w:rFonts w:ascii="Times New Roman" w:cs="Times New Roman" w:eastAsia="Times New Roman" w:hAnsi="Times New Roman"/>
                <w:sz w:val="28"/>
                <w:szCs w:val="28"/>
                <w:color w:val="auto"/>
                <w:vertAlign w:val="subscript"/>
              </w:rPr>
              <w:t xml:space="preserve">     </w:t>
            </w:r>
            <w:r>
              <w:rPr>
                <w:rFonts w:ascii="Arial" w:cs="Arial" w:eastAsia="Arial" w:hAnsi="Arial"/>
                <w:sz w:val="14"/>
                <w:szCs w:val="14"/>
                <w:color w:val="auto"/>
              </w:rPr>
              <w:t>Retention needs</w:t>
            </w:r>
          </w:p>
        </w:tc>
        <w:tc>
          <w:tcPr>
            <w:tcW w:w="2500" w:type="dxa"/>
            <w:vAlign w:val="bottom"/>
          </w:tcPr>
          <w:p>
            <w:pPr>
              <w:ind w:left="860"/>
              <w:spacing w:after="0"/>
              <w:rPr>
                <w:sz w:val="20"/>
                <w:szCs w:val="20"/>
                <w:color w:val="auto"/>
              </w:rPr>
            </w:pPr>
            <w:r>
              <w:rPr>
                <w:rFonts w:ascii="Times New Roman" w:cs="Times New Roman" w:eastAsia="Times New Roman" w:hAnsi="Times New Roman"/>
                <w:sz w:val="28"/>
                <w:szCs w:val="28"/>
                <w:color w:val="auto"/>
                <w:vertAlign w:val="subscript"/>
              </w:rPr>
              <w:t xml:space="preserve">     </w:t>
            </w:r>
            <w:r>
              <w:rPr>
                <w:rFonts w:ascii="Arial" w:cs="Arial" w:eastAsia="Arial" w:hAnsi="Arial"/>
                <w:sz w:val="14"/>
                <w:szCs w:val="14"/>
                <w:color w:val="auto"/>
              </w:rPr>
              <w:t>Experience</w:t>
            </w:r>
          </w:p>
        </w:tc>
      </w:tr>
    </w:tbl>
    <w:p>
      <w:pPr>
        <w:spacing w:after="0" w:line="200" w:lineRule="exact"/>
        <w:rPr>
          <w:sz w:val="20"/>
          <w:szCs w:val="20"/>
          <w:color w:val="auto"/>
        </w:rPr>
      </w:pPr>
    </w:p>
    <w:p>
      <w:pPr>
        <w:spacing w:after="0" w:line="281" w:lineRule="exact"/>
        <w:rPr>
          <w:sz w:val="20"/>
          <w:szCs w:val="20"/>
          <w:color w:val="auto"/>
        </w:rPr>
      </w:pPr>
    </w:p>
    <w:p>
      <w:pPr>
        <w:ind w:left="160" w:right="20"/>
        <w:spacing w:after="0" w:line="260" w:lineRule="auto"/>
        <w:rPr>
          <w:sz w:val="20"/>
          <w:szCs w:val="20"/>
          <w:color w:val="auto"/>
        </w:rPr>
      </w:pPr>
      <w:r>
        <w:rPr>
          <w:rFonts w:ascii="Arial" w:cs="Arial" w:eastAsia="Arial" w:hAnsi="Arial"/>
          <w:sz w:val="14"/>
          <w:szCs w:val="14"/>
          <w:color w:val="auto"/>
        </w:rPr>
        <w:t>The Compensation and Talent Development Committee also may review and adjust base salaries during the year (between annual reviews) for various reasons, including in the event of promotions or other job title changes, modifications to reporting relationships or job functions, or changes to any of the other factors described above or other circumstances the committee considers relevant.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2025 Adjustments to Base Salaries</w:t>
      </w:r>
    </w:p>
    <w:p>
      <w:pPr>
        <w:spacing w:after="0" w:line="110" w:lineRule="exact"/>
        <w:rPr>
          <w:sz w:val="20"/>
          <w:szCs w:val="20"/>
          <w:color w:val="auto"/>
        </w:rPr>
      </w:pPr>
    </w:p>
    <w:p>
      <w:pPr>
        <w:ind w:left="160" w:right="140"/>
        <w:spacing w:after="0" w:line="249" w:lineRule="auto"/>
        <w:rPr>
          <w:sz w:val="20"/>
          <w:szCs w:val="20"/>
          <w:color w:val="auto"/>
        </w:rPr>
      </w:pPr>
      <w:r>
        <w:rPr>
          <w:rFonts w:ascii="Arial" w:cs="Arial" w:eastAsia="Arial" w:hAnsi="Arial"/>
          <w:sz w:val="14"/>
          <w:szCs w:val="14"/>
          <w:color w:val="auto"/>
        </w:rPr>
        <w:t>Based on its review in consideration of the factors noted above, in late 2024 the Compensation and Talent Development Committee approved a 6.3% salary increase for Mr. Martin effective January 1, 2025. Salary increases for Mss. Sedgwick and Day, both of whom were promoted into new roles in January 2024, were 11.1% and 17.6%, respectively, reflecting the committee’s practice of ramping up compensation over a two-year to three-year period following a promotion. Mr. Bird, who was promoted to his role in January 2024 and whose role was broadened during 2025 to include additional responsibilities, received salary adjustments effective January 1, 2025 and June 21, 2025 resulting in a total increase of 20.5%. Ms. Winn, who was promoted to her role effective July 5, 2025 received a promotional salary increase of 11.6%.</w:t>
      </w:r>
    </w:p>
    <w:p>
      <w:pPr>
        <w:spacing w:after="0" w:line="162"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21"/>
          <w:szCs w:val="21"/>
          <w:b w:val="1"/>
          <w:bCs w:val="1"/>
          <w:color w:val="auto"/>
        </w:rPr>
        <w:t>2. </w:t>
        <w:tab/>
        <w:t>Performance-Based Annual Bonuses</w:t>
      </w:r>
    </w:p>
    <w:p>
      <w:pPr>
        <w:spacing w:after="0" w:line="1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Performance Guidelines</w:t>
      </w:r>
    </w:p>
    <w:p>
      <w:pPr>
        <w:spacing w:after="0" w:line="110" w:lineRule="exact"/>
        <w:rPr>
          <w:sz w:val="20"/>
          <w:szCs w:val="20"/>
          <w:color w:val="auto"/>
        </w:rPr>
      </w:pPr>
    </w:p>
    <w:p>
      <w:pPr>
        <w:ind w:left="160" w:right="400"/>
        <w:spacing w:after="0" w:line="281" w:lineRule="auto"/>
        <w:rPr>
          <w:sz w:val="20"/>
          <w:szCs w:val="20"/>
          <w:color w:val="auto"/>
        </w:rPr>
      </w:pPr>
      <w:r>
        <w:rPr>
          <w:rFonts w:ascii="Arial" w:cs="Arial" w:eastAsia="Arial" w:hAnsi="Arial"/>
          <w:sz w:val="14"/>
          <w:szCs w:val="14"/>
          <w:color w:val="auto"/>
        </w:rPr>
        <w:t>Each year the Compensation and Talent Development Committee establishes performance measures and dollar guidelines for performance-based cash bonuses. The committee strives to select financial and operational performance measures that are linked to our business strategy and shareholder interests.</w:t>
      </w:r>
    </w:p>
    <w:p>
      <w:pPr>
        <w:spacing w:after="0" w:line="51" w:lineRule="exact"/>
        <w:rPr>
          <w:sz w:val="20"/>
          <w:szCs w:val="20"/>
          <w:color w:val="auto"/>
        </w:rPr>
      </w:pPr>
    </w:p>
    <w:p>
      <w:pPr>
        <w:ind w:left="160" w:right="100"/>
        <w:spacing w:after="0" w:line="260" w:lineRule="auto"/>
        <w:rPr>
          <w:sz w:val="20"/>
          <w:szCs w:val="20"/>
          <w:color w:val="auto"/>
        </w:rPr>
      </w:pPr>
      <w:r>
        <w:rPr>
          <w:rFonts w:ascii="Arial" w:cs="Arial" w:eastAsia="Arial" w:hAnsi="Arial"/>
          <w:sz w:val="14"/>
          <w:szCs w:val="14"/>
          <w:color w:val="auto"/>
        </w:rPr>
        <w:t>Consistent with our pay-for-performance philosophy, the performance measures do not provide for any bonus payment unless the company meets the threshold (minimum) performance level for the year. Bonus opportunities increase from 40% of target for performance at the threshold level to 200% of target for performance at the maximum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69297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54               </w:t>
      </w:r>
      <w:r>
        <w:rPr>
          <w:sz w:val="1"/>
          <w:szCs w:val="1"/>
          <w:color w:val="auto"/>
        </w:rPr>
        <w:drawing>
          <wp:inline distT="0" distB="0" distL="0" distR="0">
            <wp:extent cx="739140" cy="153035"/>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40"/>
          </w:cols>
          <w:pgMar w:left="320" w:top="478" w:right="5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56" w:lineRule="exact"/>
        <w:rPr>
          <w:sz w:val="20"/>
          <w:szCs w:val="20"/>
          <w:color w:val="auto"/>
        </w:rPr>
      </w:pPr>
    </w:p>
    <w:p>
      <w:pPr>
        <w:ind w:left="160" w:right="200"/>
        <w:spacing w:after="0" w:line="260" w:lineRule="auto"/>
        <w:rPr>
          <w:sz w:val="20"/>
          <w:szCs w:val="20"/>
          <w:color w:val="auto"/>
        </w:rPr>
      </w:pPr>
      <w:r>
        <w:rPr>
          <w:rFonts w:ascii="Arial" w:cs="Arial" w:eastAsia="Arial" w:hAnsi="Arial"/>
          <w:sz w:val="14"/>
          <w:szCs w:val="14"/>
          <w:color w:val="auto"/>
        </w:rPr>
        <w:t>The committee may apply discretion in determining awards, including determining the results of performance measures, taking into consideration the contributions of each individual named executive officer and other factors it considers relevant. For 2025, the committee applied negative discretion to reduce the performance result for the employee safety measure as discussed below in Table 11. The committee did not make any discretionary adjustments to individual officer awards.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Bonus Opportunities for Named Executive Officers</w:t>
      </w:r>
    </w:p>
    <w:p>
      <w:pPr>
        <w:spacing w:after="0" w:line="110" w:lineRule="exact"/>
        <w:rPr>
          <w:sz w:val="20"/>
          <w:szCs w:val="20"/>
          <w:color w:val="auto"/>
        </w:rPr>
      </w:pPr>
    </w:p>
    <w:p>
      <w:pPr>
        <w:ind w:left="160" w:right="40"/>
        <w:spacing w:after="0" w:line="250" w:lineRule="auto"/>
        <w:rPr>
          <w:sz w:val="20"/>
          <w:szCs w:val="20"/>
          <w:color w:val="auto"/>
        </w:rPr>
      </w:pPr>
      <w:r>
        <w:rPr>
          <w:rFonts w:ascii="Arial" w:cs="Arial" w:eastAsia="Arial" w:hAnsi="Arial"/>
          <w:sz w:val="14"/>
          <w:szCs w:val="14"/>
          <w:color w:val="auto"/>
        </w:rPr>
        <w:t>Target bonus opportunities as of December 31, 2025 are expressed as a percentage of each named executive officer’s base salary and as a dollar value below. In late 2024, Mr. Martin’s target bonus opportunity was increased from 175% to 180% based on strong company and individual performance, size-appropriate positioning within our Compensation Peer Group, and the other factors described above under “Target Compensation Summary.” Mr. Bird’s target was increased from 90% to 100% effective June 21, 2025 to reflect an expanded scope of his role. Ms. Winn was promoted to her role effective July 5, 2025 and her target was set at 100% of her base salary at that time.</w:t>
      </w:r>
    </w:p>
    <w:p>
      <w:pPr>
        <w:spacing w:after="0" w:line="382"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816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1540" w:type="dxa"/>
            <w:vAlign w:val="bottom"/>
            <w:tcBorders>
              <w:bottom w:val="single" w:sz="8" w:color="005CB9"/>
            </w:tcBorders>
            <w:shd w:val="clear" w:color="auto" w:fill="005CB9"/>
          </w:tcPr>
          <w:p>
            <w:pPr>
              <w:jc w:val="right"/>
              <w:ind w:right="249"/>
              <w:spacing w:after="0"/>
              <w:rPr>
                <w:sz w:val="20"/>
                <w:szCs w:val="20"/>
                <w:color w:val="auto"/>
              </w:rPr>
            </w:pPr>
            <w:r>
              <w:rPr>
                <w:rFonts w:ascii="Arial" w:cs="Arial" w:eastAsia="Arial" w:hAnsi="Arial"/>
                <w:sz w:val="14"/>
                <w:szCs w:val="14"/>
                <w:b w:val="1"/>
                <w:bCs w:val="1"/>
                <w:color w:val="FFFFFF"/>
              </w:rPr>
              <w:t>Target %</w:t>
            </w:r>
          </w:p>
        </w:tc>
        <w:tc>
          <w:tcPr>
            <w:tcW w:w="122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b w:val="1"/>
                <w:bCs w:val="1"/>
                <w:color w:val="FFFFFF"/>
              </w:rPr>
              <w:t> Target Value</w:t>
            </w:r>
          </w:p>
        </w:tc>
      </w:tr>
      <w:tr>
        <w:trPr>
          <w:trHeight w:val="247"/>
        </w:trPr>
        <w:tc>
          <w:tcPr>
            <w:tcW w:w="8160" w:type="dxa"/>
            <w:vAlign w:val="bottom"/>
          </w:tcPr>
          <w:p>
            <w:pPr>
              <w:ind w:left="80"/>
              <w:spacing w:after="0"/>
              <w:rPr>
                <w:sz w:val="20"/>
                <w:szCs w:val="20"/>
                <w:color w:val="auto"/>
              </w:rPr>
            </w:pPr>
            <w:r>
              <w:rPr>
                <w:rFonts w:ascii="Arial" w:cs="Arial" w:eastAsia="Arial" w:hAnsi="Arial"/>
                <w:sz w:val="14"/>
                <w:szCs w:val="14"/>
                <w:color w:val="auto"/>
              </w:rPr>
              <w:t>Jeffrey W. Martin</w:t>
            </w:r>
          </w:p>
        </w:tc>
        <w:tc>
          <w:tcPr>
            <w:tcW w:w="1540" w:type="dxa"/>
            <w:vAlign w:val="bottom"/>
          </w:tcPr>
          <w:p>
            <w:pPr>
              <w:jc w:val="right"/>
              <w:ind w:right="289"/>
              <w:spacing w:after="0"/>
              <w:rPr>
                <w:sz w:val="20"/>
                <w:szCs w:val="20"/>
                <w:color w:val="auto"/>
              </w:rPr>
            </w:pPr>
            <w:r>
              <w:rPr>
                <w:rFonts w:ascii="Arial" w:cs="Arial" w:eastAsia="Arial" w:hAnsi="Arial"/>
                <w:sz w:val="14"/>
                <w:szCs w:val="14"/>
                <w:color w:val="auto"/>
              </w:rPr>
              <w:t>180%</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$3,060,000</w:t>
            </w:r>
          </w:p>
        </w:tc>
      </w:tr>
      <w:tr>
        <w:trPr>
          <w:trHeight w:val="48"/>
        </w:trPr>
        <w:tc>
          <w:tcPr>
            <w:tcW w:w="8160" w:type="dxa"/>
            <w:vAlign w:val="bottom"/>
            <w:tcBorders>
              <w:bottom w:val="single" w:sz="8" w:color="7F7F7F"/>
            </w:tcBorders>
          </w:tcPr>
          <w:p>
            <w:pPr>
              <w:spacing w:after="0"/>
              <w:rPr>
                <w:sz w:val="4"/>
                <w:szCs w:val="4"/>
                <w:color w:val="auto"/>
              </w:rPr>
            </w:pPr>
          </w:p>
        </w:tc>
        <w:tc>
          <w:tcPr>
            <w:tcW w:w="1540" w:type="dxa"/>
            <w:vAlign w:val="bottom"/>
            <w:tcBorders>
              <w:bottom w:val="single" w:sz="8" w:color="7F7F7F"/>
            </w:tcBorders>
          </w:tcPr>
          <w:p>
            <w:pPr>
              <w:spacing w:after="0"/>
              <w:rPr>
                <w:sz w:val="4"/>
                <w:szCs w:val="4"/>
                <w:color w:val="auto"/>
              </w:rPr>
            </w:pPr>
          </w:p>
        </w:tc>
        <w:tc>
          <w:tcPr>
            <w:tcW w:w="1220" w:type="dxa"/>
            <w:vAlign w:val="bottom"/>
            <w:tcBorders>
              <w:bottom w:val="single" w:sz="8" w:color="7F7F7F"/>
            </w:tcBorders>
          </w:tcPr>
          <w:p>
            <w:pPr>
              <w:spacing w:after="0"/>
              <w:rPr>
                <w:sz w:val="4"/>
                <w:szCs w:val="4"/>
                <w:color w:val="auto"/>
              </w:rPr>
            </w:pPr>
          </w:p>
        </w:tc>
      </w:tr>
      <w:tr>
        <w:trPr>
          <w:trHeight w:val="279"/>
        </w:trPr>
        <w:tc>
          <w:tcPr>
            <w:tcW w:w="81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Karen L. Sedgwick</w:t>
            </w:r>
          </w:p>
        </w:tc>
        <w:tc>
          <w:tcPr>
            <w:tcW w:w="1540" w:type="dxa"/>
            <w:vAlign w:val="bottom"/>
            <w:tcBorders>
              <w:bottom w:val="single" w:sz="8" w:color="F2F2F2"/>
            </w:tcBorders>
            <w:shd w:val="clear" w:color="auto" w:fill="F2F2F2"/>
          </w:tcPr>
          <w:p>
            <w:pPr>
              <w:jc w:val="right"/>
              <w:ind w:right="289"/>
              <w:spacing w:after="0"/>
              <w:rPr>
                <w:sz w:val="20"/>
                <w:szCs w:val="20"/>
                <w:color w:val="auto"/>
              </w:rPr>
            </w:pPr>
            <w:r>
              <w:rPr>
                <w:rFonts w:ascii="Arial" w:cs="Arial" w:eastAsia="Arial" w:hAnsi="Arial"/>
                <w:sz w:val="14"/>
                <w:szCs w:val="14"/>
                <w:color w:val="auto"/>
              </w:rPr>
              <w:t>90%</w:t>
            </w:r>
          </w:p>
        </w:tc>
        <w:tc>
          <w:tcPr>
            <w:tcW w:w="122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   630,000</w:t>
            </w:r>
          </w:p>
        </w:tc>
      </w:tr>
      <w:tr>
        <w:trPr>
          <w:trHeight w:val="274"/>
        </w:trPr>
        <w:tc>
          <w:tcPr>
            <w:tcW w:w="816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color w:val="auto"/>
              </w:rPr>
              <w:t>Justin C. Bird</w:t>
            </w:r>
            <w:r>
              <w:rPr>
                <w:rFonts w:ascii="Arial" w:cs="Arial" w:eastAsia="Arial" w:hAnsi="Arial"/>
                <w:sz w:val="21"/>
                <w:szCs w:val="21"/>
                <w:color w:val="auto"/>
                <w:vertAlign w:val="superscript"/>
              </w:rPr>
              <w:t>(1)</w:t>
            </w:r>
          </w:p>
        </w:tc>
        <w:tc>
          <w:tcPr>
            <w:tcW w:w="1540" w:type="dxa"/>
            <w:vAlign w:val="bottom"/>
            <w:tcBorders>
              <w:top w:val="single" w:sz="8" w:color="7F7F7F"/>
              <w:bottom w:val="single" w:sz="8" w:color="7F7F7F"/>
            </w:tcBorders>
          </w:tcPr>
          <w:p>
            <w:pPr>
              <w:jc w:val="right"/>
              <w:ind w:right="289"/>
              <w:spacing w:after="0"/>
              <w:rPr>
                <w:sz w:val="20"/>
                <w:szCs w:val="20"/>
                <w:color w:val="auto"/>
              </w:rPr>
            </w:pPr>
            <w:r>
              <w:rPr>
                <w:rFonts w:ascii="Arial" w:cs="Arial" w:eastAsia="Arial" w:hAnsi="Arial"/>
                <w:sz w:val="14"/>
                <w:szCs w:val="14"/>
                <w:color w:val="auto"/>
              </w:rPr>
              <w:t>100%</w:t>
            </w:r>
          </w:p>
        </w:tc>
        <w:tc>
          <w:tcPr>
            <w:tcW w:w="1220" w:type="dxa"/>
            <w:vAlign w:val="bottom"/>
            <w:tcBorders>
              <w:top w:val="single" w:sz="8" w:color="7F7F7F"/>
              <w:bottom w:val="single" w:sz="8" w:color="7F7F7F"/>
            </w:tcBorders>
          </w:tcPr>
          <w:p>
            <w:pPr>
              <w:jc w:val="right"/>
              <w:ind w:right="69"/>
              <w:spacing w:after="0"/>
              <w:rPr>
                <w:sz w:val="20"/>
                <w:szCs w:val="20"/>
                <w:color w:val="auto"/>
              </w:rPr>
            </w:pPr>
            <w:r>
              <w:rPr>
                <w:rFonts w:ascii="Arial" w:cs="Arial" w:eastAsia="Arial" w:hAnsi="Arial"/>
                <w:sz w:val="14"/>
                <w:szCs w:val="14"/>
                <w:color w:val="auto"/>
              </w:rPr>
              <w:t>$   940,000</w:t>
            </w:r>
          </w:p>
        </w:tc>
      </w:tr>
      <w:tr>
        <w:trPr>
          <w:trHeight w:val="274"/>
        </w:trPr>
        <w:tc>
          <w:tcPr>
            <w:tcW w:w="816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Caroline A. Winn</w:t>
            </w:r>
            <w:r>
              <w:rPr>
                <w:rFonts w:ascii="Arial" w:cs="Arial" w:eastAsia="Arial" w:hAnsi="Arial"/>
                <w:sz w:val="21"/>
                <w:szCs w:val="21"/>
                <w:color w:val="auto"/>
                <w:vertAlign w:val="superscript"/>
              </w:rPr>
              <w:t>(1)</w:t>
            </w:r>
          </w:p>
        </w:tc>
        <w:tc>
          <w:tcPr>
            <w:tcW w:w="1540" w:type="dxa"/>
            <w:vAlign w:val="bottom"/>
            <w:tcBorders>
              <w:bottom w:val="single" w:sz="8" w:color="7F7F7F"/>
            </w:tcBorders>
            <w:shd w:val="clear" w:color="auto" w:fill="F2F2F2"/>
          </w:tcPr>
          <w:p>
            <w:pPr>
              <w:jc w:val="right"/>
              <w:ind w:right="289"/>
              <w:spacing w:after="0"/>
              <w:rPr>
                <w:sz w:val="20"/>
                <w:szCs w:val="20"/>
                <w:color w:val="auto"/>
              </w:rPr>
            </w:pPr>
            <w:r>
              <w:rPr>
                <w:rFonts w:ascii="Arial" w:cs="Arial" w:eastAsia="Arial" w:hAnsi="Arial"/>
                <w:sz w:val="14"/>
                <w:szCs w:val="14"/>
                <w:color w:val="auto"/>
              </w:rPr>
              <w:t>100%</w:t>
            </w:r>
          </w:p>
        </w:tc>
        <w:tc>
          <w:tcPr>
            <w:tcW w:w="1220" w:type="dxa"/>
            <w:vAlign w:val="bottom"/>
            <w:tcBorders>
              <w:bottom w:val="single" w:sz="8" w:color="7F7F7F"/>
            </w:tcBorders>
            <w:shd w:val="clear" w:color="auto" w:fill="F2F2F2"/>
          </w:tcPr>
          <w:p>
            <w:pPr>
              <w:jc w:val="right"/>
              <w:ind w:right="69"/>
              <w:spacing w:after="0"/>
              <w:rPr>
                <w:sz w:val="20"/>
                <w:szCs w:val="20"/>
                <w:color w:val="auto"/>
              </w:rPr>
            </w:pPr>
            <w:r>
              <w:rPr>
                <w:rFonts w:ascii="Arial" w:cs="Arial" w:eastAsia="Arial" w:hAnsi="Arial"/>
                <w:sz w:val="14"/>
                <w:szCs w:val="14"/>
                <w:color w:val="auto"/>
              </w:rPr>
              <w:t>$   875,000</w:t>
            </w:r>
          </w:p>
        </w:tc>
      </w:tr>
      <w:tr>
        <w:trPr>
          <w:trHeight w:val="227"/>
        </w:trPr>
        <w:tc>
          <w:tcPr>
            <w:tcW w:w="8160" w:type="dxa"/>
            <w:vAlign w:val="bottom"/>
          </w:tcPr>
          <w:p>
            <w:pPr>
              <w:ind w:left="80"/>
              <w:spacing w:after="0"/>
              <w:rPr>
                <w:sz w:val="20"/>
                <w:szCs w:val="20"/>
                <w:color w:val="auto"/>
              </w:rPr>
            </w:pPr>
            <w:r>
              <w:rPr>
                <w:rFonts w:ascii="Arial" w:cs="Arial" w:eastAsia="Arial" w:hAnsi="Arial"/>
                <w:sz w:val="14"/>
                <w:szCs w:val="14"/>
                <w:color w:val="auto"/>
              </w:rPr>
              <w:t>Diana L. Day</w:t>
            </w:r>
          </w:p>
        </w:tc>
        <w:tc>
          <w:tcPr>
            <w:tcW w:w="1540" w:type="dxa"/>
            <w:vAlign w:val="bottom"/>
          </w:tcPr>
          <w:p>
            <w:pPr>
              <w:jc w:val="right"/>
              <w:ind w:right="289"/>
              <w:spacing w:after="0"/>
              <w:rPr>
                <w:sz w:val="20"/>
                <w:szCs w:val="20"/>
                <w:color w:val="auto"/>
              </w:rPr>
            </w:pPr>
            <w:r>
              <w:rPr>
                <w:rFonts w:ascii="Arial" w:cs="Arial" w:eastAsia="Arial" w:hAnsi="Arial"/>
                <w:sz w:val="14"/>
                <w:szCs w:val="14"/>
                <w:color w:val="auto"/>
              </w:rPr>
              <w:t>75%</w:t>
            </w:r>
          </w:p>
        </w:tc>
        <w:tc>
          <w:tcPr>
            <w:tcW w:w="1220" w:type="dxa"/>
            <w:vAlign w:val="bottom"/>
          </w:tcPr>
          <w:p>
            <w:pPr>
              <w:jc w:val="right"/>
              <w:ind w:right="69"/>
              <w:spacing w:after="0"/>
              <w:rPr>
                <w:sz w:val="20"/>
                <w:szCs w:val="20"/>
                <w:color w:val="auto"/>
              </w:rPr>
            </w:pPr>
            <w:r>
              <w:rPr>
                <w:rFonts w:ascii="Arial" w:cs="Arial" w:eastAsia="Arial" w:hAnsi="Arial"/>
                <w:sz w:val="14"/>
                <w:szCs w:val="14"/>
                <w:color w:val="auto"/>
              </w:rPr>
              <w:t>$   450,000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9</w:t>
      </w:r>
    </w:p>
    <w:p>
      <w:pPr>
        <w:spacing w:after="0" w:line="116" w:lineRule="exact"/>
        <w:rPr>
          <w:sz w:val="20"/>
          <w:szCs w:val="20"/>
          <w:color w:val="auto"/>
        </w:rPr>
      </w:pPr>
    </w:p>
    <w:p>
      <w:pPr>
        <w:ind w:left="480" w:right="460" w:hanging="313"/>
        <w:spacing w:after="0" w:line="279" w:lineRule="auto"/>
        <w:tabs>
          <w:tab w:leader="none" w:pos="480" w:val="left"/>
        </w:tabs>
        <w:numPr>
          <w:ilvl w:val="0"/>
          <w:numId w:val="70"/>
        </w:numPr>
        <w:rPr>
          <w:rFonts w:ascii="Arial" w:cs="Arial" w:eastAsia="Arial" w:hAnsi="Arial"/>
          <w:sz w:val="12"/>
          <w:szCs w:val="12"/>
          <w:color w:val="auto"/>
        </w:rPr>
      </w:pPr>
      <w:r>
        <w:rPr>
          <w:rFonts w:ascii="Arial" w:cs="Arial" w:eastAsia="Arial" w:hAnsi="Arial"/>
          <w:sz w:val="12"/>
          <w:szCs w:val="12"/>
          <w:color w:val="auto"/>
        </w:rPr>
        <w:t>This Table 9 reflects Mr. Bird’s and Ms. Winn’s respective target percentages as of December 31, 2025. Each of their actual 2025 awards, which are reflected in Table 13, were prorated between prior and current targets.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Annual Bonus Plan Performance Measures</w:t>
      </w:r>
    </w:p>
    <w:p>
      <w:pPr>
        <w:spacing w:after="0" w:line="110" w:lineRule="exact"/>
        <w:rPr>
          <w:sz w:val="20"/>
          <w:szCs w:val="20"/>
          <w:color w:val="auto"/>
        </w:rPr>
      </w:pPr>
    </w:p>
    <w:p>
      <w:pPr>
        <w:ind w:left="160" w:right="80"/>
        <w:spacing w:after="0" w:line="247" w:lineRule="auto"/>
        <w:rPr>
          <w:sz w:val="20"/>
          <w:szCs w:val="20"/>
          <w:color w:val="auto"/>
        </w:rPr>
      </w:pPr>
      <w:r>
        <w:rPr>
          <w:rFonts w:ascii="Arial" w:cs="Arial" w:eastAsia="Arial" w:hAnsi="Arial"/>
          <w:sz w:val="14"/>
          <w:szCs w:val="14"/>
          <w:color w:val="auto"/>
        </w:rPr>
        <w:t>For 2025, the Compensation and Talent Development Committee selected earnings, public and employee safety, and responsible business practices, including goals tied to cybersecurity and employee engagement, as the criteria for measuring annual company performance. The ABP Earnings measure was weighted at 80%, Safety Measures were weighted at 12% and RBP Measures were weighted at 8%. For annual bonus plan purposes, ABP Earnings are Sempra’s GAAP net income, excluding earnings attributable to noncontrolling interests and preferred stock dividends and certain other predefined adjustments. ABP Earnings may be higher or lower than earnings reported in our financial statements due to these adjustments, which are described in “Reconciliation of GAAP Earnings to ABP Earnings” below and in Appendix B to this proxy statement. The specific components of the Safety Measures and the RBP Measures are described in Table 11 below and in Appendix B to this proxy statement.</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Rationale for Selection of Performance Measures</w:t>
      </w:r>
    </w:p>
    <w:p>
      <w:pPr>
        <w:spacing w:after="0" w:line="110" w:lineRule="exact"/>
        <w:rPr>
          <w:sz w:val="20"/>
          <w:szCs w:val="20"/>
          <w:color w:val="auto"/>
        </w:rPr>
      </w:pPr>
    </w:p>
    <w:p>
      <w:pPr>
        <w:ind w:left="160"/>
        <w:spacing w:after="0" w:line="244" w:lineRule="auto"/>
        <w:rPr>
          <w:sz w:val="20"/>
          <w:szCs w:val="20"/>
          <w:color w:val="auto"/>
        </w:rPr>
      </w:pPr>
      <w:r>
        <w:rPr>
          <w:rFonts w:ascii="Arial" w:cs="Arial" w:eastAsia="Arial" w:hAnsi="Arial"/>
          <w:sz w:val="14"/>
          <w:szCs w:val="14"/>
          <w:color w:val="auto"/>
        </w:rPr>
        <w:t>The Compensation and Talent Development Committee selected earnings as the basis of the primary annual bonus plan metric for 2025, weighted at 80%, because it believes this measure continues to provide an accurate and comprehensive picture of annual company financial performance that plan participants, shareholders, analysts and other parties can easily understand. Safety measures, which historically have been included in the annual bonus plan, are also included for 2025, weighted at 12%, because the committee believes that strong safety performance is critical to our infrastructure-intensive businesses. Performance measures consist of metrics that promote public safety and safe operations as well as employee safety metrics. The committee added measures promoting responsible business practices and sustainable operations to the annual bonus plan in 2021 and continued their use in 2025, refining these measures in 2025 to streamline to fewer metrics that are quantitatively measurable and more directly focused on responsible business practices important to our operational success. Although we have reduced the number of RBP Measures goals in the annual bonus plan in an effort to simplify these goals with objective, measurable targets, we continue to maintain a strategic focus on responsible and sustainable operations and we continue to track and report on a broad range of sustainability goals and metrics in our corporate sustainability report and other sustainability disclosures.</w:t>
      </w:r>
    </w:p>
    <w:p>
      <w:pPr>
        <w:spacing w:after="0" w:line="78" w:lineRule="exact"/>
        <w:rPr>
          <w:sz w:val="20"/>
          <w:szCs w:val="20"/>
          <w:color w:val="auto"/>
        </w:rPr>
      </w:pPr>
    </w:p>
    <w:p>
      <w:pPr>
        <w:ind w:left="160" w:right="20"/>
        <w:spacing w:after="0" w:line="249" w:lineRule="auto"/>
        <w:rPr>
          <w:sz w:val="20"/>
          <w:szCs w:val="20"/>
          <w:color w:val="auto"/>
        </w:rPr>
      </w:pPr>
      <w:r>
        <w:rPr>
          <w:rFonts w:ascii="Arial" w:cs="Arial" w:eastAsia="Arial" w:hAnsi="Arial"/>
          <w:sz w:val="14"/>
          <w:szCs w:val="14"/>
          <w:color w:val="auto"/>
        </w:rPr>
        <w:t>During our shareholder engagement meetings, we solicit shareholders’ input on the performance measures and other aspects of our incentive plans. Some shareholders expressed a preference for the use of multiple performance measures in the annual bonus plan, including a financial performance measure (there was not a clear preference for earnings or EPS), and for the use of different performance measures in our annual bonus and long-term incentive plans. Shareholder feedback related to our annual bonus plan performance measures and structure generally has been positive and shareholders generally support the inclusion of measures focused on safety and responsible business practices.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ABP Earnings Goal Determination</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Table 10 shows the ABP Earnings criteria for 2025 performance-based annual bonuses:</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748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Financial Performance Measure (Dollars in Millions)</w:t>
            </w:r>
          </w:p>
        </w:tc>
        <w:tc>
          <w:tcPr>
            <w:tcW w:w="1360" w:type="dxa"/>
            <w:vAlign w:val="bottom"/>
            <w:tcBorders>
              <w:bottom w:val="single" w:sz="8" w:color="005CB9"/>
            </w:tcBorders>
            <w:shd w:val="clear" w:color="auto" w:fill="005CB9"/>
          </w:tcPr>
          <w:p>
            <w:pPr>
              <w:jc w:val="right"/>
              <w:ind w:right="229"/>
              <w:spacing w:after="0"/>
              <w:rPr>
                <w:sz w:val="20"/>
                <w:szCs w:val="20"/>
                <w:color w:val="auto"/>
              </w:rPr>
            </w:pPr>
            <w:r>
              <w:rPr>
                <w:rFonts w:ascii="Arial" w:cs="Arial" w:eastAsia="Arial" w:hAnsi="Arial"/>
                <w:sz w:val="14"/>
                <w:szCs w:val="14"/>
                <w:b w:val="1"/>
                <w:bCs w:val="1"/>
                <w:color w:val="FFFFFF"/>
              </w:rPr>
              <w:t>Threshold</w:t>
            </w:r>
          </w:p>
        </w:tc>
        <w:tc>
          <w:tcPr>
            <w:tcW w:w="1040" w:type="dxa"/>
            <w:vAlign w:val="bottom"/>
            <w:tcBorders>
              <w:bottom w:val="single" w:sz="8" w:color="005CB9"/>
            </w:tcBorders>
            <w:shd w:val="clear" w:color="auto" w:fill="005CB9"/>
          </w:tcPr>
          <w:p>
            <w:pPr>
              <w:jc w:val="right"/>
              <w:ind w:right="249"/>
              <w:spacing w:after="0"/>
              <w:rPr>
                <w:sz w:val="20"/>
                <w:szCs w:val="20"/>
                <w:color w:val="auto"/>
              </w:rPr>
            </w:pPr>
            <w:r>
              <w:rPr>
                <w:rFonts w:ascii="Arial" w:cs="Arial" w:eastAsia="Arial" w:hAnsi="Arial"/>
                <w:sz w:val="14"/>
                <w:szCs w:val="14"/>
                <w:b w:val="1"/>
                <w:bCs w:val="1"/>
                <w:color w:val="FFFFFF"/>
              </w:rPr>
              <w:t>Target</w:t>
            </w:r>
          </w:p>
        </w:tc>
        <w:tc>
          <w:tcPr>
            <w:tcW w:w="1040" w:type="dxa"/>
            <w:vAlign w:val="bottom"/>
            <w:tcBorders>
              <w:bottom w:val="single" w:sz="8" w:color="005CB9"/>
            </w:tcBorders>
            <w:shd w:val="clear" w:color="auto" w:fill="005CB9"/>
          </w:tcPr>
          <w:p>
            <w:pPr>
              <w:jc w:val="right"/>
              <w:ind w:right="9"/>
              <w:spacing w:after="0"/>
              <w:rPr>
                <w:sz w:val="20"/>
                <w:szCs w:val="20"/>
                <w:color w:val="auto"/>
              </w:rPr>
            </w:pPr>
            <w:r>
              <w:rPr>
                <w:rFonts w:ascii="Arial" w:cs="Arial" w:eastAsia="Arial" w:hAnsi="Arial"/>
                <w:sz w:val="14"/>
                <w:szCs w:val="14"/>
                <w:b w:val="1"/>
                <w:bCs w:val="1"/>
                <w:color w:val="FFFFFF"/>
              </w:rPr>
              <w:t> Maximum</w:t>
            </w:r>
          </w:p>
        </w:tc>
      </w:tr>
      <w:tr>
        <w:trPr>
          <w:trHeight w:val="247"/>
        </w:trPr>
        <w:tc>
          <w:tcPr>
            <w:tcW w:w="7480" w:type="dxa"/>
            <w:vAlign w:val="bottom"/>
          </w:tcPr>
          <w:p>
            <w:pPr>
              <w:ind w:left="80"/>
              <w:spacing w:after="0"/>
              <w:rPr>
                <w:sz w:val="20"/>
                <w:szCs w:val="20"/>
                <w:color w:val="auto"/>
              </w:rPr>
            </w:pPr>
            <w:r>
              <w:rPr>
                <w:rFonts w:ascii="Arial" w:cs="Arial" w:eastAsia="Arial" w:hAnsi="Arial"/>
                <w:sz w:val="14"/>
                <w:szCs w:val="14"/>
                <w:color w:val="auto"/>
              </w:rPr>
              <w:t>ABP Earnings (Attributable to Common Shares)</w:t>
            </w:r>
          </w:p>
        </w:tc>
        <w:tc>
          <w:tcPr>
            <w:tcW w:w="1360" w:type="dxa"/>
            <w:vAlign w:val="bottom"/>
          </w:tcPr>
          <w:p>
            <w:pPr>
              <w:jc w:val="right"/>
              <w:ind w:right="329"/>
              <w:spacing w:after="0"/>
              <w:rPr>
                <w:sz w:val="20"/>
                <w:szCs w:val="20"/>
                <w:color w:val="auto"/>
              </w:rPr>
            </w:pPr>
            <w:r>
              <w:rPr>
                <w:rFonts w:ascii="Arial" w:cs="Arial" w:eastAsia="Arial" w:hAnsi="Arial"/>
                <w:sz w:val="14"/>
                <w:szCs w:val="14"/>
                <w:color w:val="auto"/>
              </w:rPr>
              <w:t>$2,621</w:t>
            </w:r>
          </w:p>
        </w:tc>
        <w:tc>
          <w:tcPr>
            <w:tcW w:w="1040" w:type="dxa"/>
            <w:vAlign w:val="bottom"/>
          </w:tcPr>
          <w:p>
            <w:pPr>
              <w:jc w:val="right"/>
              <w:ind w:right="209"/>
              <w:spacing w:after="0"/>
              <w:rPr>
                <w:sz w:val="20"/>
                <w:szCs w:val="20"/>
                <w:color w:val="auto"/>
              </w:rPr>
            </w:pPr>
            <w:r>
              <w:rPr>
                <w:rFonts w:ascii="Arial" w:cs="Arial" w:eastAsia="Arial" w:hAnsi="Arial"/>
                <w:sz w:val="14"/>
                <w:szCs w:val="14"/>
                <w:color w:val="auto"/>
              </w:rPr>
              <w:t>$2,912</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$3,203</w:t>
            </w:r>
          </w:p>
        </w:tc>
      </w:tr>
      <w:tr>
        <w:trPr>
          <w:trHeight w:val="48"/>
        </w:trPr>
        <w:tc>
          <w:tcPr>
            <w:tcW w:w="7480" w:type="dxa"/>
            <w:vAlign w:val="bottom"/>
            <w:tcBorders>
              <w:bottom w:val="single" w:sz="8" w:color="7F7F7F"/>
            </w:tcBorders>
          </w:tcPr>
          <w:p>
            <w:pPr>
              <w:spacing w:after="0"/>
              <w:rPr>
                <w:sz w:val="4"/>
                <w:szCs w:val="4"/>
                <w:color w:val="auto"/>
              </w:rPr>
            </w:pPr>
          </w:p>
        </w:tc>
        <w:tc>
          <w:tcPr>
            <w:tcW w:w="136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r>
    </w:tbl>
    <w:p>
      <w:pPr>
        <w:spacing w:after="0" w:line="7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10</w:t>
      </w:r>
    </w:p>
    <w:p>
      <w:pPr>
        <w:spacing w:after="0" w:line="111" w:lineRule="exact"/>
        <w:rPr>
          <w:sz w:val="20"/>
          <w:szCs w:val="20"/>
          <w:color w:val="auto"/>
        </w:rPr>
      </w:pPr>
    </w:p>
    <w:p>
      <w:pPr>
        <w:ind w:left="160" w:right="40"/>
        <w:spacing w:after="0" w:line="247" w:lineRule="auto"/>
        <w:rPr>
          <w:sz w:val="20"/>
          <w:szCs w:val="20"/>
          <w:color w:val="auto"/>
        </w:rPr>
      </w:pPr>
      <w:r>
        <w:rPr>
          <w:rFonts w:ascii="Arial" w:cs="Arial" w:eastAsia="Arial" w:hAnsi="Arial"/>
          <w:sz w:val="14"/>
          <w:szCs w:val="14"/>
          <w:color w:val="auto"/>
        </w:rPr>
        <w:t>The committee set a challenging 2025 ABP Earnings target of $2,912 million based on the company’s financial plan and consistent with the 2025 earnings guidance announced in February 2025. The 2025 target was lower than the 2024 ABP earnings target due to several factors, including (1) at Sempra California, the impact from regulatory outcomes in late 2024 that affected our forecasts for 2025, including the CPUC’s 2024 General Rate Case final decision, a CPUC decision resulting in lower authorized cost of capital for 2025, and an order by the Federal Energy Regulatory Commission resulting in lost eligibility for the additional return on equity for participating in the California Independent System Operator market; (2) at Sempra Texas, higher expected operating and maintenance costs and interest expenses, as well as the anticipated impacts from Oncor’s filing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69297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215265</wp:posOffset>
            </wp:positionV>
            <wp:extent cx="739140" cy="153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55</w:t>
      </w:r>
    </w:p>
    <w:p>
      <w:pPr>
        <w:sectPr>
          <w:pgSz w:w="11900" w:h="16838" w:orient="portrait"/>
          <w:cols w:equalWidth="0" w:num="1">
            <w:col w:w="11080"/>
          </w:cols>
          <w:pgMar w:left="320" w:top="478"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45" w:lineRule="exact"/>
        <w:rPr>
          <w:sz w:val="20"/>
          <w:szCs w:val="20"/>
          <w:color w:val="auto"/>
        </w:rPr>
      </w:pPr>
    </w:p>
    <w:p>
      <w:pPr>
        <w:ind w:left="160" w:right="100"/>
        <w:spacing w:after="0" w:line="260" w:lineRule="auto"/>
        <w:rPr>
          <w:sz w:val="20"/>
          <w:szCs w:val="20"/>
          <w:color w:val="auto"/>
        </w:rPr>
      </w:pPr>
      <w:r>
        <w:rPr>
          <w:rFonts w:ascii="Arial" w:cs="Arial" w:eastAsia="Arial" w:hAnsi="Arial"/>
          <w:sz w:val="14"/>
          <w:szCs w:val="14"/>
          <w:color w:val="auto"/>
        </w:rPr>
        <w:t>new base rate review with the PUCT; and (3) at Sempra Infrastructure, the delay in the commercial operations date from 2025 to 2026 for the ECA LNG Phase 1 project under construction. In consideration of the lower target value, the committee widened the range between the 2025 ABP Earnings target and maximum goals to $291 million, which is 19% broader than the $244 million range in 2024.</w:t>
      </w:r>
    </w:p>
    <w:p>
      <w:pPr>
        <w:spacing w:after="0" w:line="65" w:lineRule="exact"/>
        <w:rPr>
          <w:sz w:val="20"/>
          <w:szCs w:val="20"/>
          <w:color w:val="auto"/>
        </w:rPr>
      </w:pPr>
    </w:p>
    <w:p>
      <w:pPr>
        <w:ind w:left="160" w:right="40"/>
        <w:spacing w:after="0" w:line="260" w:lineRule="auto"/>
        <w:rPr>
          <w:sz w:val="20"/>
          <w:szCs w:val="20"/>
          <w:color w:val="auto"/>
        </w:rPr>
      </w:pPr>
      <w:r>
        <w:rPr>
          <w:rFonts w:ascii="Arial" w:cs="Arial" w:eastAsia="Arial" w:hAnsi="Arial"/>
          <w:sz w:val="14"/>
          <w:szCs w:val="14"/>
          <w:color w:val="auto"/>
        </w:rPr>
        <w:t>Our 2025 ABP Earnings of $3,154 million was between our ABP Earnings target of $2,912 million and our ABP Earnings maximum goal of $3,203 million. Our above-target performance was driven primarily by (1) at Sempra Texas, establishment of the Unified Tracker Mechanism, which is designed to improve the efficiency of recovery of capital investment costs and (2) at Sempra Infrastructure, enhanced optimization of transportation and supply contracts.</w:t>
      </w:r>
    </w:p>
    <w:p>
      <w:pPr>
        <w:spacing w:after="0" w:line="65" w:lineRule="exact"/>
        <w:rPr>
          <w:sz w:val="20"/>
          <w:szCs w:val="20"/>
          <w:color w:val="auto"/>
        </w:rPr>
      </w:pPr>
    </w:p>
    <w:p>
      <w:pPr>
        <w:ind w:left="160" w:right="160"/>
        <w:spacing w:after="0" w:line="249" w:lineRule="auto"/>
        <w:rPr>
          <w:sz w:val="20"/>
          <w:szCs w:val="20"/>
          <w:color w:val="auto"/>
        </w:rPr>
      </w:pPr>
      <w:r>
        <w:rPr>
          <w:rFonts w:ascii="Arial" w:cs="Arial" w:eastAsia="Arial" w:hAnsi="Arial"/>
          <w:sz w:val="14"/>
          <w:szCs w:val="14"/>
          <w:color w:val="auto"/>
        </w:rPr>
        <w:t>Consistent with the approach taken in prior years, the Compensation and Talent Development Committee also determined when it set earnings goals that the earnings calculation for 2025 annual bonus plan purposes would be adjusted by limiting or excluding the impact of major changes in accounting rules, certain items related to acquisitions and divestitures, certain regulatory matters, legacy litigation matters and other adjustments as described in Appendix B to this proxy statement. In addition, the Compensation and Talent Development Committee has, but did not use, discretion to adjust earnings for other unplanned or unforeseen items that may occur during the course of the year.</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Safety Measures and RBP Measures Goal Determination</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Safety Measures</w:t>
      </w:r>
    </w:p>
    <w:p>
      <w:pPr>
        <w:spacing w:after="0" w:line="104" w:lineRule="exact"/>
        <w:rPr>
          <w:sz w:val="20"/>
          <w:szCs w:val="20"/>
          <w:color w:val="auto"/>
        </w:rPr>
      </w:pPr>
    </w:p>
    <w:p>
      <w:pPr>
        <w:ind w:left="160" w:right="260"/>
        <w:spacing w:after="0" w:line="253" w:lineRule="auto"/>
        <w:rPr>
          <w:sz w:val="20"/>
          <w:szCs w:val="20"/>
          <w:color w:val="auto"/>
        </w:rPr>
      </w:pPr>
      <w:r>
        <w:rPr>
          <w:rFonts w:ascii="Arial" w:cs="Arial" w:eastAsia="Arial" w:hAnsi="Arial"/>
          <w:sz w:val="14"/>
          <w:szCs w:val="14"/>
          <w:color w:val="auto"/>
        </w:rPr>
        <w:t>The Compensation and Talent Development Committee included safety measures in our annual bonus plan because our strong commitment to robust safety practices is foundational to our company’s culture and the success of our infrastructure-intensive businesses. The Safety Measures included in the 2025 performance-based annual bonus plan, which are collectively weighted at 12%, consist of metrics that promote public safety and safe operations as well as metrics focused on employee safety. Additional detail about these Safety Measures and 2025 performance results on these measures is provided in Table 11 below and in Appendix B to this proxy statement.</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RBP Measures</w:t>
      </w:r>
    </w:p>
    <w:p>
      <w:pPr>
        <w:spacing w:after="0" w:line="104" w:lineRule="exact"/>
        <w:rPr>
          <w:sz w:val="20"/>
          <w:szCs w:val="20"/>
          <w:color w:val="auto"/>
        </w:rPr>
      </w:pPr>
    </w:p>
    <w:p>
      <w:pPr>
        <w:ind w:left="160"/>
        <w:spacing w:after="0" w:line="247" w:lineRule="auto"/>
        <w:rPr>
          <w:sz w:val="20"/>
          <w:szCs w:val="20"/>
          <w:color w:val="auto"/>
        </w:rPr>
      </w:pPr>
      <w:r>
        <w:rPr>
          <w:rFonts w:ascii="Arial" w:cs="Arial" w:eastAsia="Arial" w:hAnsi="Arial"/>
          <w:sz w:val="14"/>
          <w:szCs w:val="14"/>
          <w:color w:val="auto"/>
        </w:rPr>
        <w:t>The 2025 RBP Measures are collectively weighted at 8% and consist of goals tied to cybersecurity and employee engagement. The committee selected these measures because they are key elements of our risk management programs and high-performance culture, reflecting our focus on responsible and sustainable business practices. In response to shareholder feedback, in 2025 the committee reduced the number of goals in this category from 15 to two to enhance focus on goals that are most closely tied to our strategic priorities, and moved from a scorecard approach, in which the payout was based on the number of goals achieved, to goals that are measured quantitatively against threshold, target, and maximum performance targets. Additional detail about these RBP Measures and 2025 performance results on these measures is provided in Table 11 below and in Appendix B to this proxy statement.</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Annual Bonus Performance Results</w:t>
      </w:r>
    </w:p>
    <w:p>
      <w:pPr>
        <w:spacing w:after="0" w:line="110" w:lineRule="exact"/>
        <w:rPr>
          <w:sz w:val="20"/>
          <w:szCs w:val="20"/>
          <w:color w:val="auto"/>
        </w:rPr>
      </w:pPr>
    </w:p>
    <w:p>
      <w:pPr>
        <w:ind w:left="160" w:right="160"/>
        <w:spacing w:after="0" w:line="281" w:lineRule="auto"/>
        <w:rPr>
          <w:sz w:val="20"/>
          <w:szCs w:val="20"/>
          <w:color w:val="auto"/>
        </w:rPr>
      </w:pPr>
      <w:r>
        <w:rPr>
          <w:rFonts w:ascii="Arial" w:cs="Arial" w:eastAsia="Arial" w:hAnsi="Arial"/>
          <w:sz w:val="14"/>
          <w:szCs w:val="14"/>
          <w:color w:val="auto"/>
        </w:rPr>
        <w:t>Overall company performance on the 2025 annual bonus plan performance measures was at 172.79% of target performance. A summary of the plan metrics and results is provided in Table 11 below.</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4600" w:type="dxa"/>
            <w:vAlign w:val="bottom"/>
            <w:shd w:val="clear" w:color="auto" w:fill="005CB9"/>
          </w:tcPr>
          <w:p>
            <w:pPr>
              <w:spacing w:after="0"/>
              <w:rPr>
                <w:sz w:val="18"/>
                <w:szCs w:val="18"/>
                <w:color w:val="auto"/>
              </w:rPr>
            </w:pPr>
          </w:p>
        </w:tc>
        <w:tc>
          <w:tcPr>
            <w:tcW w:w="1020" w:type="dxa"/>
            <w:vAlign w:val="bottom"/>
            <w:shd w:val="clear" w:color="auto" w:fill="005CB9"/>
          </w:tcPr>
          <w:p>
            <w:pPr>
              <w:spacing w:after="0"/>
              <w:rPr>
                <w:sz w:val="18"/>
                <w:szCs w:val="18"/>
                <w:color w:val="auto"/>
              </w:rPr>
            </w:pPr>
          </w:p>
        </w:tc>
        <w:tc>
          <w:tcPr>
            <w:tcW w:w="1120" w:type="dxa"/>
            <w:vAlign w:val="bottom"/>
            <w:shd w:val="clear" w:color="auto" w:fill="005CB9"/>
          </w:tcPr>
          <w:p>
            <w:pPr>
              <w:spacing w:after="0"/>
              <w:rPr>
                <w:sz w:val="18"/>
                <w:szCs w:val="18"/>
                <w:color w:val="auto"/>
              </w:rPr>
            </w:pPr>
          </w:p>
        </w:tc>
        <w:tc>
          <w:tcPr>
            <w:tcW w:w="1100" w:type="dxa"/>
            <w:vAlign w:val="bottom"/>
            <w:vMerge w:val="restart"/>
            <w:shd w:val="clear" w:color="auto" w:fill="005CB9"/>
          </w:tcPr>
          <w:p>
            <w:pPr>
              <w:jc w:val="right"/>
              <w:ind w:right="309"/>
              <w:spacing w:after="0"/>
              <w:rPr>
                <w:sz w:val="20"/>
                <w:szCs w:val="20"/>
                <w:color w:val="auto"/>
              </w:rPr>
            </w:pPr>
            <w:r>
              <w:rPr>
                <w:rFonts w:ascii="Arial" w:cs="Arial" w:eastAsia="Arial" w:hAnsi="Arial"/>
                <w:sz w:val="14"/>
                <w:szCs w:val="14"/>
                <w:b w:val="1"/>
                <w:bCs w:val="1"/>
                <w:color w:val="FFFFFF"/>
              </w:rPr>
              <w:t>Goals</w:t>
            </w:r>
          </w:p>
        </w:tc>
        <w:tc>
          <w:tcPr>
            <w:tcW w:w="1100" w:type="dxa"/>
            <w:vAlign w:val="bottom"/>
            <w:shd w:val="clear" w:color="auto" w:fill="005CB9"/>
          </w:tcPr>
          <w:p>
            <w:pPr>
              <w:spacing w:after="0"/>
              <w:rPr>
                <w:sz w:val="18"/>
                <w:szCs w:val="18"/>
                <w:color w:val="auto"/>
              </w:rPr>
            </w:pPr>
          </w:p>
        </w:tc>
        <w:tc>
          <w:tcPr>
            <w:tcW w:w="940" w:type="dxa"/>
            <w:vAlign w:val="bottom"/>
            <w:shd w:val="clear" w:color="auto" w:fill="005CB9"/>
          </w:tcPr>
          <w:p>
            <w:pPr>
              <w:spacing w:after="0"/>
              <w:rPr>
                <w:sz w:val="18"/>
                <w:szCs w:val="18"/>
                <w:color w:val="auto"/>
              </w:rPr>
            </w:pPr>
          </w:p>
        </w:tc>
        <w:tc>
          <w:tcPr>
            <w:tcW w:w="1040" w:type="dxa"/>
            <w:vAlign w:val="bottom"/>
            <w:shd w:val="clear" w:color="auto" w:fill="005CB9"/>
          </w:tcPr>
          <w:p>
            <w:pPr>
              <w:jc w:val="center"/>
              <w:ind w:left="209"/>
              <w:spacing w:after="0"/>
              <w:rPr>
                <w:sz w:val="20"/>
                <w:szCs w:val="20"/>
                <w:color w:val="auto"/>
              </w:rPr>
            </w:pPr>
            <w:r>
              <w:rPr>
                <w:rFonts w:ascii="Arial" w:cs="Arial" w:eastAsia="Arial" w:hAnsi="Arial"/>
                <w:sz w:val="14"/>
                <w:szCs w:val="14"/>
                <w:b w:val="1"/>
                <w:bCs w:val="1"/>
                <w:color w:val="FFFFFF"/>
              </w:rPr>
              <w:t>Percent</w:t>
            </w:r>
          </w:p>
        </w:tc>
        <w:tc>
          <w:tcPr>
            <w:tcW w:w="0" w:type="dxa"/>
            <w:vAlign w:val="bottom"/>
          </w:tcPr>
          <w:p>
            <w:pPr>
              <w:spacing w:after="0"/>
              <w:rPr>
                <w:sz w:val="1"/>
                <w:szCs w:val="1"/>
                <w:color w:val="auto"/>
              </w:rPr>
            </w:pPr>
          </w:p>
        </w:tc>
      </w:tr>
      <w:tr>
        <w:trPr>
          <w:trHeight w:val="76"/>
        </w:trPr>
        <w:tc>
          <w:tcPr>
            <w:tcW w:w="4600" w:type="dxa"/>
            <w:vAlign w:val="bottom"/>
            <w:shd w:val="clear" w:color="auto" w:fill="005CB9"/>
          </w:tcPr>
          <w:p>
            <w:pPr>
              <w:spacing w:after="0"/>
              <w:rPr>
                <w:sz w:val="6"/>
                <w:szCs w:val="6"/>
                <w:color w:val="auto"/>
              </w:rPr>
            </w:pPr>
          </w:p>
        </w:tc>
        <w:tc>
          <w:tcPr>
            <w:tcW w:w="1020" w:type="dxa"/>
            <w:vAlign w:val="bottom"/>
            <w:shd w:val="clear" w:color="auto" w:fill="005CB9"/>
          </w:tcPr>
          <w:p>
            <w:pPr>
              <w:spacing w:after="0"/>
              <w:rPr>
                <w:sz w:val="6"/>
                <w:szCs w:val="6"/>
                <w:color w:val="auto"/>
              </w:rPr>
            </w:pPr>
          </w:p>
        </w:tc>
        <w:tc>
          <w:tcPr>
            <w:tcW w:w="1120" w:type="dxa"/>
            <w:vAlign w:val="bottom"/>
            <w:shd w:val="clear" w:color="auto" w:fill="005CB9"/>
          </w:tcPr>
          <w:p>
            <w:pPr>
              <w:spacing w:after="0"/>
              <w:rPr>
                <w:sz w:val="6"/>
                <w:szCs w:val="6"/>
                <w:color w:val="auto"/>
              </w:rPr>
            </w:pPr>
          </w:p>
        </w:tc>
        <w:tc>
          <w:tcPr>
            <w:tcW w:w="1100" w:type="dxa"/>
            <w:vAlign w:val="bottom"/>
            <w:vMerge w:val="continue"/>
            <w:shd w:val="clear" w:color="auto" w:fill="005CB9"/>
          </w:tcPr>
          <w:p>
            <w:pPr>
              <w:spacing w:after="0"/>
              <w:rPr>
                <w:sz w:val="6"/>
                <w:szCs w:val="6"/>
                <w:color w:val="auto"/>
              </w:rPr>
            </w:pPr>
          </w:p>
        </w:tc>
        <w:tc>
          <w:tcPr>
            <w:tcW w:w="1100" w:type="dxa"/>
            <w:vAlign w:val="bottom"/>
            <w:shd w:val="clear" w:color="auto" w:fill="005CB9"/>
          </w:tcPr>
          <w:p>
            <w:pPr>
              <w:spacing w:after="0"/>
              <w:rPr>
                <w:sz w:val="6"/>
                <w:szCs w:val="6"/>
                <w:color w:val="auto"/>
              </w:rPr>
            </w:pPr>
          </w:p>
        </w:tc>
        <w:tc>
          <w:tcPr>
            <w:tcW w:w="940" w:type="dxa"/>
            <w:vAlign w:val="bottom"/>
            <w:shd w:val="clear" w:color="auto" w:fill="005CB9"/>
          </w:tcPr>
          <w:p>
            <w:pPr>
              <w:spacing w:after="0"/>
              <w:rPr>
                <w:sz w:val="6"/>
                <w:szCs w:val="6"/>
                <w:color w:val="auto"/>
              </w:rPr>
            </w:pPr>
          </w:p>
        </w:tc>
        <w:tc>
          <w:tcPr>
            <w:tcW w:w="1040" w:type="dxa"/>
            <w:vAlign w:val="bottom"/>
            <w:vMerge w:val="restart"/>
            <w:shd w:val="clear" w:color="auto" w:fill="005CB9"/>
          </w:tcPr>
          <w:p>
            <w:pPr>
              <w:jc w:val="center"/>
              <w:ind w:left="169"/>
              <w:spacing w:after="0"/>
              <w:rPr>
                <w:sz w:val="20"/>
                <w:szCs w:val="20"/>
                <w:color w:val="auto"/>
              </w:rPr>
            </w:pPr>
            <w:r>
              <w:rPr>
                <w:rFonts w:ascii="Arial" w:cs="Arial" w:eastAsia="Arial" w:hAnsi="Arial"/>
                <w:sz w:val="14"/>
                <w:szCs w:val="14"/>
                <w:b w:val="1"/>
                <w:bCs w:val="1"/>
                <w:color w:val="FFFFFF"/>
              </w:rPr>
              <w:t> of Target</w:t>
            </w:r>
          </w:p>
        </w:tc>
        <w:tc>
          <w:tcPr>
            <w:tcW w:w="0" w:type="dxa"/>
            <w:vAlign w:val="bottom"/>
          </w:tcPr>
          <w:p>
            <w:pPr>
              <w:spacing w:after="0"/>
              <w:rPr>
                <w:sz w:val="1"/>
                <w:szCs w:val="1"/>
                <w:color w:val="auto"/>
              </w:rPr>
            </w:pPr>
          </w:p>
        </w:tc>
      </w:tr>
      <w:tr>
        <w:trPr>
          <w:trHeight w:val="84"/>
        </w:trPr>
        <w:tc>
          <w:tcPr>
            <w:tcW w:w="4600" w:type="dxa"/>
            <w:vAlign w:val="bottom"/>
            <w:shd w:val="clear" w:color="auto" w:fill="005CB9"/>
          </w:tcPr>
          <w:p>
            <w:pPr>
              <w:spacing w:after="0"/>
              <w:rPr>
                <w:sz w:val="7"/>
                <w:szCs w:val="7"/>
                <w:color w:val="auto"/>
              </w:rPr>
            </w:pPr>
          </w:p>
        </w:tc>
        <w:tc>
          <w:tcPr>
            <w:tcW w:w="1020" w:type="dxa"/>
            <w:vAlign w:val="bottom"/>
            <w:shd w:val="clear" w:color="auto" w:fill="005CB9"/>
          </w:tcPr>
          <w:p>
            <w:pPr>
              <w:spacing w:after="0"/>
              <w:rPr>
                <w:sz w:val="7"/>
                <w:szCs w:val="7"/>
                <w:color w:val="auto"/>
              </w:rPr>
            </w:pPr>
          </w:p>
        </w:tc>
        <w:tc>
          <w:tcPr>
            <w:tcW w:w="1120" w:type="dxa"/>
            <w:vAlign w:val="bottom"/>
            <w:shd w:val="clear" w:color="auto" w:fill="005CB9"/>
          </w:tcPr>
          <w:p>
            <w:pPr>
              <w:spacing w:after="0"/>
              <w:rPr>
                <w:sz w:val="7"/>
                <w:szCs w:val="7"/>
                <w:color w:val="auto"/>
              </w:rPr>
            </w:pPr>
          </w:p>
        </w:tc>
        <w:tc>
          <w:tcPr>
            <w:tcW w:w="1100" w:type="dxa"/>
            <w:vAlign w:val="bottom"/>
            <w:shd w:val="clear" w:color="auto" w:fill="005CB9"/>
          </w:tcPr>
          <w:p>
            <w:pPr>
              <w:spacing w:after="0"/>
              <w:rPr>
                <w:sz w:val="7"/>
                <w:szCs w:val="7"/>
                <w:color w:val="auto"/>
              </w:rPr>
            </w:pPr>
          </w:p>
        </w:tc>
        <w:tc>
          <w:tcPr>
            <w:tcW w:w="1100" w:type="dxa"/>
            <w:vAlign w:val="bottom"/>
            <w:shd w:val="clear" w:color="auto" w:fill="005CB9"/>
          </w:tcPr>
          <w:p>
            <w:pPr>
              <w:spacing w:after="0"/>
              <w:rPr>
                <w:sz w:val="7"/>
                <w:szCs w:val="7"/>
                <w:color w:val="auto"/>
              </w:rPr>
            </w:pPr>
          </w:p>
        </w:tc>
        <w:tc>
          <w:tcPr>
            <w:tcW w:w="940" w:type="dxa"/>
            <w:vAlign w:val="bottom"/>
            <w:shd w:val="clear" w:color="auto" w:fill="005CB9"/>
          </w:tcPr>
          <w:p>
            <w:pPr>
              <w:spacing w:after="0"/>
              <w:rPr>
                <w:sz w:val="7"/>
                <w:szCs w:val="7"/>
                <w:color w:val="auto"/>
              </w:rPr>
            </w:pPr>
          </w:p>
        </w:tc>
        <w:tc>
          <w:tcPr>
            <w:tcW w:w="1040" w:type="dxa"/>
            <w:vAlign w:val="bottom"/>
            <w:vMerge w:val="continue"/>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2025 Performance Measures</w:t>
            </w:r>
          </w:p>
        </w:tc>
        <w:tc>
          <w:tcPr>
            <w:tcW w:w="1020" w:type="dxa"/>
            <w:vAlign w:val="bottom"/>
            <w:tcBorders>
              <w:bottom w:val="single" w:sz="8" w:color="005CB9"/>
            </w:tcBorders>
            <w:shd w:val="clear" w:color="auto" w:fill="005CB9"/>
          </w:tcPr>
          <w:p>
            <w:pPr>
              <w:jc w:val="right"/>
              <w:ind w:right="129"/>
              <w:spacing w:after="0"/>
              <w:rPr>
                <w:sz w:val="20"/>
                <w:szCs w:val="20"/>
                <w:color w:val="auto"/>
              </w:rPr>
            </w:pPr>
            <w:r>
              <w:rPr>
                <w:rFonts w:ascii="Arial" w:cs="Arial" w:eastAsia="Arial" w:hAnsi="Arial"/>
                <w:sz w:val="14"/>
                <w:szCs w:val="14"/>
                <w:b w:val="1"/>
                <w:bCs w:val="1"/>
                <w:color w:val="FFFFFF"/>
              </w:rPr>
              <w:t>Weight</w:t>
            </w:r>
          </w:p>
        </w:tc>
        <w:tc>
          <w:tcPr>
            <w:tcW w:w="1120" w:type="dxa"/>
            <w:vAlign w:val="bottom"/>
            <w:tcBorders>
              <w:bottom w:val="single" w:sz="8" w:color="005CB9"/>
            </w:tcBorders>
            <w:shd w:val="clear" w:color="auto" w:fill="005CB9"/>
          </w:tcPr>
          <w:p>
            <w:pPr>
              <w:jc w:val="right"/>
              <w:ind w:right="149"/>
              <w:spacing w:after="0"/>
              <w:rPr>
                <w:sz w:val="20"/>
                <w:szCs w:val="20"/>
                <w:color w:val="auto"/>
              </w:rPr>
            </w:pPr>
            <w:r>
              <w:rPr>
                <w:rFonts w:ascii="Arial" w:cs="Arial" w:eastAsia="Arial" w:hAnsi="Arial"/>
                <w:sz w:val="14"/>
                <w:szCs w:val="14"/>
                <w:b w:val="1"/>
                <w:bCs w:val="1"/>
                <w:color w:val="FFFFFF"/>
              </w:rPr>
              <w:t>Threshold</w:t>
            </w:r>
          </w:p>
        </w:tc>
        <w:tc>
          <w:tcPr>
            <w:tcW w:w="1100" w:type="dxa"/>
            <w:vAlign w:val="bottom"/>
            <w:tcBorders>
              <w:bottom w:val="single" w:sz="8" w:color="005CB9"/>
            </w:tcBorders>
            <w:shd w:val="clear" w:color="auto" w:fill="005CB9"/>
          </w:tcPr>
          <w:p>
            <w:pPr>
              <w:jc w:val="right"/>
              <w:ind w:right="289"/>
              <w:spacing w:after="0"/>
              <w:rPr>
                <w:sz w:val="20"/>
                <w:szCs w:val="20"/>
                <w:color w:val="auto"/>
              </w:rPr>
            </w:pPr>
            <w:r>
              <w:rPr>
                <w:rFonts w:ascii="Arial" w:cs="Arial" w:eastAsia="Arial" w:hAnsi="Arial"/>
                <w:sz w:val="14"/>
                <w:szCs w:val="14"/>
                <w:b w:val="1"/>
                <w:bCs w:val="1"/>
                <w:color w:val="FFFFFF"/>
              </w:rPr>
              <w:t>Target</w:t>
            </w:r>
          </w:p>
        </w:tc>
        <w:tc>
          <w:tcPr>
            <w:tcW w:w="1100" w:type="dxa"/>
            <w:vAlign w:val="bottom"/>
            <w:tcBorders>
              <w:bottom w:val="single" w:sz="8" w:color="005CB9"/>
            </w:tcBorders>
            <w:shd w:val="clear" w:color="auto" w:fill="005CB9"/>
          </w:tcPr>
          <w:p>
            <w:pPr>
              <w:jc w:val="right"/>
              <w:ind w:right="169"/>
              <w:spacing w:after="0"/>
              <w:rPr>
                <w:sz w:val="20"/>
                <w:szCs w:val="20"/>
                <w:color w:val="auto"/>
              </w:rPr>
            </w:pPr>
            <w:r>
              <w:rPr>
                <w:rFonts w:ascii="Arial" w:cs="Arial" w:eastAsia="Arial" w:hAnsi="Arial"/>
                <w:sz w:val="14"/>
                <w:szCs w:val="14"/>
                <w:b w:val="1"/>
                <w:bCs w:val="1"/>
                <w:color w:val="FFFFFF"/>
              </w:rPr>
              <w:t>Maximum</w:t>
            </w:r>
          </w:p>
        </w:tc>
        <w:tc>
          <w:tcPr>
            <w:tcW w:w="940" w:type="dxa"/>
            <w:vAlign w:val="bottom"/>
            <w:tcBorders>
              <w:bottom w:val="single" w:sz="8" w:color="005CB9"/>
            </w:tcBorders>
            <w:shd w:val="clear" w:color="auto" w:fill="005CB9"/>
          </w:tcPr>
          <w:p>
            <w:pPr>
              <w:jc w:val="right"/>
              <w:ind w:right="129"/>
              <w:spacing w:after="0"/>
              <w:rPr>
                <w:sz w:val="20"/>
                <w:szCs w:val="20"/>
                <w:color w:val="auto"/>
              </w:rPr>
            </w:pPr>
            <w:r>
              <w:rPr>
                <w:rFonts w:ascii="Arial" w:cs="Arial" w:eastAsia="Arial" w:hAnsi="Arial"/>
                <w:sz w:val="14"/>
                <w:szCs w:val="14"/>
                <w:b w:val="1"/>
                <w:bCs w:val="1"/>
                <w:color w:val="FFFFFF"/>
              </w:rPr>
              <w:t>Actual</w:t>
            </w:r>
          </w:p>
        </w:tc>
        <w:tc>
          <w:tcPr>
            <w:tcW w:w="1040" w:type="dxa"/>
            <w:vAlign w:val="bottom"/>
            <w:tcBorders>
              <w:bottom w:val="single" w:sz="8" w:color="005CB9"/>
            </w:tcBorders>
            <w:shd w:val="clear" w:color="auto" w:fill="005CB9"/>
          </w:tcPr>
          <w:p>
            <w:pPr>
              <w:jc w:val="center"/>
              <w:ind w:left="149"/>
              <w:spacing w:after="0"/>
              <w:rPr>
                <w:sz w:val="20"/>
                <w:szCs w:val="20"/>
                <w:color w:val="auto"/>
              </w:rPr>
            </w:pPr>
            <w:r>
              <w:rPr>
                <w:rFonts w:ascii="Arial" w:cs="Arial" w:eastAsia="Arial" w:hAnsi="Arial"/>
                <w:sz w:val="14"/>
                <w:szCs w:val="14"/>
                <w:b w:val="1"/>
                <w:bCs w:val="1"/>
                <w:color w:val="FFFFFF"/>
              </w:rPr>
              <w:t> Achieved</w:t>
            </w:r>
          </w:p>
        </w:tc>
        <w:tc>
          <w:tcPr>
            <w:tcW w:w="0" w:type="dxa"/>
            <w:vAlign w:val="bottom"/>
          </w:tcPr>
          <w:p>
            <w:pPr>
              <w:spacing w:after="0"/>
              <w:rPr>
                <w:sz w:val="1"/>
                <w:szCs w:val="1"/>
                <w:color w:val="auto"/>
              </w:rPr>
            </w:pPr>
          </w:p>
        </w:tc>
      </w:tr>
      <w:tr>
        <w:trPr>
          <w:trHeight w:val="253"/>
        </w:trPr>
        <w:tc>
          <w:tcPr>
            <w:tcW w:w="4600" w:type="dxa"/>
            <w:vAlign w:val="bottom"/>
          </w:tcPr>
          <w:p>
            <w:pPr>
              <w:ind w:left="80"/>
              <w:spacing w:after="0"/>
              <w:rPr>
                <w:sz w:val="20"/>
                <w:szCs w:val="20"/>
                <w:color w:val="auto"/>
              </w:rPr>
            </w:pPr>
            <w:r>
              <w:rPr>
                <w:rFonts w:ascii="Arial" w:cs="Arial" w:eastAsia="Arial" w:hAnsi="Arial"/>
                <w:sz w:val="14"/>
                <w:szCs w:val="14"/>
                <w:b w:val="1"/>
                <w:bCs w:val="1"/>
                <w:color w:val="005CB9"/>
              </w:rPr>
              <w:t>Financial:</w:t>
            </w: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460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9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6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ABP Earnings (Dollars in Millions)</w:t>
            </w:r>
          </w:p>
        </w:tc>
        <w:tc>
          <w:tcPr>
            <w:tcW w:w="102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80%</w:t>
            </w:r>
          </w:p>
        </w:tc>
        <w:tc>
          <w:tcPr>
            <w:tcW w:w="1120" w:type="dxa"/>
            <w:vAlign w:val="bottom"/>
            <w:tcBorders>
              <w:bottom w:val="single" w:sz="8" w:color="F2F2F2"/>
            </w:tcBorders>
            <w:shd w:val="clear" w:color="auto" w:fill="F2F2F2"/>
          </w:tcPr>
          <w:p>
            <w:pPr>
              <w:jc w:val="right"/>
              <w:ind w:right="209"/>
              <w:spacing w:after="0"/>
              <w:rPr>
                <w:sz w:val="20"/>
                <w:szCs w:val="20"/>
                <w:color w:val="auto"/>
              </w:rPr>
            </w:pPr>
            <w:r>
              <w:rPr>
                <w:rFonts w:ascii="Arial" w:cs="Arial" w:eastAsia="Arial" w:hAnsi="Arial"/>
                <w:sz w:val="14"/>
                <w:szCs w:val="14"/>
                <w:color w:val="auto"/>
              </w:rPr>
              <w:t>$2,621</w:t>
            </w:r>
          </w:p>
        </w:tc>
        <w:tc>
          <w:tcPr>
            <w:tcW w:w="1100" w:type="dxa"/>
            <w:vAlign w:val="bottom"/>
            <w:tcBorders>
              <w:bottom w:val="single" w:sz="8" w:color="F2F2F2"/>
            </w:tcBorders>
            <w:shd w:val="clear" w:color="auto" w:fill="F2F2F2"/>
          </w:tcPr>
          <w:p>
            <w:pPr>
              <w:jc w:val="right"/>
              <w:ind w:right="209"/>
              <w:spacing w:after="0"/>
              <w:rPr>
                <w:sz w:val="20"/>
                <w:szCs w:val="20"/>
                <w:color w:val="auto"/>
              </w:rPr>
            </w:pPr>
            <w:r>
              <w:rPr>
                <w:rFonts w:ascii="Arial" w:cs="Arial" w:eastAsia="Arial" w:hAnsi="Arial"/>
                <w:sz w:val="14"/>
                <w:szCs w:val="14"/>
                <w:color w:val="auto"/>
              </w:rPr>
              <w:t>$2,912</w:t>
            </w:r>
          </w:p>
        </w:tc>
        <w:tc>
          <w:tcPr>
            <w:tcW w:w="110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$3,203</w:t>
            </w:r>
          </w:p>
        </w:tc>
        <w:tc>
          <w:tcPr>
            <w:tcW w:w="94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$3,154</w:t>
            </w:r>
          </w:p>
        </w:tc>
        <w:tc>
          <w:tcPr>
            <w:tcW w:w="104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33"/>
        </w:trPr>
        <w:tc>
          <w:tcPr>
            <w:tcW w:w="4600" w:type="dxa"/>
            <w:vAlign w:val="bottom"/>
            <w:tcBorders>
              <w:top w:val="single" w:sz="8" w:color="7F7F7F"/>
            </w:tcBorders>
          </w:tcPr>
          <w:p>
            <w:pPr>
              <w:ind w:left="80"/>
              <w:spacing w:after="0"/>
              <w:rPr>
                <w:sz w:val="20"/>
                <w:szCs w:val="20"/>
                <w:color w:val="auto"/>
              </w:rPr>
            </w:pPr>
            <w:r>
              <w:rPr>
                <w:rFonts w:ascii="Arial" w:cs="Arial" w:eastAsia="Arial" w:hAnsi="Arial"/>
                <w:sz w:val="14"/>
                <w:szCs w:val="14"/>
                <w:b w:val="1"/>
                <w:bCs w:val="1"/>
                <w:color w:val="005CB9"/>
              </w:rPr>
              <w:t>Safety Measures:</w:t>
            </w:r>
          </w:p>
        </w:tc>
        <w:tc>
          <w:tcPr>
            <w:tcW w:w="1020" w:type="dxa"/>
            <w:vAlign w:val="bottom"/>
            <w:tcBorders>
              <w:top w:val="single" w:sz="8" w:color="7F7F7F"/>
            </w:tcBorders>
          </w:tcPr>
          <w:p>
            <w:pPr>
              <w:spacing w:after="0"/>
              <w:rPr>
                <w:sz w:val="20"/>
                <w:szCs w:val="20"/>
                <w:color w:val="auto"/>
              </w:rPr>
            </w:pPr>
          </w:p>
        </w:tc>
        <w:tc>
          <w:tcPr>
            <w:tcW w:w="1120" w:type="dxa"/>
            <w:vAlign w:val="bottom"/>
            <w:tcBorders>
              <w:top w:val="single" w:sz="8" w:color="7F7F7F"/>
            </w:tcBorders>
          </w:tcPr>
          <w:p>
            <w:pPr>
              <w:spacing w:after="0"/>
              <w:rPr>
                <w:sz w:val="20"/>
                <w:szCs w:val="20"/>
                <w:color w:val="auto"/>
              </w:rPr>
            </w:pPr>
          </w:p>
        </w:tc>
        <w:tc>
          <w:tcPr>
            <w:tcW w:w="1100" w:type="dxa"/>
            <w:vAlign w:val="bottom"/>
            <w:tcBorders>
              <w:top w:val="single" w:sz="8" w:color="7F7F7F"/>
            </w:tcBorders>
          </w:tcPr>
          <w:p>
            <w:pPr>
              <w:spacing w:after="0"/>
              <w:rPr>
                <w:sz w:val="20"/>
                <w:szCs w:val="20"/>
                <w:color w:val="auto"/>
              </w:rPr>
            </w:pPr>
          </w:p>
        </w:tc>
        <w:tc>
          <w:tcPr>
            <w:tcW w:w="1100" w:type="dxa"/>
            <w:vAlign w:val="bottom"/>
            <w:tcBorders>
              <w:top w:val="single" w:sz="8" w:color="7F7F7F"/>
            </w:tcBorders>
          </w:tcPr>
          <w:p>
            <w:pPr>
              <w:spacing w:after="0"/>
              <w:rPr>
                <w:sz w:val="20"/>
                <w:szCs w:val="20"/>
                <w:color w:val="auto"/>
              </w:rPr>
            </w:pPr>
          </w:p>
        </w:tc>
        <w:tc>
          <w:tcPr>
            <w:tcW w:w="940" w:type="dxa"/>
            <w:vAlign w:val="bottom"/>
            <w:tcBorders>
              <w:top w:val="single" w:sz="8" w:color="7F7F7F"/>
            </w:tcBorders>
          </w:tcPr>
          <w:p>
            <w:pPr>
              <w:spacing w:after="0"/>
              <w:rPr>
                <w:sz w:val="20"/>
                <w:szCs w:val="20"/>
                <w:color w:val="auto"/>
              </w:rPr>
            </w:pPr>
          </w:p>
        </w:tc>
        <w:tc>
          <w:tcPr>
            <w:tcW w:w="1040" w:type="dxa"/>
            <w:vAlign w:val="bottom"/>
            <w:tcBorders>
              <w:top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4600" w:type="dxa"/>
            <w:vAlign w:val="bottom"/>
            <w:tcBorders>
              <w:bottom w:val="single" w:sz="8" w:color="7F7F7F"/>
            </w:tcBorders>
          </w:tcPr>
          <w:p>
            <w:pPr>
              <w:spacing w:after="0"/>
              <w:rPr>
                <w:sz w:val="3"/>
                <w:szCs w:val="3"/>
                <w:color w:val="auto"/>
              </w:rPr>
            </w:pPr>
          </w:p>
        </w:tc>
        <w:tc>
          <w:tcPr>
            <w:tcW w:w="1020" w:type="dxa"/>
            <w:vAlign w:val="bottom"/>
            <w:tcBorders>
              <w:bottom w:val="single" w:sz="8" w:color="7F7F7F"/>
            </w:tcBorders>
          </w:tcPr>
          <w:p>
            <w:pPr>
              <w:spacing w:after="0"/>
              <w:rPr>
                <w:sz w:val="3"/>
                <w:szCs w:val="3"/>
                <w:color w:val="auto"/>
              </w:rPr>
            </w:pPr>
          </w:p>
        </w:tc>
        <w:tc>
          <w:tcPr>
            <w:tcW w:w="112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1100" w:type="dxa"/>
            <w:vAlign w:val="bottom"/>
            <w:tcBorders>
              <w:bottom w:val="single" w:sz="8" w:color="7F7F7F"/>
            </w:tcBorders>
          </w:tcPr>
          <w:p>
            <w:pPr>
              <w:spacing w:after="0"/>
              <w:rPr>
                <w:sz w:val="3"/>
                <w:szCs w:val="3"/>
                <w:color w:val="auto"/>
              </w:rPr>
            </w:pPr>
          </w:p>
        </w:tc>
        <w:tc>
          <w:tcPr>
            <w:tcW w:w="940" w:type="dxa"/>
            <w:vAlign w:val="bottom"/>
            <w:tcBorders>
              <w:bottom w:val="single" w:sz="8" w:color="7F7F7F"/>
            </w:tcBorders>
          </w:tcPr>
          <w:p>
            <w:pPr>
              <w:spacing w:after="0"/>
              <w:rPr>
                <w:sz w:val="3"/>
                <w:szCs w:val="3"/>
                <w:color w:val="auto"/>
              </w:rPr>
            </w:pPr>
          </w:p>
        </w:tc>
        <w:tc>
          <w:tcPr>
            <w:tcW w:w="10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6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Public Safety:</w:t>
            </w:r>
          </w:p>
        </w:tc>
        <w:tc>
          <w:tcPr>
            <w:tcW w:w="1020" w:type="dxa"/>
            <w:vAlign w:val="bottom"/>
            <w:tcBorders>
              <w:bottom w:val="single" w:sz="8" w:color="F2F2F2"/>
            </w:tcBorders>
            <w:shd w:val="clear" w:color="auto" w:fill="F2F2F2"/>
          </w:tcPr>
          <w:p>
            <w:pPr>
              <w:spacing w:after="0"/>
              <w:rPr>
                <w:sz w:val="23"/>
                <w:szCs w:val="23"/>
                <w:color w:val="auto"/>
              </w:rPr>
            </w:pPr>
          </w:p>
        </w:tc>
        <w:tc>
          <w:tcPr>
            <w:tcW w:w="1120" w:type="dxa"/>
            <w:vAlign w:val="bottom"/>
            <w:tcBorders>
              <w:bottom w:val="single" w:sz="8" w:color="F2F2F2"/>
            </w:tcBorders>
            <w:shd w:val="clear" w:color="auto" w:fill="F2F2F2"/>
          </w:tcPr>
          <w:p>
            <w:pPr>
              <w:spacing w:after="0"/>
              <w:rPr>
                <w:sz w:val="23"/>
                <w:szCs w:val="23"/>
                <w:color w:val="auto"/>
              </w:rPr>
            </w:pPr>
          </w:p>
        </w:tc>
        <w:tc>
          <w:tcPr>
            <w:tcW w:w="1100" w:type="dxa"/>
            <w:vAlign w:val="bottom"/>
            <w:tcBorders>
              <w:bottom w:val="single" w:sz="8" w:color="F2F2F2"/>
            </w:tcBorders>
            <w:shd w:val="clear" w:color="auto" w:fill="F2F2F2"/>
          </w:tcPr>
          <w:p>
            <w:pPr>
              <w:spacing w:after="0"/>
              <w:rPr>
                <w:sz w:val="23"/>
                <w:szCs w:val="23"/>
                <w:color w:val="auto"/>
              </w:rPr>
            </w:pPr>
          </w:p>
        </w:tc>
        <w:tc>
          <w:tcPr>
            <w:tcW w:w="1100" w:type="dxa"/>
            <w:vAlign w:val="bottom"/>
            <w:tcBorders>
              <w:bottom w:val="single" w:sz="8" w:color="F2F2F2"/>
            </w:tcBorders>
            <w:shd w:val="clear" w:color="auto" w:fill="F2F2F2"/>
          </w:tcPr>
          <w:p>
            <w:pPr>
              <w:spacing w:after="0"/>
              <w:rPr>
                <w:sz w:val="23"/>
                <w:szCs w:val="23"/>
                <w:color w:val="auto"/>
              </w:rPr>
            </w:pPr>
          </w:p>
        </w:tc>
        <w:tc>
          <w:tcPr>
            <w:tcW w:w="940" w:type="dxa"/>
            <w:vAlign w:val="bottom"/>
            <w:tcBorders>
              <w:bottom w:val="single" w:sz="8" w:color="F2F2F2"/>
            </w:tcBorders>
            <w:shd w:val="clear" w:color="auto" w:fill="F2F2F2"/>
          </w:tcPr>
          <w:p>
            <w:pPr>
              <w:spacing w:after="0"/>
              <w:rPr>
                <w:sz w:val="23"/>
                <w:szCs w:val="23"/>
                <w:color w:val="auto"/>
              </w:rPr>
            </w:pPr>
          </w:p>
        </w:tc>
        <w:tc>
          <w:tcPr>
            <w:tcW w:w="104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460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SDG&amp;E – Wildfire and Public Safety Power Shutoff (PSPS) System</w:t>
            </w:r>
          </w:p>
        </w:tc>
        <w:tc>
          <w:tcPr>
            <w:tcW w:w="102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2%</w:t>
            </w:r>
          </w:p>
        </w:tc>
        <w:tc>
          <w:tcPr>
            <w:tcW w:w="1120" w:type="dxa"/>
            <w:vAlign w:val="bottom"/>
            <w:tcBorders>
              <w:top w:val="single" w:sz="8" w:color="7F7F7F"/>
            </w:tcBorders>
          </w:tcPr>
          <w:p>
            <w:pPr>
              <w:jc w:val="right"/>
              <w:ind w:right="209"/>
              <w:spacing w:after="0"/>
              <w:rPr>
                <w:sz w:val="20"/>
                <w:szCs w:val="20"/>
                <w:color w:val="auto"/>
              </w:rPr>
            </w:pPr>
            <w:r>
              <w:rPr>
                <w:rFonts w:ascii="Arial" w:cs="Arial" w:eastAsia="Arial" w:hAnsi="Arial"/>
                <w:sz w:val="14"/>
                <w:szCs w:val="14"/>
                <w:color w:val="auto"/>
              </w:rPr>
              <w:t>70</w:t>
            </w:r>
          </w:p>
        </w:tc>
        <w:tc>
          <w:tcPr>
            <w:tcW w:w="1100" w:type="dxa"/>
            <w:vAlign w:val="bottom"/>
            <w:tcBorders>
              <w:top w:val="single" w:sz="8" w:color="7F7F7F"/>
            </w:tcBorders>
          </w:tcPr>
          <w:p>
            <w:pPr>
              <w:jc w:val="right"/>
              <w:ind w:right="209"/>
              <w:spacing w:after="0"/>
              <w:rPr>
                <w:sz w:val="20"/>
                <w:szCs w:val="20"/>
                <w:color w:val="auto"/>
              </w:rPr>
            </w:pPr>
            <w:r>
              <w:rPr>
                <w:rFonts w:ascii="Arial" w:cs="Arial" w:eastAsia="Arial" w:hAnsi="Arial"/>
                <w:sz w:val="14"/>
                <w:szCs w:val="14"/>
                <w:color w:val="auto"/>
              </w:rPr>
              <w:t>85</w:t>
            </w:r>
          </w:p>
        </w:tc>
        <w:tc>
          <w:tcPr>
            <w:tcW w:w="1100" w:type="dxa"/>
            <w:vAlign w:val="bottom"/>
            <w:tcBorders>
              <w:top w:val="single" w:sz="8" w:color="7F7F7F"/>
            </w:tcBorders>
          </w:tcPr>
          <w:p>
            <w:pPr>
              <w:jc w:val="right"/>
              <w:ind w:right="229"/>
              <w:spacing w:after="0"/>
              <w:rPr>
                <w:sz w:val="20"/>
                <w:szCs w:val="20"/>
                <w:color w:val="auto"/>
              </w:rPr>
            </w:pPr>
            <w:r>
              <w:rPr>
                <w:rFonts w:ascii="Arial" w:cs="Arial" w:eastAsia="Arial" w:hAnsi="Arial"/>
                <w:sz w:val="14"/>
                <w:szCs w:val="14"/>
                <w:color w:val="auto"/>
              </w:rPr>
              <w:t>100</w:t>
            </w:r>
          </w:p>
        </w:tc>
        <w:tc>
          <w:tcPr>
            <w:tcW w:w="94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88.2</w:t>
            </w:r>
          </w:p>
        </w:tc>
        <w:tc>
          <w:tcPr>
            <w:tcW w:w="104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9"/>
        </w:trPr>
        <w:tc>
          <w:tcPr>
            <w:tcW w:w="4600" w:type="dxa"/>
            <w:vAlign w:val="bottom"/>
          </w:tcPr>
          <w:p>
            <w:pPr>
              <w:ind w:left="220"/>
              <w:spacing w:after="0"/>
              <w:rPr>
                <w:sz w:val="20"/>
                <w:szCs w:val="20"/>
                <w:color w:val="auto"/>
              </w:rPr>
            </w:pPr>
            <w:r>
              <w:rPr>
                <w:rFonts w:ascii="Arial" w:cs="Arial" w:eastAsia="Arial" w:hAnsi="Arial"/>
                <w:sz w:val="14"/>
                <w:szCs w:val="14"/>
                <w:color w:val="auto"/>
              </w:rPr>
              <w:t>Hardening (Miles)</w:t>
            </w: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600" w:type="dxa"/>
            <w:vAlign w:val="bottom"/>
            <w:tcBorders>
              <w:bottom w:val="single" w:sz="8" w:color="7F7F7F"/>
            </w:tcBorders>
          </w:tcPr>
          <w:p>
            <w:pPr>
              <w:spacing w:after="0"/>
              <w:rPr>
                <w:sz w:val="4"/>
                <w:szCs w:val="4"/>
                <w:color w:val="auto"/>
              </w:rPr>
            </w:pPr>
          </w:p>
        </w:tc>
        <w:tc>
          <w:tcPr>
            <w:tcW w:w="102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94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46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SDG&amp;E – Damage Prevention (Damages per USA Ticket Rate)</w:t>
            </w:r>
          </w:p>
        </w:tc>
        <w:tc>
          <w:tcPr>
            <w:tcW w:w="102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2%</w:t>
            </w:r>
          </w:p>
        </w:tc>
        <w:tc>
          <w:tcPr>
            <w:tcW w:w="1120" w:type="dxa"/>
            <w:vAlign w:val="bottom"/>
            <w:tcBorders>
              <w:bottom w:val="single" w:sz="8" w:color="F2F2F2"/>
            </w:tcBorders>
            <w:shd w:val="clear" w:color="auto" w:fill="F2F2F2"/>
          </w:tcPr>
          <w:p>
            <w:pPr>
              <w:jc w:val="right"/>
              <w:ind w:right="209"/>
              <w:spacing w:after="0"/>
              <w:rPr>
                <w:sz w:val="20"/>
                <w:szCs w:val="20"/>
                <w:color w:val="auto"/>
              </w:rPr>
            </w:pPr>
            <w:r>
              <w:rPr>
                <w:rFonts w:ascii="Arial" w:cs="Arial" w:eastAsia="Arial" w:hAnsi="Arial"/>
                <w:sz w:val="14"/>
                <w:szCs w:val="14"/>
                <w:color w:val="auto"/>
              </w:rPr>
              <w:t>1.32</w:t>
            </w:r>
          </w:p>
        </w:tc>
        <w:tc>
          <w:tcPr>
            <w:tcW w:w="1100" w:type="dxa"/>
            <w:vAlign w:val="bottom"/>
            <w:tcBorders>
              <w:bottom w:val="single" w:sz="8" w:color="F2F2F2"/>
            </w:tcBorders>
            <w:shd w:val="clear" w:color="auto" w:fill="F2F2F2"/>
          </w:tcPr>
          <w:p>
            <w:pPr>
              <w:jc w:val="right"/>
              <w:ind w:right="209"/>
              <w:spacing w:after="0"/>
              <w:rPr>
                <w:sz w:val="20"/>
                <w:szCs w:val="20"/>
                <w:color w:val="auto"/>
              </w:rPr>
            </w:pPr>
            <w:r>
              <w:rPr>
                <w:rFonts w:ascii="Arial" w:cs="Arial" w:eastAsia="Arial" w:hAnsi="Arial"/>
                <w:sz w:val="14"/>
                <w:szCs w:val="14"/>
                <w:color w:val="auto"/>
              </w:rPr>
              <w:t>1.25</w:t>
            </w:r>
          </w:p>
        </w:tc>
        <w:tc>
          <w:tcPr>
            <w:tcW w:w="110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1.20</w:t>
            </w:r>
          </w:p>
        </w:tc>
        <w:tc>
          <w:tcPr>
            <w:tcW w:w="94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1.18</w:t>
            </w:r>
          </w:p>
        </w:tc>
        <w:tc>
          <w:tcPr>
            <w:tcW w:w="104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27"/>
        </w:trPr>
        <w:tc>
          <w:tcPr>
            <w:tcW w:w="460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SoCalGas – A1 Gas Leak Order Response Time</w:t>
            </w:r>
          </w:p>
        </w:tc>
        <w:tc>
          <w:tcPr>
            <w:tcW w:w="102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2%</w:t>
            </w:r>
          </w:p>
        </w:tc>
        <w:tc>
          <w:tcPr>
            <w:tcW w:w="112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93.0%</w:t>
            </w:r>
          </w:p>
        </w:tc>
        <w:tc>
          <w:tcPr>
            <w:tcW w:w="110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93.5%</w:t>
            </w:r>
          </w:p>
        </w:tc>
        <w:tc>
          <w:tcPr>
            <w:tcW w:w="110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93.7%</w:t>
            </w:r>
          </w:p>
        </w:tc>
        <w:tc>
          <w:tcPr>
            <w:tcW w:w="9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94.9%</w:t>
            </w:r>
          </w:p>
        </w:tc>
        <w:tc>
          <w:tcPr>
            <w:tcW w:w="104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48"/>
        </w:trPr>
        <w:tc>
          <w:tcPr>
            <w:tcW w:w="4600" w:type="dxa"/>
            <w:vAlign w:val="bottom"/>
            <w:tcBorders>
              <w:bottom w:val="single" w:sz="8" w:color="7F7F7F"/>
            </w:tcBorders>
          </w:tcPr>
          <w:p>
            <w:pPr>
              <w:spacing w:after="0"/>
              <w:rPr>
                <w:sz w:val="4"/>
                <w:szCs w:val="4"/>
                <w:color w:val="auto"/>
              </w:rPr>
            </w:pPr>
          </w:p>
        </w:tc>
        <w:tc>
          <w:tcPr>
            <w:tcW w:w="1020" w:type="dxa"/>
            <w:vAlign w:val="bottom"/>
            <w:tcBorders>
              <w:bottom w:val="single" w:sz="8" w:color="7F7F7F"/>
            </w:tcBorders>
          </w:tcPr>
          <w:p>
            <w:pPr>
              <w:spacing w:after="0"/>
              <w:rPr>
                <w:sz w:val="4"/>
                <w:szCs w:val="4"/>
                <w:color w:val="auto"/>
              </w:rPr>
            </w:pPr>
          </w:p>
        </w:tc>
        <w:tc>
          <w:tcPr>
            <w:tcW w:w="112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1100" w:type="dxa"/>
            <w:vAlign w:val="bottom"/>
            <w:tcBorders>
              <w:bottom w:val="single" w:sz="8" w:color="7F7F7F"/>
            </w:tcBorders>
          </w:tcPr>
          <w:p>
            <w:pPr>
              <w:spacing w:after="0"/>
              <w:rPr>
                <w:sz w:val="4"/>
                <w:szCs w:val="4"/>
                <w:color w:val="auto"/>
              </w:rPr>
            </w:pPr>
          </w:p>
        </w:tc>
        <w:tc>
          <w:tcPr>
            <w:tcW w:w="940" w:type="dxa"/>
            <w:vAlign w:val="bottom"/>
            <w:tcBorders>
              <w:bottom w:val="single" w:sz="8" w:color="7F7F7F"/>
            </w:tcBorders>
          </w:tcPr>
          <w:p>
            <w:pPr>
              <w:spacing w:after="0"/>
              <w:rPr>
                <w:sz w:val="4"/>
                <w:szCs w:val="4"/>
                <w:color w:val="auto"/>
              </w:rPr>
            </w:pPr>
          </w:p>
        </w:tc>
        <w:tc>
          <w:tcPr>
            <w:tcW w:w="10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46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SoCalGas – Damage Prevention (Damages per USA Ticket Rate)</w:t>
            </w:r>
          </w:p>
        </w:tc>
        <w:tc>
          <w:tcPr>
            <w:tcW w:w="102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2%</w:t>
            </w:r>
          </w:p>
        </w:tc>
        <w:tc>
          <w:tcPr>
            <w:tcW w:w="1120" w:type="dxa"/>
            <w:vAlign w:val="bottom"/>
            <w:tcBorders>
              <w:bottom w:val="single" w:sz="8" w:color="F2F2F2"/>
            </w:tcBorders>
            <w:shd w:val="clear" w:color="auto" w:fill="F2F2F2"/>
          </w:tcPr>
          <w:p>
            <w:pPr>
              <w:jc w:val="right"/>
              <w:ind w:right="209"/>
              <w:spacing w:after="0"/>
              <w:rPr>
                <w:sz w:val="20"/>
                <w:szCs w:val="20"/>
                <w:color w:val="auto"/>
              </w:rPr>
            </w:pPr>
            <w:r>
              <w:rPr>
                <w:rFonts w:ascii="Arial" w:cs="Arial" w:eastAsia="Arial" w:hAnsi="Arial"/>
                <w:sz w:val="14"/>
                <w:szCs w:val="14"/>
                <w:color w:val="auto"/>
              </w:rPr>
              <w:t>2.37</w:t>
            </w:r>
          </w:p>
        </w:tc>
        <w:tc>
          <w:tcPr>
            <w:tcW w:w="1100" w:type="dxa"/>
            <w:vAlign w:val="bottom"/>
            <w:tcBorders>
              <w:bottom w:val="single" w:sz="8" w:color="F2F2F2"/>
            </w:tcBorders>
            <w:shd w:val="clear" w:color="auto" w:fill="F2F2F2"/>
          </w:tcPr>
          <w:p>
            <w:pPr>
              <w:jc w:val="right"/>
              <w:ind w:right="209"/>
              <w:spacing w:after="0"/>
              <w:rPr>
                <w:sz w:val="20"/>
                <w:szCs w:val="20"/>
                <w:color w:val="auto"/>
              </w:rPr>
            </w:pPr>
            <w:r>
              <w:rPr>
                <w:rFonts w:ascii="Arial" w:cs="Arial" w:eastAsia="Arial" w:hAnsi="Arial"/>
                <w:sz w:val="14"/>
                <w:szCs w:val="14"/>
                <w:color w:val="auto"/>
              </w:rPr>
              <w:t>2.15</w:t>
            </w:r>
          </w:p>
        </w:tc>
        <w:tc>
          <w:tcPr>
            <w:tcW w:w="110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2.04</w:t>
            </w:r>
          </w:p>
        </w:tc>
        <w:tc>
          <w:tcPr>
            <w:tcW w:w="94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2.05</w:t>
            </w:r>
          </w:p>
        </w:tc>
        <w:tc>
          <w:tcPr>
            <w:tcW w:w="104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74"/>
        </w:trPr>
        <w:tc>
          <w:tcPr>
            <w:tcW w:w="460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color w:val="auto"/>
              </w:rPr>
              <w:t>Employee Safety:</w:t>
            </w:r>
            <w:r>
              <w:rPr>
                <w:rFonts w:ascii="Arial" w:cs="Arial" w:eastAsia="Arial" w:hAnsi="Arial"/>
                <w:sz w:val="21"/>
                <w:szCs w:val="21"/>
                <w:color w:val="auto"/>
                <w:vertAlign w:val="superscript"/>
              </w:rPr>
              <w:t>(1)</w:t>
            </w:r>
          </w:p>
        </w:tc>
        <w:tc>
          <w:tcPr>
            <w:tcW w:w="1020" w:type="dxa"/>
            <w:vAlign w:val="bottom"/>
            <w:tcBorders>
              <w:top w:val="single" w:sz="8" w:color="7F7F7F"/>
              <w:bottom w:val="single" w:sz="8" w:color="7F7F7F"/>
            </w:tcBorders>
          </w:tcPr>
          <w:p>
            <w:pPr>
              <w:spacing w:after="0"/>
              <w:rPr>
                <w:sz w:val="23"/>
                <w:szCs w:val="23"/>
                <w:color w:val="auto"/>
              </w:rPr>
            </w:pPr>
          </w:p>
        </w:tc>
        <w:tc>
          <w:tcPr>
            <w:tcW w:w="1120" w:type="dxa"/>
            <w:vAlign w:val="bottom"/>
            <w:tcBorders>
              <w:top w:val="single" w:sz="8" w:color="7F7F7F"/>
              <w:bottom w:val="single" w:sz="8" w:color="7F7F7F"/>
            </w:tcBorders>
          </w:tcPr>
          <w:p>
            <w:pPr>
              <w:spacing w:after="0"/>
              <w:rPr>
                <w:sz w:val="23"/>
                <w:szCs w:val="23"/>
                <w:color w:val="auto"/>
              </w:rPr>
            </w:pPr>
          </w:p>
        </w:tc>
        <w:tc>
          <w:tcPr>
            <w:tcW w:w="1100" w:type="dxa"/>
            <w:vAlign w:val="bottom"/>
            <w:tcBorders>
              <w:top w:val="single" w:sz="8" w:color="7F7F7F"/>
              <w:bottom w:val="single" w:sz="8" w:color="7F7F7F"/>
            </w:tcBorders>
          </w:tcPr>
          <w:p>
            <w:pPr>
              <w:spacing w:after="0"/>
              <w:rPr>
                <w:sz w:val="23"/>
                <w:szCs w:val="23"/>
                <w:color w:val="auto"/>
              </w:rPr>
            </w:pPr>
          </w:p>
        </w:tc>
        <w:tc>
          <w:tcPr>
            <w:tcW w:w="1100" w:type="dxa"/>
            <w:vAlign w:val="bottom"/>
            <w:tcBorders>
              <w:top w:val="single" w:sz="8" w:color="7F7F7F"/>
              <w:bottom w:val="single" w:sz="8" w:color="7F7F7F"/>
            </w:tcBorders>
          </w:tcPr>
          <w:p>
            <w:pPr>
              <w:spacing w:after="0"/>
              <w:rPr>
                <w:sz w:val="23"/>
                <w:szCs w:val="23"/>
                <w:color w:val="auto"/>
              </w:rPr>
            </w:pPr>
          </w:p>
        </w:tc>
        <w:tc>
          <w:tcPr>
            <w:tcW w:w="940" w:type="dxa"/>
            <w:vAlign w:val="bottom"/>
            <w:tcBorders>
              <w:top w:val="single" w:sz="8" w:color="7F7F7F"/>
              <w:bottom w:val="single" w:sz="8" w:color="7F7F7F"/>
            </w:tcBorders>
          </w:tcPr>
          <w:p>
            <w:pPr>
              <w:spacing w:after="0"/>
              <w:rPr>
                <w:sz w:val="23"/>
                <w:szCs w:val="23"/>
                <w:color w:val="auto"/>
              </w:rPr>
            </w:pPr>
          </w:p>
        </w:tc>
        <w:tc>
          <w:tcPr>
            <w:tcW w:w="1040" w:type="dxa"/>
            <w:vAlign w:val="bottom"/>
            <w:tcBorders>
              <w:top w:val="single" w:sz="8" w:color="7F7F7F"/>
              <w:bottom w:val="single" w:sz="8" w:color="7F7F7F"/>
            </w:tcBorders>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460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Lost Time Incident Rate</w:t>
            </w:r>
          </w:p>
        </w:tc>
        <w:tc>
          <w:tcPr>
            <w:tcW w:w="102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4%</w:t>
            </w:r>
          </w:p>
        </w:tc>
        <w:tc>
          <w:tcPr>
            <w:tcW w:w="1120" w:type="dxa"/>
            <w:vAlign w:val="bottom"/>
            <w:tcBorders>
              <w:bottom w:val="single" w:sz="8" w:color="F2F2F2"/>
            </w:tcBorders>
            <w:shd w:val="clear" w:color="auto" w:fill="F2F2F2"/>
          </w:tcPr>
          <w:p>
            <w:pPr>
              <w:jc w:val="right"/>
              <w:ind w:right="209"/>
              <w:spacing w:after="0"/>
              <w:rPr>
                <w:sz w:val="20"/>
                <w:szCs w:val="20"/>
                <w:color w:val="auto"/>
              </w:rPr>
            </w:pPr>
            <w:r>
              <w:rPr>
                <w:rFonts w:ascii="Arial" w:cs="Arial" w:eastAsia="Arial" w:hAnsi="Arial"/>
                <w:sz w:val="14"/>
                <w:szCs w:val="14"/>
                <w:color w:val="auto"/>
              </w:rPr>
              <w:t>0.56</w:t>
            </w:r>
          </w:p>
        </w:tc>
        <w:tc>
          <w:tcPr>
            <w:tcW w:w="1100" w:type="dxa"/>
            <w:vAlign w:val="bottom"/>
            <w:tcBorders>
              <w:bottom w:val="single" w:sz="8" w:color="F2F2F2"/>
            </w:tcBorders>
            <w:shd w:val="clear" w:color="auto" w:fill="F2F2F2"/>
          </w:tcPr>
          <w:p>
            <w:pPr>
              <w:jc w:val="right"/>
              <w:ind w:right="209"/>
              <w:spacing w:after="0"/>
              <w:rPr>
                <w:sz w:val="20"/>
                <w:szCs w:val="20"/>
                <w:color w:val="auto"/>
              </w:rPr>
            </w:pPr>
            <w:r>
              <w:rPr>
                <w:rFonts w:ascii="Arial" w:cs="Arial" w:eastAsia="Arial" w:hAnsi="Arial"/>
                <w:sz w:val="14"/>
                <w:szCs w:val="14"/>
                <w:color w:val="auto"/>
              </w:rPr>
              <w:t>0.46</w:t>
            </w:r>
          </w:p>
        </w:tc>
        <w:tc>
          <w:tcPr>
            <w:tcW w:w="1100" w:type="dxa"/>
            <w:vAlign w:val="bottom"/>
            <w:tcBorders>
              <w:bottom w:val="single" w:sz="8" w:color="F2F2F2"/>
            </w:tcBorders>
            <w:shd w:val="clear" w:color="auto" w:fill="F2F2F2"/>
          </w:tcPr>
          <w:p>
            <w:pPr>
              <w:jc w:val="right"/>
              <w:ind w:right="229"/>
              <w:spacing w:after="0"/>
              <w:rPr>
                <w:sz w:val="20"/>
                <w:szCs w:val="20"/>
                <w:color w:val="auto"/>
              </w:rPr>
            </w:pPr>
            <w:r>
              <w:rPr>
                <w:rFonts w:ascii="Arial" w:cs="Arial" w:eastAsia="Arial" w:hAnsi="Arial"/>
                <w:sz w:val="14"/>
                <w:szCs w:val="14"/>
                <w:color w:val="auto"/>
              </w:rPr>
              <w:t>0.27</w:t>
            </w:r>
          </w:p>
        </w:tc>
        <w:tc>
          <w:tcPr>
            <w:tcW w:w="94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0.37</w:t>
            </w:r>
          </w:p>
        </w:tc>
        <w:tc>
          <w:tcPr>
            <w:tcW w:w="104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4"/>
        </w:trPr>
        <w:tc>
          <w:tcPr>
            <w:tcW w:w="460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b w:val="1"/>
                <w:bCs w:val="1"/>
                <w:color w:val="005CB9"/>
              </w:rPr>
              <w:t>RBP Measures:</w:t>
            </w:r>
            <w:r>
              <w:rPr>
                <w:rFonts w:ascii="Arial" w:cs="Arial" w:eastAsia="Arial" w:hAnsi="Arial"/>
                <w:sz w:val="21"/>
                <w:szCs w:val="21"/>
                <w:b w:val="1"/>
                <w:bCs w:val="1"/>
                <w:color w:val="005CB9"/>
                <w:vertAlign w:val="superscript"/>
              </w:rPr>
              <w:t>(2)</w:t>
            </w:r>
          </w:p>
        </w:tc>
        <w:tc>
          <w:tcPr>
            <w:tcW w:w="1020" w:type="dxa"/>
            <w:vAlign w:val="bottom"/>
            <w:tcBorders>
              <w:top w:val="single" w:sz="8" w:color="7F7F7F"/>
              <w:bottom w:val="single" w:sz="8" w:color="7F7F7F"/>
            </w:tcBorders>
          </w:tcPr>
          <w:p>
            <w:pPr>
              <w:spacing w:after="0"/>
              <w:rPr>
                <w:sz w:val="23"/>
                <w:szCs w:val="23"/>
                <w:color w:val="auto"/>
              </w:rPr>
            </w:pPr>
          </w:p>
        </w:tc>
        <w:tc>
          <w:tcPr>
            <w:tcW w:w="1120" w:type="dxa"/>
            <w:vAlign w:val="bottom"/>
            <w:tcBorders>
              <w:top w:val="single" w:sz="8" w:color="7F7F7F"/>
              <w:bottom w:val="single" w:sz="8" w:color="7F7F7F"/>
            </w:tcBorders>
          </w:tcPr>
          <w:p>
            <w:pPr>
              <w:spacing w:after="0"/>
              <w:rPr>
                <w:sz w:val="23"/>
                <w:szCs w:val="23"/>
                <w:color w:val="auto"/>
              </w:rPr>
            </w:pPr>
          </w:p>
        </w:tc>
        <w:tc>
          <w:tcPr>
            <w:tcW w:w="1100" w:type="dxa"/>
            <w:vAlign w:val="bottom"/>
            <w:tcBorders>
              <w:top w:val="single" w:sz="8" w:color="7F7F7F"/>
              <w:bottom w:val="single" w:sz="8" w:color="7F7F7F"/>
            </w:tcBorders>
          </w:tcPr>
          <w:p>
            <w:pPr>
              <w:spacing w:after="0"/>
              <w:rPr>
                <w:sz w:val="23"/>
                <w:szCs w:val="23"/>
                <w:color w:val="auto"/>
              </w:rPr>
            </w:pPr>
          </w:p>
        </w:tc>
        <w:tc>
          <w:tcPr>
            <w:tcW w:w="1100" w:type="dxa"/>
            <w:vAlign w:val="bottom"/>
            <w:tcBorders>
              <w:top w:val="single" w:sz="8" w:color="7F7F7F"/>
              <w:bottom w:val="single" w:sz="8" w:color="7F7F7F"/>
            </w:tcBorders>
          </w:tcPr>
          <w:p>
            <w:pPr>
              <w:spacing w:after="0"/>
              <w:rPr>
                <w:sz w:val="23"/>
                <w:szCs w:val="23"/>
                <w:color w:val="auto"/>
              </w:rPr>
            </w:pPr>
          </w:p>
        </w:tc>
        <w:tc>
          <w:tcPr>
            <w:tcW w:w="940" w:type="dxa"/>
            <w:vAlign w:val="bottom"/>
            <w:tcBorders>
              <w:top w:val="single" w:sz="8" w:color="7F7F7F"/>
              <w:bottom w:val="single" w:sz="8" w:color="7F7F7F"/>
            </w:tcBorders>
          </w:tcPr>
          <w:p>
            <w:pPr>
              <w:spacing w:after="0"/>
              <w:rPr>
                <w:sz w:val="23"/>
                <w:szCs w:val="23"/>
                <w:color w:val="auto"/>
              </w:rPr>
            </w:pPr>
          </w:p>
        </w:tc>
        <w:tc>
          <w:tcPr>
            <w:tcW w:w="1040" w:type="dxa"/>
            <w:vAlign w:val="bottom"/>
            <w:tcBorders>
              <w:top w:val="single" w:sz="8" w:color="7F7F7F"/>
              <w:bottom w:val="single" w:sz="8" w:color="7F7F7F"/>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F2F2F2"/>
          </w:tcPr>
          <w:p>
            <w:pPr>
              <w:ind w:left="80"/>
              <w:spacing w:after="0"/>
              <w:rPr>
                <w:sz w:val="20"/>
                <w:szCs w:val="20"/>
                <w:color w:val="auto"/>
              </w:rPr>
            </w:pPr>
            <w:r>
              <w:rPr>
                <w:rFonts w:ascii="Arial" w:cs="Arial" w:eastAsia="Arial" w:hAnsi="Arial"/>
                <w:sz w:val="14"/>
                <w:szCs w:val="14"/>
                <w:color w:val="auto"/>
              </w:rPr>
              <w:t>Risk Management – Cybersecurity (Social Engineering Simulation</w:t>
            </w:r>
          </w:p>
        </w:tc>
        <w:tc>
          <w:tcPr>
            <w:tcW w:w="102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4%</w:t>
            </w:r>
          </w:p>
        </w:tc>
        <w:tc>
          <w:tcPr>
            <w:tcW w:w="1120" w:type="dxa"/>
            <w:vAlign w:val="bottom"/>
            <w:shd w:val="clear" w:color="auto" w:fill="F2F2F2"/>
          </w:tcPr>
          <w:p>
            <w:pPr>
              <w:jc w:val="right"/>
              <w:ind w:right="89"/>
              <w:spacing w:after="0"/>
              <w:rPr>
                <w:sz w:val="20"/>
                <w:szCs w:val="20"/>
                <w:color w:val="auto"/>
              </w:rPr>
            </w:pPr>
            <w:r>
              <w:rPr>
                <w:rFonts w:ascii="Arial" w:cs="Arial" w:eastAsia="Arial" w:hAnsi="Arial"/>
                <w:sz w:val="14"/>
                <w:szCs w:val="14"/>
                <w:color w:val="auto"/>
              </w:rPr>
              <w:t>6%</w:t>
            </w:r>
          </w:p>
        </w:tc>
        <w:tc>
          <w:tcPr>
            <w:tcW w:w="1100" w:type="dxa"/>
            <w:vAlign w:val="bottom"/>
            <w:shd w:val="clear" w:color="auto" w:fill="F2F2F2"/>
          </w:tcPr>
          <w:p>
            <w:pPr>
              <w:jc w:val="right"/>
              <w:ind w:right="89"/>
              <w:spacing w:after="0"/>
              <w:rPr>
                <w:sz w:val="20"/>
                <w:szCs w:val="20"/>
                <w:color w:val="auto"/>
              </w:rPr>
            </w:pPr>
            <w:r>
              <w:rPr>
                <w:rFonts w:ascii="Arial" w:cs="Arial" w:eastAsia="Arial" w:hAnsi="Arial"/>
                <w:sz w:val="14"/>
                <w:szCs w:val="14"/>
                <w:color w:val="auto"/>
              </w:rPr>
              <w:t>5%</w:t>
            </w:r>
          </w:p>
        </w:tc>
        <w:tc>
          <w:tcPr>
            <w:tcW w:w="1100" w:type="dxa"/>
            <w:vAlign w:val="bottom"/>
            <w:shd w:val="clear" w:color="auto" w:fill="F2F2F2"/>
          </w:tcPr>
          <w:p>
            <w:pPr>
              <w:jc w:val="right"/>
              <w:ind w:right="89"/>
              <w:spacing w:after="0"/>
              <w:rPr>
                <w:sz w:val="20"/>
                <w:szCs w:val="20"/>
                <w:color w:val="auto"/>
              </w:rPr>
            </w:pPr>
            <w:r>
              <w:rPr>
                <w:rFonts w:ascii="Arial" w:cs="Arial" w:eastAsia="Arial" w:hAnsi="Arial"/>
                <w:sz w:val="14"/>
                <w:szCs w:val="14"/>
                <w:color w:val="auto"/>
              </w:rPr>
              <w:t>4%</w:t>
            </w:r>
          </w:p>
        </w:tc>
        <w:tc>
          <w:tcPr>
            <w:tcW w:w="940" w:type="dxa"/>
            <w:vAlign w:val="bottom"/>
            <w:shd w:val="clear" w:color="auto" w:fill="F2F2F2"/>
          </w:tcPr>
          <w:p>
            <w:pPr>
              <w:jc w:val="right"/>
              <w:spacing w:after="0"/>
              <w:rPr>
                <w:sz w:val="20"/>
                <w:szCs w:val="20"/>
                <w:color w:val="auto"/>
              </w:rPr>
            </w:pPr>
            <w:r>
              <w:rPr>
                <w:rFonts w:ascii="Arial" w:cs="Arial" w:eastAsia="Arial" w:hAnsi="Arial"/>
                <w:sz w:val="14"/>
                <w:szCs w:val="14"/>
                <w:color w:val="auto"/>
              </w:rPr>
              <w:t>1.2%</w:t>
            </w:r>
          </w:p>
        </w:tc>
        <w:tc>
          <w:tcPr>
            <w:tcW w:w="1040" w:type="dxa"/>
            <w:vAlign w:val="bottom"/>
            <w:shd w:val="clear" w:color="auto" w:fill="F2F2F2"/>
          </w:tcPr>
          <w:p>
            <w:pPr>
              <w:jc w:val="right"/>
              <w:ind w:right="8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42"/>
        </w:trPr>
        <w:tc>
          <w:tcPr>
            <w:tcW w:w="46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Failure Rate)</w:t>
            </w:r>
          </w:p>
        </w:tc>
        <w:tc>
          <w:tcPr>
            <w:tcW w:w="1020" w:type="dxa"/>
            <w:vAlign w:val="bottom"/>
            <w:tcBorders>
              <w:bottom w:val="single" w:sz="8" w:color="F2F2F2"/>
            </w:tcBorders>
            <w:shd w:val="clear" w:color="auto" w:fill="F2F2F2"/>
          </w:tcPr>
          <w:p>
            <w:pPr>
              <w:spacing w:after="0"/>
              <w:rPr>
                <w:sz w:val="20"/>
                <w:szCs w:val="20"/>
                <w:color w:val="auto"/>
              </w:rPr>
            </w:pPr>
          </w:p>
        </w:tc>
        <w:tc>
          <w:tcPr>
            <w:tcW w:w="1120" w:type="dxa"/>
            <w:vAlign w:val="bottom"/>
            <w:tcBorders>
              <w:bottom w:val="single" w:sz="8" w:color="F2F2F2"/>
            </w:tcBorders>
            <w:shd w:val="clear" w:color="auto" w:fill="F2F2F2"/>
          </w:tcPr>
          <w:p>
            <w:pPr>
              <w:spacing w:after="0"/>
              <w:rPr>
                <w:sz w:val="20"/>
                <w:szCs w:val="20"/>
                <w:color w:val="auto"/>
              </w:rPr>
            </w:pPr>
          </w:p>
        </w:tc>
        <w:tc>
          <w:tcPr>
            <w:tcW w:w="1100" w:type="dxa"/>
            <w:vAlign w:val="bottom"/>
            <w:tcBorders>
              <w:bottom w:val="single" w:sz="8" w:color="F2F2F2"/>
            </w:tcBorders>
            <w:shd w:val="clear" w:color="auto" w:fill="F2F2F2"/>
          </w:tcPr>
          <w:p>
            <w:pPr>
              <w:spacing w:after="0"/>
              <w:rPr>
                <w:sz w:val="20"/>
                <w:szCs w:val="20"/>
                <w:color w:val="auto"/>
              </w:rPr>
            </w:pPr>
          </w:p>
        </w:tc>
        <w:tc>
          <w:tcPr>
            <w:tcW w:w="1100" w:type="dxa"/>
            <w:vAlign w:val="bottom"/>
            <w:tcBorders>
              <w:bottom w:val="single" w:sz="8" w:color="F2F2F2"/>
            </w:tcBorders>
            <w:shd w:val="clear" w:color="auto" w:fill="F2F2F2"/>
          </w:tcPr>
          <w:p>
            <w:pPr>
              <w:spacing w:after="0"/>
              <w:rPr>
                <w:sz w:val="20"/>
                <w:szCs w:val="20"/>
                <w:color w:val="auto"/>
              </w:rPr>
            </w:pPr>
          </w:p>
        </w:tc>
        <w:tc>
          <w:tcPr>
            <w:tcW w:w="940" w:type="dxa"/>
            <w:vAlign w:val="bottom"/>
            <w:tcBorders>
              <w:bottom w:val="single" w:sz="8" w:color="F2F2F2"/>
            </w:tcBorders>
            <w:shd w:val="clear" w:color="auto" w:fill="F2F2F2"/>
          </w:tcPr>
          <w:p>
            <w:pPr>
              <w:spacing w:after="0"/>
              <w:rPr>
                <w:sz w:val="20"/>
                <w:szCs w:val="20"/>
                <w:color w:val="auto"/>
              </w:rPr>
            </w:pPr>
          </w:p>
        </w:tc>
        <w:tc>
          <w:tcPr>
            <w:tcW w:w="1040" w:type="dxa"/>
            <w:vAlign w:val="bottom"/>
            <w:tcBorders>
              <w:bottom w:val="single" w:sz="8" w:color="F2F2F2"/>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0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High Performance Culture – Employee Engagement (Engagement</w:t>
            </w:r>
          </w:p>
        </w:tc>
        <w:tc>
          <w:tcPr>
            <w:tcW w:w="102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4%</w:t>
            </w:r>
          </w:p>
        </w:tc>
        <w:tc>
          <w:tcPr>
            <w:tcW w:w="1120" w:type="dxa"/>
            <w:vAlign w:val="bottom"/>
            <w:tcBorders>
              <w:top w:val="single" w:sz="8" w:color="7F7F7F"/>
            </w:tcBorders>
          </w:tcPr>
          <w:p>
            <w:pPr>
              <w:jc w:val="right"/>
              <w:ind w:right="409"/>
              <w:spacing w:after="0" w:line="198" w:lineRule="exact"/>
              <w:rPr>
                <w:sz w:val="20"/>
                <w:szCs w:val="20"/>
                <w:color w:val="auto"/>
              </w:rPr>
            </w:pPr>
            <w:r>
              <w:rPr>
                <w:rFonts w:ascii="Arial" w:cs="Arial" w:eastAsia="Arial" w:hAnsi="Arial"/>
                <w:sz w:val="14"/>
                <w:szCs w:val="14"/>
                <w:color w:val="auto"/>
              </w:rPr>
              <w:t>60</w:t>
            </w:r>
            <w:r>
              <w:rPr>
                <w:rFonts w:ascii="Arial" w:cs="Arial" w:eastAsia="Arial" w:hAnsi="Arial"/>
                <w:sz w:val="21"/>
                <w:szCs w:val="21"/>
                <w:color w:val="auto"/>
                <w:vertAlign w:val="superscript"/>
              </w:rPr>
              <w:t>th</w:t>
            </w:r>
          </w:p>
        </w:tc>
        <w:tc>
          <w:tcPr>
            <w:tcW w:w="1100" w:type="dxa"/>
            <w:vAlign w:val="bottom"/>
            <w:tcBorders>
              <w:top w:val="single" w:sz="8" w:color="7F7F7F"/>
            </w:tcBorders>
          </w:tcPr>
          <w:p>
            <w:pPr>
              <w:jc w:val="right"/>
              <w:ind w:right="409"/>
              <w:spacing w:after="0" w:line="198" w:lineRule="exact"/>
              <w:rPr>
                <w:sz w:val="20"/>
                <w:szCs w:val="20"/>
                <w:color w:val="auto"/>
              </w:rPr>
            </w:pPr>
            <w:r>
              <w:rPr>
                <w:rFonts w:ascii="Arial" w:cs="Arial" w:eastAsia="Arial" w:hAnsi="Arial"/>
                <w:sz w:val="14"/>
                <w:szCs w:val="14"/>
                <w:color w:val="auto"/>
              </w:rPr>
              <w:t>75</w:t>
            </w:r>
            <w:r>
              <w:rPr>
                <w:rFonts w:ascii="Arial" w:cs="Arial" w:eastAsia="Arial" w:hAnsi="Arial"/>
                <w:sz w:val="21"/>
                <w:szCs w:val="21"/>
                <w:color w:val="auto"/>
                <w:vertAlign w:val="superscript"/>
              </w:rPr>
              <w:t>th</w:t>
            </w:r>
          </w:p>
        </w:tc>
        <w:tc>
          <w:tcPr>
            <w:tcW w:w="1100" w:type="dxa"/>
            <w:vAlign w:val="bottom"/>
            <w:tcBorders>
              <w:top w:val="single" w:sz="8" w:color="7F7F7F"/>
            </w:tcBorders>
          </w:tcPr>
          <w:p>
            <w:pPr>
              <w:jc w:val="right"/>
              <w:ind w:right="429"/>
              <w:spacing w:after="0" w:line="198" w:lineRule="exact"/>
              <w:rPr>
                <w:sz w:val="20"/>
                <w:szCs w:val="20"/>
                <w:color w:val="auto"/>
              </w:rPr>
            </w:pPr>
            <w:r>
              <w:rPr>
                <w:rFonts w:ascii="Arial" w:cs="Arial" w:eastAsia="Arial" w:hAnsi="Arial"/>
                <w:sz w:val="14"/>
                <w:szCs w:val="14"/>
                <w:color w:val="auto"/>
              </w:rPr>
              <w:t>90</w:t>
            </w:r>
            <w:r>
              <w:rPr>
                <w:rFonts w:ascii="Arial" w:cs="Arial" w:eastAsia="Arial" w:hAnsi="Arial"/>
                <w:sz w:val="21"/>
                <w:szCs w:val="21"/>
                <w:color w:val="auto"/>
                <w:vertAlign w:val="superscript"/>
              </w:rPr>
              <w:t>th</w:t>
            </w:r>
          </w:p>
        </w:tc>
        <w:tc>
          <w:tcPr>
            <w:tcW w:w="940" w:type="dxa"/>
            <w:vAlign w:val="bottom"/>
            <w:tcBorders>
              <w:top w:val="single" w:sz="8" w:color="7F7F7F"/>
            </w:tcBorders>
          </w:tcPr>
          <w:p>
            <w:pPr>
              <w:jc w:val="right"/>
              <w:ind w:right="269"/>
              <w:spacing w:after="0" w:line="198" w:lineRule="exact"/>
              <w:rPr>
                <w:sz w:val="20"/>
                <w:szCs w:val="20"/>
                <w:color w:val="auto"/>
              </w:rPr>
            </w:pPr>
            <w:r>
              <w:rPr>
                <w:rFonts w:ascii="Arial" w:cs="Arial" w:eastAsia="Arial" w:hAnsi="Arial"/>
                <w:sz w:val="14"/>
                <w:szCs w:val="14"/>
                <w:color w:val="auto"/>
              </w:rPr>
              <w:t>64</w:t>
            </w:r>
            <w:r>
              <w:rPr>
                <w:rFonts w:ascii="Arial" w:cs="Arial" w:eastAsia="Arial" w:hAnsi="Arial"/>
                <w:sz w:val="21"/>
                <w:szCs w:val="21"/>
                <w:color w:val="auto"/>
                <w:vertAlign w:val="superscript"/>
              </w:rPr>
              <w:t>th</w:t>
            </w:r>
          </w:p>
        </w:tc>
        <w:tc>
          <w:tcPr>
            <w:tcW w:w="104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9"/>
        </w:trPr>
        <w:tc>
          <w:tcPr>
            <w:tcW w:w="4600" w:type="dxa"/>
            <w:vAlign w:val="bottom"/>
          </w:tcPr>
          <w:p>
            <w:pPr>
              <w:ind w:left="80"/>
              <w:spacing w:after="0"/>
              <w:rPr>
                <w:sz w:val="20"/>
                <w:szCs w:val="20"/>
                <w:color w:val="auto"/>
              </w:rPr>
            </w:pPr>
            <w:r>
              <w:rPr>
                <w:rFonts w:ascii="Arial" w:cs="Arial" w:eastAsia="Arial" w:hAnsi="Arial"/>
                <w:sz w:val="14"/>
                <w:szCs w:val="14"/>
                <w:color w:val="auto"/>
              </w:rPr>
              <w:t>Survey Results vs. Benchmark)</w:t>
            </w:r>
          </w:p>
        </w:tc>
        <w:tc>
          <w:tcPr>
            <w:tcW w:w="1020" w:type="dxa"/>
            <w:vAlign w:val="bottom"/>
          </w:tcPr>
          <w:p>
            <w:pPr>
              <w:spacing w:after="0"/>
              <w:rPr>
                <w:sz w:val="16"/>
                <w:szCs w:val="16"/>
                <w:color w:val="auto"/>
              </w:rPr>
            </w:pP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Percentile</w:t>
            </w:r>
          </w:p>
        </w:tc>
        <w:tc>
          <w:tcPr>
            <w:tcW w:w="1100" w:type="dxa"/>
            <w:vAlign w:val="bottom"/>
          </w:tcPr>
          <w:p>
            <w:pPr>
              <w:jc w:val="right"/>
              <w:ind w:right="209"/>
              <w:spacing w:after="0"/>
              <w:rPr>
                <w:sz w:val="20"/>
                <w:szCs w:val="20"/>
                <w:color w:val="auto"/>
              </w:rPr>
            </w:pPr>
            <w:r>
              <w:rPr>
                <w:rFonts w:ascii="Arial" w:cs="Arial" w:eastAsia="Arial" w:hAnsi="Arial"/>
                <w:sz w:val="14"/>
                <w:szCs w:val="14"/>
                <w:color w:val="auto"/>
              </w:rPr>
              <w:t>Percentile</w:t>
            </w:r>
          </w:p>
        </w:tc>
        <w:tc>
          <w:tcPr>
            <w:tcW w:w="1100" w:type="dxa"/>
            <w:vAlign w:val="bottom"/>
          </w:tcPr>
          <w:p>
            <w:pPr>
              <w:jc w:val="right"/>
              <w:ind w:right="229"/>
              <w:spacing w:after="0"/>
              <w:rPr>
                <w:sz w:val="20"/>
                <w:szCs w:val="20"/>
                <w:color w:val="auto"/>
              </w:rPr>
            </w:pPr>
            <w:r>
              <w:rPr>
                <w:rFonts w:ascii="Arial" w:cs="Arial" w:eastAsia="Arial" w:hAnsi="Arial"/>
                <w:sz w:val="14"/>
                <w:szCs w:val="14"/>
                <w:color w:val="auto"/>
              </w:rPr>
              <w:t>Percentile</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Percentile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600" w:type="dxa"/>
            <w:vAlign w:val="bottom"/>
            <w:tcBorders>
              <w:bottom w:val="single" w:sz="8" w:color="7F7F7F"/>
            </w:tcBorders>
          </w:tcPr>
          <w:p>
            <w:pPr>
              <w:spacing w:after="0"/>
              <w:rPr>
                <w:sz w:val="5"/>
                <w:szCs w:val="5"/>
                <w:color w:val="auto"/>
              </w:rPr>
            </w:pPr>
          </w:p>
        </w:tc>
        <w:tc>
          <w:tcPr>
            <w:tcW w:w="1020" w:type="dxa"/>
            <w:vAlign w:val="bottom"/>
            <w:tcBorders>
              <w:bottom w:val="single" w:sz="8" w:color="7F7F7F"/>
            </w:tcBorders>
          </w:tcPr>
          <w:p>
            <w:pPr>
              <w:spacing w:after="0"/>
              <w:rPr>
                <w:sz w:val="5"/>
                <w:szCs w:val="5"/>
                <w:color w:val="auto"/>
              </w:rPr>
            </w:pPr>
          </w:p>
        </w:tc>
        <w:tc>
          <w:tcPr>
            <w:tcW w:w="112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1100" w:type="dxa"/>
            <w:vAlign w:val="bottom"/>
            <w:tcBorders>
              <w:bottom w:val="single" w:sz="8" w:color="7F7F7F"/>
            </w:tcBorders>
          </w:tcPr>
          <w:p>
            <w:pPr>
              <w:spacing w:after="0"/>
              <w:rPr>
                <w:sz w:val="5"/>
                <w:szCs w:val="5"/>
                <w:color w:val="auto"/>
              </w:rPr>
            </w:pPr>
          </w:p>
        </w:tc>
        <w:tc>
          <w:tcPr>
            <w:tcW w:w="940" w:type="dxa"/>
            <w:vAlign w:val="bottom"/>
            <w:tcBorders>
              <w:bottom w:val="single" w:sz="8" w:color="7F7F7F"/>
            </w:tcBorders>
          </w:tcPr>
          <w:p>
            <w:pPr>
              <w:spacing w:after="0"/>
              <w:rPr>
                <w:sz w:val="5"/>
                <w:szCs w:val="5"/>
                <w:color w:val="auto"/>
              </w:rPr>
            </w:pPr>
          </w:p>
        </w:tc>
        <w:tc>
          <w:tcPr>
            <w:tcW w:w="104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46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005CB9"/>
              </w:rPr>
              <w:t>TOTAL</w:t>
            </w:r>
          </w:p>
        </w:tc>
        <w:tc>
          <w:tcPr>
            <w:tcW w:w="102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100%</w:t>
            </w:r>
          </w:p>
        </w:tc>
        <w:tc>
          <w:tcPr>
            <w:tcW w:w="1120" w:type="dxa"/>
            <w:vAlign w:val="bottom"/>
            <w:tcBorders>
              <w:bottom w:val="single" w:sz="8" w:color="F2F2F2"/>
            </w:tcBorders>
            <w:shd w:val="clear" w:color="auto" w:fill="F2F2F2"/>
          </w:tcPr>
          <w:p>
            <w:pPr>
              <w:spacing w:after="0"/>
              <w:rPr>
                <w:sz w:val="22"/>
                <w:szCs w:val="22"/>
                <w:color w:val="auto"/>
              </w:rPr>
            </w:pPr>
          </w:p>
        </w:tc>
        <w:tc>
          <w:tcPr>
            <w:tcW w:w="1100" w:type="dxa"/>
            <w:vAlign w:val="bottom"/>
            <w:tcBorders>
              <w:bottom w:val="single" w:sz="8" w:color="F2F2F2"/>
            </w:tcBorders>
            <w:shd w:val="clear" w:color="auto" w:fill="F2F2F2"/>
          </w:tcPr>
          <w:p>
            <w:pPr>
              <w:spacing w:after="0"/>
              <w:rPr>
                <w:sz w:val="22"/>
                <w:szCs w:val="22"/>
                <w:color w:val="auto"/>
              </w:rPr>
            </w:pPr>
          </w:p>
        </w:tc>
        <w:tc>
          <w:tcPr>
            <w:tcW w:w="1100" w:type="dxa"/>
            <w:vAlign w:val="bottom"/>
            <w:tcBorders>
              <w:bottom w:val="single" w:sz="8" w:color="F2F2F2"/>
            </w:tcBorders>
            <w:shd w:val="clear" w:color="auto" w:fill="F2F2F2"/>
          </w:tcPr>
          <w:p>
            <w:pPr>
              <w:spacing w:after="0"/>
              <w:rPr>
                <w:sz w:val="22"/>
                <w:szCs w:val="22"/>
                <w:color w:val="auto"/>
              </w:rPr>
            </w:pPr>
          </w:p>
        </w:tc>
        <w:tc>
          <w:tcPr>
            <w:tcW w:w="940" w:type="dxa"/>
            <w:vAlign w:val="bottom"/>
            <w:tcBorders>
              <w:bottom w:val="single" w:sz="8" w:color="F2F2F2"/>
            </w:tcBorders>
            <w:shd w:val="clear" w:color="auto" w:fill="F2F2F2"/>
          </w:tcPr>
          <w:p>
            <w:pPr>
              <w:spacing w:after="0"/>
              <w:rPr>
                <w:sz w:val="22"/>
                <w:szCs w:val="22"/>
                <w:color w:val="auto"/>
              </w:rPr>
            </w:pPr>
          </w:p>
        </w:tc>
        <w:tc>
          <w:tcPr>
            <w:tcW w:w="104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172.79%</w:t>
            </w:r>
          </w:p>
        </w:tc>
        <w:tc>
          <w:tcPr>
            <w:tcW w:w="0" w:type="dxa"/>
            <w:vAlign w:val="bottom"/>
          </w:tcPr>
          <w:p>
            <w:pPr>
              <w:spacing w:after="0"/>
              <w:rPr>
                <w:sz w:val="1"/>
                <w:szCs w:val="1"/>
                <w:color w:val="auto"/>
              </w:rPr>
            </w:pPr>
          </w:p>
        </w:tc>
      </w:tr>
      <w:tr>
        <w:trPr>
          <w:trHeight w:val="20"/>
        </w:trPr>
        <w:tc>
          <w:tcPr>
            <w:tcW w:w="4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3757930</wp:posOffset>
            </wp:positionH>
            <wp:positionV relativeFrom="paragraph">
              <wp:posOffset>-3158490</wp:posOffset>
            </wp:positionV>
            <wp:extent cx="19189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918970" cy="8255"/>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11</w:t>
      </w:r>
    </w:p>
    <w:p>
      <w:pPr>
        <w:spacing w:after="0" w:line="36" w:lineRule="exact"/>
        <w:rPr>
          <w:sz w:val="20"/>
          <w:szCs w:val="20"/>
          <w:color w:val="auto"/>
        </w:rPr>
      </w:pPr>
    </w:p>
    <w:p>
      <w:pPr>
        <w:ind w:left="480" w:right="180" w:hanging="313"/>
        <w:spacing w:after="0" w:line="267" w:lineRule="auto"/>
        <w:tabs>
          <w:tab w:leader="none" w:pos="4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Data includes Sempra, SDG&amp;E, SoCalGas, Sempra Infrastructure and Oncor. The formulaic results for the employee safety measure were 0.37, or 147% of target. The committee exercised negative discretion to reduce the payout for this measure by 50% in light of contractor safety performance.</w:t>
      </w:r>
    </w:p>
    <w:p>
      <w:pPr>
        <w:ind w:left="480" w:hanging="313"/>
        <w:spacing w:after="0"/>
        <w:tabs>
          <w:tab w:leader="none" w:pos="4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Data includes Sempra, SDG&amp;E, SoCalGas and Sempra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56               </w:t>
      </w:r>
      <w:r>
        <w:rPr>
          <w:sz w:val="1"/>
          <w:szCs w:val="1"/>
          <w:color w:val="auto"/>
        </w:rPr>
        <w:drawing>
          <wp:inline distT="0" distB="0" distL="0" distR="0">
            <wp:extent cx="739140" cy="153035"/>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1"/>
          <w:szCs w:val="11"/>
          <w:b w:val="1"/>
          <w:bCs w:val="1"/>
          <w:color w:val="7F7F7F"/>
        </w:rPr>
        <w:t>Executive Compensation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Reconciliation of GAAP Earnings to ABP Earnings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 reconciliation of 2025 GAAP earnings to ABP Earnings is provided in Table 12. The predefined adjustments were established when the 2025 ABP Earnings target was set.</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For additional information about the adjustments made to GAAP earnings to calculate ABP Earnings, see Appendix B to this proxy statement.</w:t>
      </w:r>
    </w:p>
    <w:p>
      <w:pPr>
        <w:spacing w:after="0" w:line="236" w:lineRule="exact"/>
        <w:rPr>
          <w:sz w:val="20"/>
          <w:szCs w:val="20"/>
          <w:color w:val="auto"/>
        </w:rPr>
      </w:pPr>
    </w:p>
    <w:tbl>
      <w:tblPr>
        <w:tblLayout w:type="fixed"/>
        <w:tblInd w:w="160" w:type="dxa"/>
        <w:tblCellMar>
          <w:top w:w="0" w:type="dxa"/>
          <w:left w:w="0" w:type="dxa"/>
          <w:bottom w:w="0" w:type="dxa"/>
          <w:right w:w="0" w:type="dxa"/>
        </w:tblCellMar>
      </w:tblPr>
      <w:tr>
        <w:trPr>
          <w:trHeight w:val="67"/>
        </w:trPr>
        <w:tc>
          <w:tcPr>
            <w:tcW w:w="8540" w:type="dxa"/>
            <w:vAlign w:val="bottom"/>
            <w:shd w:val="clear" w:color="auto" w:fill="005CB9"/>
          </w:tcPr>
          <w:p>
            <w:pPr>
              <w:spacing w:after="0"/>
              <w:rPr>
                <w:sz w:val="5"/>
                <w:szCs w:val="5"/>
                <w:color w:val="auto"/>
              </w:rPr>
            </w:pPr>
          </w:p>
        </w:tc>
        <w:tc>
          <w:tcPr>
            <w:tcW w:w="1720" w:type="dxa"/>
            <w:vAlign w:val="bottom"/>
            <w:shd w:val="clear" w:color="auto" w:fill="005CB9"/>
          </w:tcPr>
          <w:p>
            <w:pPr>
              <w:spacing w:after="0"/>
              <w:rPr>
                <w:sz w:val="5"/>
                <w:szCs w:val="5"/>
                <w:color w:val="auto"/>
              </w:rPr>
            </w:pPr>
          </w:p>
        </w:tc>
        <w:tc>
          <w:tcPr>
            <w:tcW w:w="660" w:type="dxa"/>
            <w:vAlign w:val="bottom"/>
            <w:shd w:val="clear" w:color="auto" w:fill="005CB9"/>
          </w:tcPr>
          <w:p>
            <w:pPr>
              <w:spacing w:after="0"/>
              <w:rPr>
                <w:sz w:val="5"/>
                <w:szCs w:val="5"/>
                <w:color w:val="auto"/>
              </w:rPr>
            </w:pPr>
          </w:p>
        </w:tc>
        <w:tc>
          <w:tcPr>
            <w:tcW w:w="40" w:type="dxa"/>
            <w:vAlign w:val="bottom"/>
          </w:tcPr>
          <w:p>
            <w:pPr>
              <w:spacing w:after="0"/>
              <w:rPr>
                <w:sz w:val="5"/>
                <w:szCs w:val="5"/>
                <w:color w:val="auto"/>
              </w:rPr>
            </w:pPr>
          </w:p>
        </w:tc>
      </w:tr>
      <w:tr>
        <w:trPr>
          <w:trHeight w:val="207"/>
        </w:trPr>
        <w:tc>
          <w:tcPr>
            <w:tcW w:w="854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(Dollars in Millions)</w:t>
            </w:r>
          </w:p>
        </w:tc>
        <w:tc>
          <w:tcPr>
            <w:tcW w:w="2420" w:type="dxa"/>
            <w:vAlign w:val="bottom"/>
            <w:gridSpan w:val="3"/>
          </w:tcPr>
          <w:p>
            <w:pPr>
              <w:ind w:left="1320"/>
              <w:spacing w:after="0"/>
              <w:rPr>
                <w:sz w:val="20"/>
                <w:szCs w:val="20"/>
                <w:color w:val="auto"/>
              </w:rPr>
            </w:pPr>
            <w:r>
              <w:rPr>
                <w:rFonts w:ascii="Arial" w:cs="Arial" w:eastAsia="Arial" w:hAnsi="Arial"/>
                <w:sz w:val="14"/>
                <w:szCs w:val="14"/>
                <w:b w:val="1"/>
                <w:bCs w:val="1"/>
                <w:color w:val="FFFFFF"/>
              </w:rPr>
              <w:t xml:space="preserve">Reconciliation   </w:t>
            </w:r>
          </w:p>
        </w:tc>
      </w:tr>
      <w:tr>
        <w:trPr>
          <w:trHeight w:val="247"/>
        </w:trPr>
        <w:tc>
          <w:tcPr>
            <w:tcW w:w="8540" w:type="dxa"/>
            <w:vAlign w:val="bottom"/>
          </w:tcPr>
          <w:p>
            <w:pPr>
              <w:ind w:left="80"/>
              <w:spacing w:after="0"/>
              <w:rPr>
                <w:sz w:val="20"/>
                <w:szCs w:val="20"/>
                <w:color w:val="auto"/>
              </w:rPr>
            </w:pPr>
            <w:r>
              <w:rPr>
                <w:rFonts w:ascii="Arial" w:cs="Arial" w:eastAsia="Arial" w:hAnsi="Arial"/>
                <w:sz w:val="14"/>
                <w:szCs w:val="14"/>
                <w:color w:val="auto"/>
              </w:rPr>
              <w:t>GAAP Earnings</w:t>
            </w:r>
          </w:p>
        </w:tc>
        <w:tc>
          <w:tcPr>
            <w:tcW w:w="1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9"/>
              <w:spacing w:after="0"/>
              <w:rPr>
                <w:sz w:val="20"/>
                <w:szCs w:val="20"/>
                <w:color w:val="auto"/>
              </w:rPr>
            </w:pPr>
            <w:r>
              <w:rPr>
                <w:rFonts w:ascii="Arial" w:cs="Arial" w:eastAsia="Arial" w:hAnsi="Arial"/>
                <w:sz w:val="14"/>
                <w:szCs w:val="14"/>
                <w:color w:val="auto"/>
              </w:rPr>
              <w:t>1,796</w:t>
            </w:r>
          </w:p>
        </w:tc>
        <w:tc>
          <w:tcPr>
            <w:tcW w:w="40" w:type="dxa"/>
            <w:vAlign w:val="bottom"/>
          </w:tcPr>
          <w:p>
            <w:pPr>
              <w:spacing w:after="0"/>
              <w:rPr>
                <w:sz w:val="21"/>
                <w:szCs w:val="21"/>
                <w:color w:val="auto"/>
              </w:rPr>
            </w:pPr>
          </w:p>
        </w:tc>
      </w:tr>
      <w:tr>
        <w:trPr>
          <w:trHeight w:val="48"/>
        </w:trPr>
        <w:tc>
          <w:tcPr>
            <w:tcW w:w="8540" w:type="dxa"/>
            <w:vAlign w:val="bottom"/>
            <w:tcBorders>
              <w:bottom w:val="single" w:sz="8" w:color="7F7F7F"/>
            </w:tcBorders>
          </w:tcPr>
          <w:p>
            <w:pPr>
              <w:spacing w:after="0"/>
              <w:rPr>
                <w:sz w:val="4"/>
                <w:szCs w:val="4"/>
                <w:color w:val="auto"/>
              </w:rPr>
            </w:pPr>
          </w:p>
        </w:tc>
        <w:tc>
          <w:tcPr>
            <w:tcW w:w="1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40" w:type="dxa"/>
            <w:vAlign w:val="bottom"/>
          </w:tcPr>
          <w:p>
            <w:pPr>
              <w:spacing w:after="0"/>
              <w:rPr>
                <w:sz w:val="4"/>
                <w:szCs w:val="4"/>
                <w:color w:val="auto"/>
              </w:rPr>
            </w:pPr>
          </w:p>
        </w:tc>
      </w:tr>
      <w:tr>
        <w:trPr>
          <w:trHeight w:val="279"/>
        </w:trPr>
        <w:tc>
          <w:tcPr>
            <w:tcW w:w="85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Predefined Adjustments:</w:t>
            </w:r>
          </w:p>
        </w:tc>
        <w:tc>
          <w:tcPr>
            <w:tcW w:w="1720" w:type="dxa"/>
            <w:vAlign w:val="bottom"/>
            <w:tcBorders>
              <w:bottom w:val="single" w:sz="8" w:color="F2F2F2"/>
            </w:tcBorders>
            <w:shd w:val="clear" w:color="auto" w:fill="F2F2F2"/>
          </w:tcPr>
          <w:p>
            <w:pPr>
              <w:spacing w:after="0"/>
              <w:rPr>
                <w:sz w:val="23"/>
                <w:szCs w:val="23"/>
                <w:color w:val="auto"/>
              </w:rPr>
            </w:pPr>
          </w:p>
        </w:tc>
        <w:tc>
          <w:tcPr>
            <w:tcW w:w="660" w:type="dxa"/>
            <w:vAlign w:val="bottom"/>
            <w:tcBorders>
              <w:bottom w:val="single" w:sz="8" w:color="F2F2F2"/>
            </w:tcBorders>
            <w:shd w:val="clear" w:color="auto" w:fill="F2F2F2"/>
          </w:tcPr>
          <w:p>
            <w:pPr>
              <w:spacing w:after="0"/>
              <w:rPr>
                <w:sz w:val="23"/>
                <w:szCs w:val="23"/>
                <w:color w:val="auto"/>
              </w:rPr>
            </w:pPr>
          </w:p>
        </w:tc>
        <w:tc>
          <w:tcPr>
            <w:tcW w:w="40" w:type="dxa"/>
            <w:vAlign w:val="bottom"/>
          </w:tcPr>
          <w:p>
            <w:pPr>
              <w:spacing w:after="0"/>
              <w:rPr>
                <w:sz w:val="23"/>
                <w:szCs w:val="23"/>
                <w:color w:val="auto"/>
              </w:rPr>
            </w:pPr>
          </w:p>
        </w:tc>
      </w:tr>
      <w:tr>
        <w:trPr>
          <w:trHeight w:val="198"/>
        </w:trPr>
        <w:tc>
          <w:tcPr>
            <w:tcW w:w="854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Exclude tax items related to assets held for sale and foreign tax credit valuation allowance in connection with the planned sale of a</w:t>
            </w:r>
          </w:p>
        </w:tc>
        <w:tc>
          <w:tcPr>
            <w:tcW w:w="172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590</w:t>
            </w:r>
          </w:p>
        </w:tc>
        <w:tc>
          <w:tcPr>
            <w:tcW w:w="40" w:type="dxa"/>
            <w:vAlign w:val="bottom"/>
          </w:tcPr>
          <w:p>
            <w:pPr>
              <w:spacing w:after="0"/>
              <w:rPr>
                <w:sz w:val="17"/>
                <w:szCs w:val="17"/>
                <w:color w:val="auto"/>
              </w:rPr>
            </w:pPr>
          </w:p>
        </w:tc>
      </w:tr>
      <w:tr>
        <w:trPr>
          <w:trHeight w:val="189"/>
        </w:trPr>
        <w:tc>
          <w:tcPr>
            <w:tcW w:w="8540" w:type="dxa"/>
            <w:vAlign w:val="bottom"/>
          </w:tcPr>
          <w:p>
            <w:pPr>
              <w:ind w:left="220"/>
              <w:spacing w:after="0"/>
              <w:rPr>
                <w:sz w:val="20"/>
                <w:szCs w:val="20"/>
                <w:color w:val="auto"/>
              </w:rPr>
            </w:pPr>
            <w:r>
              <w:rPr>
                <w:rFonts w:ascii="Arial" w:cs="Arial" w:eastAsia="Arial" w:hAnsi="Arial"/>
                <w:sz w:val="14"/>
                <w:szCs w:val="14"/>
                <w:color w:val="auto"/>
              </w:rPr>
              <w:t>portion of our interest in SI Partners</w:t>
            </w: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8"/>
        </w:trPr>
        <w:tc>
          <w:tcPr>
            <w:tcW w:w="8540" w:type="dxa"/>
            <w:vAlign w:val="bottom"/>
            <w:tcBorders>
              <w:bottom w:val="single" w:sz="8" w:color="7F7F7F"/>
            </w:tcBorders>
          </w:tcPr>
          <w:p>
            <w:pPr>
              <w:spacing w:after="0"/>
              <w:rPr>
                <w:sz w:val="4"/>
                <w:szCs w:val="4"/>
                <w:color w:val="auto"/>
              </w:rPr>
            </w:pPr>
          </w:p>
        </w:tc>
        <w:tc>
          <w:tcPr>
            <w:tcW w:w="1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40" w:type="dxa"/>
            <w:vAlign w:val="bottom"/>
          </w:tcPr>
          <w:p>
            <w:pPr>
              <w:spacing w:after="0"/>
              <w:rPr>
                <w:sz w:val="4"/>
                <w:szCs w:val="4"/>
                <w:color w:val="auto"/>
              </w:rPr>
            </w:pPr>
          </w:p>
        </w:tc>
      </w:tr>
      <w:tr>
        <w:trPr>
          <w:trHeight w:val="198"/>
        </w:trPr>
        <w:tc>
          <w:tcPr>
            <w:tcW w:w="8540" w:type="dxa"/>
            <w:vAlign w:val="bottom"/>
            <w:shd w:val="clear" w:color="auto" w:fill="F2F2F2"/>
          </w:tcPr>
          <w:p>
            <w:pPr>
              <w:ind w:left="220"/>
              <w:spacing w:after="0"/>
              <w:rPr>
                <w:sz w:val="20"/>
                <w:szCs w:val="20"/>
                <w:color w:val="auto"/>
              </w:rPr>
            </w:pPr>
            <w:r>
              <w:rPr>
                <w:rFonts w:ascii="Arial" w:cs="Arial" w:eastAsia="Arial" w:hAnsi="Arial"/>
                <w:sz w:val="14"/>
                <w:szCs w:val="14"/>
                <w:color w:val="auto"/>
              </w:rPr>
              <w:t>Exclude the variance from plan of foreign exchange gains or losses and unrealized mark-to-market gains or losses on certain</w:t>
            </w:r>
          </w:p>
        </w:tc>
        <w:tc>
          <w:tcPr>
            <w:tcW w:w="1720" w:type="dxa"/>
            <w:vAlign w:val="bottom"/>
            <w:shd w:val="clear" w:color="auto" w:fill="F2F2F2"/>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223</w:t>
            </w:r>
          </w:p>
        </w:tc>
        <w:tc>
          <w:tcPr>
            <w:tcW w:w="40" w:type="dxa"/>
            <w:vAlign w:val="bottom"/>
          </w:tcPr>
          <w:p>
            <w:pPr>
              <w:spacing w:after="0"/>
              <w:rPr>
                <w:sz w:val="17"/>
                <w:szCs w:val="17"/>
                <w:color w:val="auto"/>
              </w:rPr>
            </w:pPr>
          </w:p>
        </w:tc>
      </w:tr>
      <w:tr>
        <w:trPr>
          <w:trHeight w:val="242"/>
        </w:trPr>
        <w:tc>
          <w:tcPr>
            <w:tcW w:w="85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derivatives</w:t>
            </w:r>
          </w:p>
        </w:tc>
        <w:tc>
          <w:tcPr>
            <w:tcW w:w="1720" w:type="dxa"/>
            <w:vAlign w:val="bottom"/>
            <w:tcBorders>
              <w:bottom w:val="single" w:sz="8" w:color="F2F2F2"/>
            </w:tcBorders>
            <w:shd w:val="clear" w:color="auto" w:fill="F2F2F2"/>
          </w:tcPr>
          <w:p>
            <w:pPr>
              <w:spacing w:after="0"/>
              <w:rPr>
                <w:sz w:val="20"/>
                <w:szCs w:val="20"/>
                <w:color w:val="auto"/>
              </w:rPr>
            </w:pPr>
          </w:p>
        </w:tc>
        <w:tc>
          <w:tcPr>
            <w:tcW w:w="660" w:type="dxa"/>
            <w:vAlign w:val="bottom"/>
            <w:tcBorders>
              <w:bottom w:val="single" w:sz="8" w:color="F2F2F2"/>
            </w:tcBorders>
            <w:shd w:val="clear" w:color="auto" w:fill="F2F2F2"/>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854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Exclude the regulatory disallowances related to 2019 through 2024 associated with the 2024 California General Rate Case Track 2</w:t>
            </w:r>
          </w:p>
        </w:tc>
        <w:tc>
          <w:tcPr>
            <w:tcW w:w="172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457</w:t>
            </w:r>
          </w:p>
        </w:tc>
        <w:tc>
          <w:tcPr>
            <w:tcW w:w="40" w:type="dxa"/>
            <w:vAlign w:val="bottom"/>
          </w:tcPr>
          <w:p>
            <w:pPr>
              <w:spacing w:after="0"/>
              <w:rPr>
                <w:sz w:val="17"/>
                <w:szCs w:val="17"/>
                <w:color w:val="auto"/>
              </w:rPr>
            </w:pPr>
          </w:p>
        </w:tc>
      </w:tr>
      <w:tr>
        <w:trPr>
          <w:trHeight w:val="189"/>
        </w:trPr>
        <w:tc>
          <w:tcPr>
            <w:tcW w:w="8540" w:type="dxa"/>
            <w:vAlign w:val="bottom"/>
          </w:tcPr>
          <w:p>
            <w:pPr>
              <w:ind w:left="220"/>
              <w:spacing w:after="0"/>
              <w:rPr>
                <w:sz w:val="20"/>
                <w:szCs w:val="20"/>
                <w:color w:val="auto"/>
              </w:rPr>
            </w:pPr>
            <w:r>
              <w:rPr>
                <w:rFonts w:ascii="Arial" w:cs="Arial" w:eastAsia="Arial" w:hAnsi="Arial"/>
                <w:sz w:val="14"/>
                <w:szCs w:val="14"/>
                <w:color w:val="auto"/>
              </w:rPr>
              <w:t>final decision and Catastrophic Event Memorandum Account</w:t>
            </w: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8"/>
        </w:trPr>
        <w:tc>
          <w:tcPr>
            <w:tcW w:w="8540" w:type="dxa"/>
            <w:vAlign w:val="bottom"/>
            <w:tcBorders>
              <w:bottom w:val="single" w:sz="8" w:color="7F7F7F"/>
            </w:tcBorders>
          </w:tcPr>
          <w:p>
            <w:pPr>
              <w:spacing w:after="0"/>
              <w:rPr>
                <w:sz w:val="4"/>
                <w:szCs w:val="4"/>
                <w:color w:val="auto"/>
              </w:rPr>
            </w:pPr>
          </w:p>
        </w:tc>
        <w:tc>
          <w:tcPr>
            <w:tcW w:w="172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40" w:type="dxa"/>
            <w:vAlign w:val="bottom"/>
          </w:tcPr>
          <w:p>
            <w:pPr>
              <w:spacing w:after="0"/>
              <w:rPr>
                <w:sz w:val="4"/>
                <w:szCs w:val="4"/>
                <w:color w:val="auto"/>
              </w:rPr>
            </w:pPr>
          </w:p>
        </w:tc>
      </w:tr>
      <w:tr>
        <w:trPr>
          <w:trHeight w:val="198"/>
        </w:trPr>
        <w:tc>
          <w:tcPr>
            <w:tcW w:w="8540" w:type="dxa"/>
            <w:vAlign w:val="bottom"/>
            <w:shd w:val="clear" w:color="auto" w:fill="F2F2F2"/>
          </w:tcPr>
          <w:p>
            <w:pPr>
              <w:ind w:left="220"/>
              <w:spacing w:after="0"/>
              <w:rPr>
                <w:sz w:val="20"/>
                <w:szCs w:val="20"/>
                <w:color w:val="auto"/>
              </w:rPr>
            </w:pPr>
            <w:r>
              <w:rPr>
                <w:rFonts w:ascii="Arial" w:cs="Arial" w:eastAsia="Arial" w:hAnsi="Arial"/>
                <w:sz w:val="14"/>
                <w:szCs w:val="14"/>
                <w:color w:val="auto"/>
              </w:rPr>
              <w:t>Exclude the variance from plan of the 2025 impact of disallowances and deferrals related to the California General Rate Case</w:t>
            </w:r>
          </w:p>
        </w:tc>
        <w:tc>
          <w:tcPr>
            <w:tcW w:w="1720" w:type="dxa"/>
            <w:vAlign w:val="bottom"/>
            <w:shd w:val="clear" w:color="auto" w:fill="F2F2F2"/>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shd w:val="clear" w:color="auto" w:fill="F2F2F2"/>
          </w:tcPr>
          <w:p>
            <w:pPr>
              <w:jc w:val="right"/>
              <w:ind w:right="109"/>
              <w:spacing w:after="0"/>
              <w:rPr>
                <w:sz w:val="20"/>
                <w:szCs w:val="20"/>
                <w:color w:val="auto"/>
              </w:rPr>
            </w:pPr>
            <w:r>
              <w:rPr>
                <w:rFonts w:ascii="Arial" w:cs="Arial" w:eastAsia="Arial" w:hAnsi="Arial"/>
                <w:sz w:val="14"/>
                <w:szCs w:val="14"/>
                <w:color w:val="auto"/>
              </w:rPr>
              <w:t>60</w:t>
            </w:r>
          </w:p>
        </w:tc>
        <w:tc>
          <w:tcPr>
            <w:tcW w:w="40" w:type="dxa"/>
            <w:vAlign w:val="bottom"/>
          </w:tcPr>
          <w:p>
            <w:pPr>
              <w:spacing w:after="0"/>
              <w:rPr>
                <w:sz w:val="17"/>
                <w:szCs w:val="17"/>
                <w:color w:val="auto"/>
              </w:rPr>
            </w:pPr>
          </w:p>
        </w:tc>
      </w:tr>
      <w:tr>
        <w:trPr>
          <w:trHeight w:val="160"/>
        </w:trPr>
        <w:tc>
          <w:tcPr>
            <w:tcW w:w="8540" w:type="dxa"/>
            <w:vAlign w:val="bottom"/>
            <w:shd w:val="clear" w:color="auto" w:fill="F2F2F2"/>
          </w:tcPr>
          <w:p>
            <w:pPr>
              <w:ind w:left="220"/>
              <w:spacing w:after="0"/>
              <w:rPr>
                <w:sz w:val="20"/>
                <w:szCs w:val="20"/>
                <w:color w:val="auto"/>
              </w:rPr>
            </w:pPr>
            <w:r>
              <w:rPr>
                <w:rFonts w:ascii="Arial" w:cs="Arial" w:eastAsia="Arial" w:hAnsi="Arial"/>
                <w:sz w:val="14"/>
                <w:szCs w:val="14"/>
                <w:color w:val="auto"/>
              </w:rPr>
              <w:t>Tracks 2 and 3 requests and certain other balanced capital programs, and any accelerated amortization or other impacts of the fund</w:t>
            </w:r>
          </w:p>
        </w:tc>
        <w:tc>
          <w:tcPr>
            <w:tcW w:w="1720" w:type="dxa"/>
            <w:vAlign w:val="bottom"/>
            <w:shd w:val="clear" w:color="auto" w:fill="F2F2F2"/>
          </w:tcPr>
          <w:p>
            <w:pPr>
              <w:spacing w:after="0"/>
              <w:rPr>
                <w:sz w:val="13"/>
                <w:szCs w:val="13"/>
                <w:color w:val="auto"/>
              </w:rPr>
            </w:pPr>
          </w:p>
        </w:tc>
        <w:tc>
          <w:tcPr>
            <w:tcW w:w="660" w:type="dxa"/>
            <w:vAlign w:val="bottom"/>
            <w:shd w:val="clear" w:color="auto" w:fill="F2F2F2"/>
          </w:tcPr>
          <w:p>
            <w:pPr>
              <w:spacing w:after="0"/>
              <w:rPr>
                <w:sz w:val="13"/>
                <w:szCs w:val="13"/>
                <w:color w:val="auto"/>
              </w:rPr>
            </w:pPr>
          </w:p>
        </w:tc>
        <w:tc>
          <w:tcPr>
            <w:tcW w:w="40" w:type="dxa"/>
            <w:vAlign w:val="bottom"/>
          </w:tcPr>
          <w:p>
            <w:pPr>
              <w:spacing w:after="0"/>
              <w:rPr>
                <w:sz w:val="13"/>
                <w:szCs w:val="13"/>
                <w:color w:val="auto"/>
              </w:rPr>
            </w:pPr>
          </w:p>
        </w:tc>
      </w:tr>
      <w:tr>
        <w:trPr>
          <w:trHeight w:val="242"/>
        </w:trPr>
        <w:tc>
          <w:tcPr>
            <w:tcW w:w="854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established pursuant to California Assembly Bill 1054</w:t>
            </w:r>
          </w:p>
        </w:tc>
        <w:tc>
          <w:tcPr>
            <w:tcW w:w="1720" w:type="dxa"/>
            <w:vAlign w:val="bottom"/>
            <w:tcBorders>
              <w:bottom w:val="single" w:sz="8" w:color="F2F2F2"/>
            </w:tcBorders>
            <w:shd w:val="clear" w:color="auto" w:fill="F2F2F2"/>
          </w:tcPr>
          <w:p>
            <w:pPr>
              <w:spacing w:after="0"/>
              <w:rPr>
                <w:sz w:val="20"/>
                <w:szCs w:val="20"/>
                <w:color w:val="auto"/>
              </w:rPr>
            </w:pPr>
          </w:p>
        </w:tc>
        <w:tc>
          <w:tcPr>
            <w:tcW w:w="660" w:type="dxa"/>
            <w:vAlign w:val="bottom"/>
            <w:tcBorders>
              <w:bottom w:val="single" w:sz="8" w:color="F2F2F2"/>
            </w:tcBorders>
            <w:shd w:val="clear" w:color="auto" w:fill="F2F2F2"/>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854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Exclude the variance from plan of gains and losses related to legacy litigation matters; depreciation savings related to assets held</w:t>
            </w:r>
          </w:p>
        </w:tc>
        <w:tc>
          <w:tcPr>
            <w:tcW w:w="172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17"/>
                <w:szCs w:val="17"/>
                <w:color w:val="auto"/>
              </w:rPr>
            </w:pPr>
          </w:p>
        </w:tc>
      </w:tr>
      <w:tr>
        <w:trPr>
          <w:trHeight w:val="160"/>
        </w:trPr>
        <w:tc>
          <w:tcPr>
            <w:tcW w:w="8540" w:type="dxa"/>
            <w:vAlign w:val="bottom"/>
          </w:tcPr>
          <w:p>
            <w:pPr>
              <w:ind w:left="220"/>
              <w:spacing w:after="0"/>
              <w:rPr>
                <w:sz w:val="20"/>
                <w:szCs w:val="20"/>
                <w:color w:val="auto"/>
              </w:rPr>
            </w:pPr>
            <w:r>
              <w:rPr>
                <w:rFonts w:ascii="Arial" w:cs="Arial" w:eastAsia="Arial" w:hAnsi="Arial"/>
                <w:sz w:val="14"/>
                <w:szCs w:val="14"/>
                <w:color w:val="auto"/>
              </w:rPr>
              <w:t>for sale; the impact of a payment delay from a foreign government entity; unplanned rabbi trust investment returns (related to</w:t>
            </w:r>
          </w:p>
        </w:tc>
        <w:tc>
          <w:tcPr>
            <w:tcW w:w="1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9"/>
        </w:trPr>
        <w:tc>
          <w:tcPr>
            <w:tcW w:w="8540" w:type="dxa"/>
            <w:vAlign w:val="bottom"/>
          </w:tcPr>
          <w:p>
            <w:pPr>
              <w:ind w:left="220"/>
              <w:spacing w:after="0"/>
              <w:rPr>
                <w:sz w:val="20"/>
                <w:szCs w:val="20"/>
                <w:color w:val="auto"/>
              </w:rPr>
            </w:pPr>
            <w:r>
              <w:rPr>
                <w:rFonts w:ascii="Arial" w:cs="Arial" w:eastAsia="Arial" w:hAnsi="Arial"/>
                <w:sz w:val="14"/>
                <w:szCs w:val="14"/>
                <w:color w:val="auto"/>
              </w:rPr>
              <w:t>nonqualified pension and deferred compensation) in excess of specified limits; and unplanned pension settlement charges</w:t>
            </w: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8"/>
        </w:trPr>
        <w:tc>
          <w:tcPr>
            <w:tcW w:w="85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54"/>
        </w:trPr>
        <w:tc>
          <w:tcPr>
            <w:tcW w:w="85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ABP Earnings</w:t>
            </w:r>
          </w:p>
        </w:tc>
        <w:tc>
          <w:tcPr>
            <w:tcW w:w="172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3,154</w:t>
            </w:r>
          </w:p>
        </w:tc>
        <w:tc>
          <w:tcPr>
            <w:tcW w:w="40" w:type="dxa"/>
            <w:vAlign w:val="bottom"/>
          </w:tcPr>
          <w:p>
            <w:pPr>
              <w:spacing w:after="0"/>
              <w:rPr>
                <w:sz w:val="22"/>
                <w:szCs w:val="22"/>
                <w:color w:val="auto"/>
              </w:rPr>
            </w:pPr>
          </w:p>
        </w:tc>
      </w:tr>
      <w:tr>
        <w:trPr>
          <w:trHeight w:val="20"/>
        </w:trPr>
        <w:tc>
          <w:tcPr>
            <w:tcW w:w="8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5524500</wp:posOffset>
            </wp:positionH>
            <wp:positionV relativeFrom="paragraph">
              <wp:posOffset>-2360295</wp:posOffset>
            </wp:positionV>
            <wp:extent cx="1511935" cy="144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511935" cy="144145"/>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12</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2025 Bonus Payouts</w:t>
      </w:r>
    </w:p>
    <w:p>
      <w:pPr>
        <w:spacing w:after="0" w:line="110" w:lineRule="exact"/>
        <w:rPr>
          <w:sz w:val="20"/>
          <w:szCs w:val="20"/>
          <w:color w:val="auto"/>
        </w:rPr>
      </w:pPr>
    </w:p>
    <w:p>
      <w:pPr>
        <w:ind w:left="160" w:right="360"/>
        <w:spacing w:after="0" w:line="281" w:lineRule="auto"/>
        <w:rPr>
          <w:sz w:val="20"/>
          <w:szCs w:val="20"/>
          <w:color w:val="auto"/>
        </w:rPr>
      </w:pPr>
      <w:r>
        <w:rPr>
          <w:rFonts w:ascii="Arial" w:cs="Arial" w:eastAsia="Arial" w:hAnsi="Arial"/>
          <w:sz w:val="14"/>
          <w:szCs w:val="14"/>
          <w:color w:val="auto"/>
        </w:rPr>
        <w:t>Based on overall performance and its consideration of the contributions of each named executive officer in 2025, the Compensation and Talent Development Committee approved the payment of the annual bonuses shown in Table 13.</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4360" w:type="dxa"/>
            <w:vAlign w:val="bottom"/>
            <w:shd w:val="clear" w:color="auto" w:fill="005CB9"/>
          </w:tcPr>
          <w:p>
            <w:pPr>
              <w:spacing w:after="0"/>
              <w:rPr>
                <w:sz w:val="18"/>
                <w:szCs w:val="18"/>
                <w:color w:val="auto"/>
              </w:rPr>
            </w:pPr>
          </w:p>
        </w:tc>
        <w:tc>
          <w:tcPr>
            <w:tcW w:w="1560" w:type="dxa"/>
            <w:vAlign w:val="bottom"/>
            <w:shd w:val="clear" w:color="auto" w:fill="005CB9"/>
          </w:tcPr>
          <w:p>
            <w:pPr>
              <w:jc w:val="right"/>
              <w:ind w:right="189"/>
              <w:spacing w:after="0"/>
              <w:rPr>
                <w:sz w:val="20"/>
                <w:szCs w:val="20"/>
                <w:color w:val="auto"/>
              </w:rPr>
            </w:pPr>
            <w:r>
              <w:rPr>
                <w:rFonts w:ascii="Arial" w:cs="Arial" w:eastAsia="Arial" w:hAnsi="Arial"/>
                <w:sz w:val="14"/>
                <w:szCs w:val="14"/>
                <w:b w:val="1"/>
                <w:bCs w:val="1"/>
                <w:color w:val="FFFFFF"/>
              </w:rPr>
              <w:t>Base Salary at</w:t>
            </w:r>
          </w:p>
        </w:tc>
        <w:tc>
          <w:tcPr>
            <w:tcW w:w="600" w:type="dxa"/>
            <w:vAlign w:val="bottom"/>
            <w:shd w:val="clear" w:color="auto" w:fill="005CB9"/>
          </w:tcPr>
          <w:p>
            <w:pPr>
              <w:spacing w:after="0"/>
              <w:rPr>
                <w:sz w:val="18"/>
                <w:szCs w:val="18"/>
                <w:color w:val="auto"/>
              </w:rPr>
            </w:pPr>
          </w:p>
        </w:tc>
        <w:tc>
          <w:tcPr>
            <w:tcW w:w="1280" w:type="dxa"/>
            <w:vAlign w:val="bottom"/>
            <w:shd w:val="clear" w:color="auto" w:fill="005CB9"/>
          </w:tcPr>
          <w:p>
            <w:pPr>
              <w:spacing w:after="0"/>
              <w:rPr>
                <w:sz w:val="18"/>
                <w:szCs w:val="18"/>
                <w:color w:val="auto"/>
              </w:rPr>
            </w:pPr>
          </w:p>
        </w:tc>
        <w:tc>
          <w:tcPr>
            <w:tcW w:w="460" w:type="dxa"/>
            <w:vAlign w:val="bottom"/>
            <w:shd w:val="clear" w:color="auto" w:fill="005CB9"/>
          </w:tcPr>
          <w:p>
            <w:pPr>
              <w:spacing w:after="0"/>
              <w:rPr>
                <w:sz w:val="18"/>
                <w:szCs w:val="18"/>
                <w:color w:val="auto"/>
              </w:rPr>
            </w:pPr>
          </w:p>
        </w:tc>
        <w:tc>
          <w:tcPr>
            <w:tcW w:w="1240" w:type="dxa"/>
            <w:vAlign w:val="bottom"/>
            <w:shd w:val="clear" w:color="auto" w:fill="005CB9"/>
          </w:tcPr>
          <w:p>
            <w:pPr>
              <w:jc w:val="right"/>
              <w:ind w:right="69"/>
              <w:spacing w:after="0"/>
              <w:rPr>
                <w:sz w:val="20"/>
                <w:szCs w:val="20"/>
                <w:color w:val="auto"/>
              </w:rPr>
            </w:pPr>
            <w:r>
              <w:rPr>
                <w:rFonts w:ascii="Arial" w:cs="Arial" w:eastAsia="Arial" w:hAnsi="Arial"/>
                <w:sz w:val="14"/>
                <w:szCs w:val="14"/>
                <w:b w:val="1"/>
                <w:bCs w:val="1"/>
                <w:color w:val="FFFFFF"/>
              </w:rPr>
              <w:t>Performance</w:t>
            </w:r>
          </w:p>
        </w:tc>
        <w:tc>
          <w:tcPr>
            <w:tcW w:w="460" w:type="dxa"/>
            <w:vAlign w:val="bottom"/>
            <w:shd w:val="clear" w:color="auto" w:fill="005CB9"/>
          </w:tcPr>
          <w:p>
            <w:pPr>
              <w:spacing w:after="0"/>
              <w:rPr>
                <w:sz w:val="18"/>
                <w:szCs w:val="18"/>
                <w:color w:val="auto"/>
              </w:rPr>
            </w:pPr>
          </w:p>
        </w:tc>
        <w:tc>
          <w:tcPr>
            <w:tcW w:w="320" w:type="dxa"/>
            <w:vAlign w:val="bottom"/>
            <w:shd w:val="clear" w:color="auto" w:fill="005CB9"/>
          </w:tcPr>
          <w:p>
            <w:pPr>
              <w:spacing w:after="0"/>
              <w:rPr>
                <w:sz w:val="18"/>
                <w:szCs w:val="18"/>
                <w:color w:val="auto"/>
              </w:rPr>
            </w:pPr>
          </w:p>
        </w:tc>
        <w:tc>
          <w:tcPr>
            <w:tcW w:w="640" w:type="dxa"/>
            <w:vAlign w:val="bottom"/>
            <w:shd w:val="clear" w:color="auto" w:fill="005CB9"/>
          </w:tcPr>
          <w:p>
            <w:pPr>
              <w:jc w:val="right"/>
              <w:ind w:right="69"/>
              <w:spacing w:after="0"/>
              <w:rPr>
                <w:sz w:val="20"/>
                <w:szCs w:val="20"/>
                <w:color w:val="auto"/>
              </w:rPr>
            </w:pPr>
            <w:r>
              <w:rPr>
                <w:rFonts w:ascii="Arial" w:cs="Arial" w:eastAsia="Arial" w:hAnsi="Arial"/>
                <w:sz w:val="14"/>
                <w:szCs w:val="14"/>
                <w:b w:val="1"/>
                <w:bCs w:val="1"/>
                <w:color w:val="FFFFFF"/>
              </w:rPr>
              <w:t>Bonus</w:t>
            </w:r>
          </w:p>
        </w:tc>
      </w:tr>
      <w:tr>
        <w:trPr>
          <w:trHeight w:val="241"/>
        </w:trPr>
        <w:tc>
          <w:tcPr>
            <w:tcW w:w="436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Named Executive Officer</w:t>
            </w:r>
          </w:p>
        </w:tc>
        <w:tc>
          <w:tcPr>
            <w:tcW w:w="1560" w:type="dxa"/>
            <w:vAlign w:val="bottom"/>
            <w:shd w:val="clear" w:color="auto" w:fill="005CB9"/>
          </w:tcPr>
          <w:p>
            <w:pPr>
              <w:jc w:val="right"/>
              <w:ind w:right="189"/>
              <w:spacing w:after="0"/>
              <w:rPr>
                <w:sz w:val="20"/>
                <w:szCs w:val="20"/>
                <w:color w:val="auto"/>
              </w:rPr>
            </w:pPr>
            <w:r>
              <w:rPr>
                <w:rFonts w:ascii="Arial" w:cs="Arial" w:eastAsia="Arial" w:hAnsi="Arial"/>
                <w:sz w:val="14"/>
                <w:szCs w:val="14"/>
                <w:b w:val="1"/>
                <w:bCs w:val="1"/>
                <w:color w:val="FFFFFF"/>
              </w:rPr>
              <w:t>Year-End 2025</w:t>
            </w:r>
          </w:p>
        </w:tc>
        <w:tc>
          <w:tcPr>
            <w:tcW w:w="600" w:type="dxa"/>
            <w:vAlign w:val="bottom"/>
            <w:shd w:val="clear" w:color="auto" w:fill="005CB9"/>
          </w:tcPr>
          <w:p>
            <w:pPr>
              <w:ind w:left="280"/>
              <w:spacing w:after="0"/>
              <w:rPr>
                <w:sz w:val="20"/>
                <w:szCs w:val="20"/>
                <w:color w:val="auto"/>
              </w:rPr>
            </w:pPr>
            <w:r>
              <w:rPr>
                <w:rFonts w:ascii="Arial" w:cs="Arial" w:eastAsia="Arial" w:hAnsi="Arial"/>
                <w:sz w:val="14"/>
                <w:szCs w:val="14"/>
                <w:b w:val="1"/>
                <w:bCs w:val="1"/>
                <w:color w:val="FFFFFF"/>
              </w:rPr>
              <w:t>X</w:t>
            </w:r>
          </w:p>
        </w:tc>
        <w:tc>
          <w:tcPr>
            <w:tcW w:w="1280" w:type="dxa"/>
            <w:vAlign w:val="bottom"/>
            <w:shd w:val="clear" w:color="auto" w:fill="005CB9"/>
          </w:tcPr>
          <w:p>
            <w:pPr>
              <w:jc w:val="right"/>
              <w:ind w:right="69"/>
              <w:spacing w:after="0"/>
              <w:rPr>
                <w:sz w:val="20"/>
                <w:szCs w:val="20"/>
                <w:color w:val="auto"/>
              </w:rPr>
            </w:pPr>
            <w:r>
              <w:rPr>
                <w:rFonts w:ascii="Arial" w:cs="Arial" w:eastAsia="Arial" w:hAnsi="Arial"/>
                <w:sz w:val="14"/>
                <w:szCs w:val="14"/>
                <w:b w:val="1"/>
                <w:bCs w:val="1"/>
                <w:color w:val="FFFFFF"/>
              </w:rPr>
              <w:t>Bonus Target</w:t>
            </w:r>
          </w:p>
        </w:tc>
        <w:tc>
          <w:tcPr>
            <w:tcW w:w="460" w:type="dxa"/>
            <w:vAlign w:val="bottom"/>
            <w:shd w:val="clear" w:color="auto" w:fill="005CB9"/>
          </w:tcPr>
          <w:p>
            <w:pPr>
              <w:ind w:left="140"/>
              <w:spacing w:after="0"/>
              <w:rPr>
                <w:sz w:val="20"/>
                <w:szCs w:val="20"/>
                <w:color w:val="auto"/>
              </w:rPr>
            </w:pPr>
            <w:r>
              <w:rPr>
                <w:rFonts w:ascii="Arial" w:cs="Arial" w:eastAsia="Arial" w:hAnsi="Arial"/>
                <w:sz w:val="14"/>
                <w:szCs w:val="14"/>
                <w:b w:val="1"/>
                <w:bCs w:val="1"/>
                <w:color w:val="FFFFFF"/>
              </w:rPr>
              <w:t>X</w:t>
            </w:r>
          </w:p>
        </w:tc>
        <w:tc>
          <w:tcPr>
            <w:tcW w:w="1240" w:type="dxa"/>
            <w:vAlign w:val="bottom"/>
            <w:shd w:val="clear" w:color="auto" w:fill="005CB9"/>
          </w:tcPr>
          <w:p>
            <w:pPr>
              <w:jc w:val="right"/>
              <w:ind w:right="229"/>
              <w:spacing w:after="0"/>
              <w:rPr>
                <w:sz w:val="20"/>
                <w:szCs w:val="20"/>
                <w:color w:val="auto"/>
              </w:rPr>
            </w:pPr>
            <w:r>
              <w:rPr>
                <w:rFonts w:ascii="Arial" w:cs="Arial" w:eastAsia="Arial" w:hAnsi="Arial"/>
                <w:sz w:val="14"/>
                <w:szCs w:val="14"/>
                <w:b w:val="1"/>
                <w:bCs w:val="1"/>
                <w:color w:val="FFFFFF"/>
              </w:rPr>
              <w:t>Score</w:t>
            </w:r>
            <w:r>
              <w:rPr>
                <w:rFonts w:ascii="Arial" w:cs="Arial" w:eastAsia="Arial" w:hAnsi="Arial"/>
                <w:sz w:val="21"/>
                <w:szCs w:val="21"/>
                <w:b w:val="1"/>
                <w:bCs w:val="1"/>
                <w:color w:val="FFFFFF"/>
                <w:vertAlign w:val="superscript"/>
              </w:rPr>
              <w:t>(1)</w:t>
            </w:r>
          </w:p>
        </w:tc>
        <w:tc>
          <w:tcPr>
            <w:tcW w:w="460" w:type="dxa"/>
            <w:vAlign w:val="bottom"/>
            <w:shd w:val="clear" w:color="auto" w:fill="005CB9"/>
          </w:tcPr>
          <w:p>
            <w:pPr>
              <w:jc w:val="right"/>
              <w:ind w:right="169"/>
              <w:spacing w:after="0"/>
              <w:rPr>
                <w:sz w:val="20"/>
                <w:szCs w:val="20"/>
                <w:color w:val="auto"/>
              </w:rPr>
            </w:pPr>
            <w:r>
              <w:rPr>
                <w:rFonts w:ascii="Arial" w:cs="Arial" w:eastAsia="Arial" w:hAnsi="Arial"/>
                <w:sz w:val="14"/>
                <w:szCs w:val="14"/>
                <w:b w:val="1"/>
                <w:bCs w:val="1"/>
                <w:color w:val="FFFFFF"/>
              </w:rPr>
              <w:t>=</w:t>
            </w:r>
          </w:p>
        </w:tc>
        <w:tc>
          <w:tcPr>
            <w:tcW w:w="960" w:type="dxa"/>
            <w:vAlign w:val="bottom"/>
            <w:gridSpan w:val="2"/>
            <w:shd w:val="clear" w:color="auto" w:fill="005CB9"/>
          </w:tcPr>
          <w:p>
            <w:pPr>
              <w:jc w:val="right"/>
              <w:spacing w:after="0"/>
              <w:rPr>
                <w:sz w:val="20"/>
                <w:szCs w:val="20"/>
                <w:color w:val="auto"/>
              </w:rPr>
            </w:pPr>
            <w:r>
              <w:rPr>
                <w:rFonts w:ascii="Arial" w:cs="Arial" w:eastAsia="Arial" w:hAnsi="Arial"/>
                <w:sz w:val="14"/>
                <w:szCs w:val="14"/>
                <w:b w:val="1"/>
                <w:bCs w:val="1"/>
                <w:color w:val="FFFFFF"/>
              </w:rPr>
              <w:t>Payout</w:t>
            </w:r>
            <w:r>
              <w:rPr>
                <w:rFonts w:ascii="Arial" w:cs="Arial" w:eastAsia="Arial" w:hAnsi="Arial"/>
                <w:sz w:val="21"/>
                <w:szCs w:val="21"/>
                <w:b w:val="1"/>
                <w:bCs w:val="1"/>
                <w:color w:val="FFFFFF"/>
                <w:vertAlign w:val="superscript"/>
              </w:rPr>
              <w:t>(2)</w:t>
            </w:r>
          </w:p>
        </w:tc>
      </w:tr>
      <w:tr>
        <w:trPr>
          <w:trHeight w:val="247"/>
        </w:trPr>
        <w:tc>
          <w:tcPr>
            <w:tcW w:w="4360" w:type="dxa"/>
            <w:vAlign w:val="bottom"/>
          </w:tcPr>
          <w:p>
            <w:pPr>
              <w:ind w:left="80"/>
              <w:spacing w:after="0"/>
              <w:rPr>
                <w:sz w:val="20"/>
                <w:szCs w:val="20"/>
                <w:color w:val="auto"/>
              </w:rPr>
            </w:pPr>
            <w:r>
              <w:rPr>
                <w:rFonts w:ascii="Arial" w:cs="Arial" w:eastAsia="Arial" w:hAnsi="Arial"/>
                <w:sz w:val="14"/>
                <w:szCs w:val="14"/>
                <w:color w:val="auto"/>
              </w:rPr>
              <w:t>Jeffrey W. Martin</w:t>
            </w:r>
          </w:p>
        </w:tc>
        <w:tc>
          <w:tcPr>
            <w:tcW w:w="1560" w:type="dxa"/>
            <w:vAlign w:val="bottom"/>
          </w:tcPr>
          <w:p>
            <w:pPr>
              <w:jc w:val="right"/>
              <w:ind w:right="289"/>
              <w:spacing w:after="0"/>
              <w:rPr>
                <w:sz w:val="20"/>
                <w:szCs w:val="20"/>
                <w:color w:val="auto"/>
              </w:rPr>
            </w:pPr>
            <w:r>
              <w:rPr>
                <w:rFonts w:ascii="Arial" w:cs="Arial" w:eastAsia="Arial" w:hAnsi="Arial"/>
                <w:sz w:val="14"/>
                <w:szCs w:val="14"/>
                <w:color w:val="auto"/>
              </w:rPr>
              <w:t>$1,700,000</w:t>
            </w:r>
          </w:p>
        </w:tc>
        <w:tc>
          <w:tcPr>
            <w:tcW w:w="600" w:type="dxa"/>
            <w:vAlign w:val="bottom"/>
          </w:tcPr>
          <w:p>
            <w:pPr>
              <w:spacing w:after="0"/>
              <w:rPr>
                <w:sz w:val="21"/>
                <w:szCs w:val="21"/>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180%</w:t>
            </w:r>
          </w:p>
        </w:tc>
        <w:tc>
          <w:tcPr>
            <w:tcW w:w="460" w:type="dxa"/>
            <w:vAlign w:val="bottom"/>
          </w:tcPr>
          <w:p>
            <w:pPr>
              <w:spacing w:after="0"/>
              <w:rPr>
                <w:sz w:val="21"/>
                <w:szCs w:val="21"/>
                <w:color w:val="auto"/>
              </w:rPr>
            </w:pP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173%</w:t>
            </w:r>
          </w:p>
        </w:tc>
        <w:tc>
          <w:tcPr>
            <w:tcW w:w="4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5,287,400</w:t>
            </w:r>
          </w:p>
        </w:tc>
      </w:tr>
      <w:tr>
        <w:trPr>
          <w:trHeight w:val="99"/>
        </w:trPr>
        <w:tc>
          <w:tcPr>
            <w:tcW w:w="4360" w:type="dxa"/>
            <w:vAlign w:val="bottom"/>
            <w:tcBorders>
              <w:bottom w:val="single" w:sz="8" w:color="7F7F7F"/>
            </w:tcBorders>
          </w:tcPr>
          <w:p>
            <w:pPr>
              <w:spacing w:after="0"/>
              <w:rPr>
                <w:sz w:val="8"/>
                <w:szCs w:val="8"/>
                <w:color w:val="auto"/>
              </w:rPr>
            </w:pPr>
          </w:p>
        </w:tc>
        <w:tc>
          <w:tcPr>
            <w:tcW w:w="1560" w:type="dxa"/>
            <w:vAlign w:val="bottom"/>
            <w:tcBorders>
              <w:bottom w:val="single" w:sz="8" w:color="7F7F7F"/>
            </w:tcBorders>
          </w:tcPr>
          <w:p>
            <w:pPr>
              <w:spacing w:after="0"/>
              <w:rPr>
                <w:sz w:val="8"/>
                <w:szCs w:val="8"/>
                <w:color w:val="auto"/>
              </w:rPr>
            </w:pPr>
          </w:p>
        </w:tc>
        <w:tc>
          <w:tcPr>
            <w:tcW w:w="600" w:type="dxa"/>
            <w:vAlign w:val="bottom"/>
            <w:tcBorders>
              <w:bottom w:val="single" w:sz="8" w:color="7F7F7F"/>
            </w:tcBorders>
          </w:tcPr>
          <w:p>
            <w:pPr>
              <w:spacing w:after="0"/>
              <w:rPr>
                <w:sz w:val="8"/>
                <w:szCs w:val="8"/>
                <w:color w:val="auto"/>
              </w:rPr>
            </w:pPr>
          </w:p>
        </w:tc>
        <w:tc>
          <w:tcPr>
            <w:tcW w:w="128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1240" w:type="dxa"/>
            <w:vAlign w:val="bottom"/>
            <w:tcBorders>
              <w:bottom w:val="single" w:sz="8" w:color="7F7F7F"/>
            </w:tcBorders>
          </w:tcPr>
          <w:p>
            <w:pPr>
              <w:spacing w:after="0"/>
              <w:rPr>
                <w:sz w:val="8"/>
                <w:szCs w:val="8"/>
                <w:color w:val="auto"/>
              </w:rPr>
            </w:pPr>
          </w:p>
        </w:tc>
        <w:tc>
          <w:tcPr>
            <w:tcW w:w="460" w:type="dxa"/>
            <w:vAlign w:val="bottom"/>
            <w:tcBorders>
              <w:bottom w:val="single" w:sz="8" w:color="7F7F7F"/>
            </w:tcBorders>
          </w:tcPr>
          <w:p>
            <w:pPr>
              <w:spacing w:after="0"/>
              <w:rPr>
                <w:sz w:val="8"/>
                <w:szCs w:val="8"/>
                <w:color w:val="auto"/>
              </w:rPr>
            </w:pPr>
          </w:p>
        </w:tc>
        <w:tc>
          <w:tcPr>
            <w:tcW w:w="320" w:type="dxa"/>
            <w:vAlign w:val="bottom"/>
            <w:tcBorders>
              <w:bottom w:val="single" w:sz="8" w:color="7F7F7F"/>
            </w:tcBorders>
          </w:tcPr>
          <w:p>
            <w:pPr>
              <w:spacing w:after="0"/>
              <w:rPr>
                <w:sz w:val="8"/>
                <w:szCs w:val="8"/>
                <w:color w:val="auto"/>
              </w:rPr>
            </w:pPr>
          </w:p>
        </w:tc>
        <w:tc>
          <w:tcPr>
            <w:tcW w:w="640" w:type="dxa"/>
            <w:vAlign w:val="bottom"/>
            <w:tcBorders>
              <w:bottom w:val="single" w:sz="8" w:color="7F7F7F"/>
            </w:tcBorders>
          </w:tcPr>
          <w:p>
            <w:pPr>
              <w:spacing w:after="0"/>
              <w:rPr>
                <w:sz w:val="8"/>
                <w:szCs w:val="8"/>
                <w:color w:val="auto"/>
              </w:rPr>
            </w:pPr>
          </w:p>
        </w:tc>
      </w:tr>
      <w:tr>
        <w:trPr>
          <w:trHeight w:val="232"/>
        </w:trPr>
        <w:tc>
          <w:tcPr>
            <w:tcW w:w="4360" w:type="dxa"/>
            <w:vAlign w:val="bottom"/>
            <w:tcBorders>
              <w:top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Karen L. Sedgwick</w:t>
            </w:r>
          </w:p>
        </w:tc>
        <w:tc>
          <w:tcPr>
            <w:tcW w:w="1560" w:type="dxa"/>
            <w:vAlign w:val="bottom"/>
            <w:tcBorders>
              <w:top w:val="single" w:sz="8" w:color="F2F2F2"/>
              <w:bottom w:val="single" w:sz="8" w:color="F2F2F2"/>
            </w:tcBorders>
            <w:shd w:val="clear" w:color="auto" w:fill="F2F2F2"/>
          </w:tcPr>
          <w:p>
            <w:pPr>
              <w:jc w:val="right"/>
              <w:ind w:right="289"/>
              <w:spacing w:after="0"/>
              <w:rPr>
                <w:sz w:val="20"/>
                <w:szCs w:val="20"/>
                <w:color w:val="auto"/>
              </w:rPr>
            </w:pPr>
            <w:r>
              <w:rPr>
                <w:rFonts w:ascii="Arial" w:cs="Arial" w:eastAsia="Arial" w:hAnsi="Arial"/>
                <w:sz w:val="14"/>
                <w:szCs w:val="14"/>
                <w:color w:val="auto"/>
              </w:rPr>
              <w:t>$   700,000</w:t>
            </w:r>
          </w:p>
        </w:tc>
        <w:tc>
          <w:tcPr>
            <w:tcW w:w="600" w:type="dxa"/>
            <w:vAlign w:val="bottom"/>
            <w:tcBorders>
              <w:top w:val="single" w:sz="8" w:color="F2F2F2"/>
              <w:bottom w:val="single" w:sz="8" w:color="F2F2F2"/>
            </w:tcBorders>
            <w:shd w:val="clear" w:color="auto" w:fill="F2F2F2"/>
          </w:tcPr>
          <w:p>
            <w:pPr>
              <w:spacing w:after="0"/>
              <w:rPr>
                <w:sz w:val="19"/>
                <w:szCs w:val="19"/>
                <w:color w:val="auto"/>
              </w:rPr>
            </w:pPr>
          </w:p>
        </w:tc>
        <w:tc>
          <w:tcPr>
            <w:tcW w:w="1280" w:type="dxa"/>
            <w:vAlign w:val="bottom"/>
            <w:tcBorders>
              <w:top w:val="single" w:sz="8" w:color="F2F2F2"/>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90%</w:t>
            </w:r>
          </w:p>
        </w:tc>
        <w:tc>
          <w:tcPr>
            <w:tcW w:w="460" w:type="dxa"/>
            <w:vAlign w:val="bottom"/>
            <w:tcBorders>
              <w:top w:val="single" w:sz="8" w:color="F2F2F2"/>
              <w:bottom w:val="single" w:sz="8" w:color="F2F2F2"/>
            </w:tcBorders>
            <w:shd w:val="clear" w:color="auto" w:fill="F2F2F2"/>
          </w:tcPr>
          <w:p>
            <w:pPr>
              <w:spacing w:after="0"/>
              <w:rPr>
                <w:sz w:val="19"/>
                <w:szCs w:val="19"/>
                <w:color w:val="auto"/>
              </w:rPr>
            </w:pPr>
          </w:p>
        </w:tc>
        <w:tc>
          <w:tcPr>
            <w:tcW w:w="1240" w:type="dxa"/>
            <w:vAlign w:val="bottom"/>
            <w:tcBorders>
              <w:top w:val="single" w:sz="8" w:color="F2F2F2"/>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173%</w:t>
            </w:r>
          </w:p>
        </w:tc>
        <w:tc>
          <w:tcPr>
            <w:tcW w:w="460" w:type="dxa"/>
            <w:vAlign w:val="bottom"/>
            <w:tcBorders>
              <w:top w:val="single" w:sz="8" w:color="F2F2F2"/>
              <w:bottom w:val="single" w:sz="8" w:color="F2F2F2"/>
            </w:tcBorders>
            <w:shd w:val="clear" w:color="auto" w:fill="F2F2F2"/>
          </w:tcPr>
          <w:p>
            <w:pPr>
              <w:spacing w:after="0"/>
              <w:rPr>
                <w:sz w:val="19"/>
                <w:szCs w:val="19"/>
                <w:color w:val="auto"/>
              </w:rPr>
            </w:pPr>
          </w:p>
        </w:tc>
        <w:tc>
          <w:tcPr>
            <w:tcW w:w="32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F2F2F2"/>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w w:val="99"/>
              </w:rPr>
              <w:t>1,088,600</w:t>
            </w:r>
          </w:p>
        </w:tc>
      </w:tr>
      <w:tr>
        <w:trPr>
          <w:trHeight w:val="326"/>
        </w:trPr>
        <w:tc>
          <w:tcPr>
            <w:tcW w:w="436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color w:val="auto"/>
              </w:rPr>
              <w:t>Justin C. Bird</w:t>
            </w:r>
            <w:r>
              <w:rPr>
                <w:rFonts w:ascii="Arial" w:cs="Arial" w:eastAsia="Arial" w:hAnsi="Arial"/>
                <w:sz w:val="21"/>
                <w:szCs w:val="21"/>
                <w:color w:val="auto"/>
                <w:vertAlign w:val="superscript"/>
              </w:rPr>
              <w:t>(3)</w:t>
            </w:r>
          </w:p>
        </w:tc>
        <w:tc>
          <w:tcPr>
            <w:tcW w:w="1560" w:type="dxa"/>
            <w:vAlign w:val="bottom"/>
            <w:tcBorders>
              <w:top w:val="single" w:sz="8" w:color="7F7F7F"/>
              <w:bottom w:val="single" w:sz="8" w:color="7F7F7F"/>
            </w:tcBorders>
          </w:tcPr>
          <w:p>
            <w:pPr>
              <w:jc w:val="right"/>
              <w:ind w:right="289"/>
              <w:spacing w:after="0"/>
              <w:rPr>
                <w:sz w:val="20"/>
                <w:szCs w:val="20"/>
                <w:color w:val="auto"/>
              </w:rPr>
            </w:pPr>
            <w:r>
              <w:rPr>
                <w:rFonts w:ascii="Arial" w:cs="Arial" w:eastAsia="Arial" w:hAnsi="Arial"/>
                <w:sz w:val="14"/>
                <w:szCs w:val="14"/>
                <w:color w:val="auto"/>
              </w:rPr>
              <w:t>$   940,000</w:t>
            </w:r>
          </w:p>
        </w:tc>
        <w:tc>
          <w:tcPr>
            <w:tcW w:w="600" w:type="dxa"/>
            <w:vAlign w:val="bottom"/>
            <w:tcBorders>
              <w:top w:val="single" w:sz="8" w:color="7F7F7F"/>
              <w:bottom w:val="single" w:sz="8" w:color="7F7F7F"/>
            </w:tcBorders>
          </w:tcPr>
          <w:p>
            <w:pPr>
              <w:spacing w:after="0"/>
              <w:rPr>
                <w:sz w:val="24"/>
                <w:szCs w:val="24"/>
                <w:color w:val="auto"/>
              </w:rPr>
            </w:pPr>
          </w:p>
        </w:tc>
        <w:tc>
          <w:tcPr>
            <w:tcW w:w="1280" w:type="dxa"/>
            <w:vAlign w:val="bottom"/>
            <w:tcBorders>
              <w:top w:val="single" w:sz="8" w:color="7F7F7F"/>
              <w:bottom w:val="single" w:sz="8" w:color="7F7F7F"/>
            </w:tcBorders>
          </w:tcPr>
          <w:p>
            <w:pPr>
              <w:jc w:val="right"/>
              <w:ind w:right="109"/>
              <w:spacing w:after="0"/>
              <w:rPr>
                <w:sz w:val="20"/>
                <w:szCs w:val="20"/>
                <w:color w:val="auto"/>
              </w:rPr>
            </w:pPr>
            <w:r>
              <w:rPr>
                <w:rFonts w:ascii="Arial" w:cs="Arial" w:eastAsia="Arial" w:hAnsi="Arial"/>
                <w:sz w:val="14"/>
                <w:szCs w:val="14"/>
                <w:color w:val="auto"/>
              </w:rPr>
              <w:t>95%</w:t>
            </w:r>
          </w:p>
        </w:tc>
        <w:tc>
          <w:tcPr>
            <w:tcW w:w="460" w:type="dxa"/>
            <w:vAlign w:val="bottom"/>
            <w:tcBorders>
              <w:top w:val="single" w:sz="8" w:color="7F7F7F"/>
              <w:bottom w:val="single" w:sz="8" w:color="7F7F7F"/>
            </w:tcBorders>
          </w:tcPr>
          <w:p>
            <w:pPr>
              <w:spacing w:after="0"/>
              <w:rPr>
                <w:sz w:val="24"/>
                <w:szCs w:val="24"/>
                <w:color w:val="auto"/>
              </w:rPr>
            </w:pPr>
          </w:p>
        </w:tc>
        <w:tc>
          <w:tcPr>
            <w:tcW w:w="1240" w:type="dxa"/>
            <w:vAlign w:val="bottom"/>
            <w:tcBorders>
              <w:top w:val="single" w:sz="8" w:color="7F7F7F"/>
              <w:bottom w:val="single" w:sz="8" w:color="7F7F7F"/>
            </w:tcBorders>
          </w:tcPr>
          <w:p>
            <w:pPr>
              <w:jc w:val="right"/>
              <w:ind w:right="109"/>
              <w:spacing w:after="0"/>
              <w:rPr>
                <w:sz w:val="20"/>
                <w:szCs w:val="20"/>
                <w:color w:val="auto"/>
              </w:rPr>
            </w:pPr>
            <w:r>
              <w:rPr>
                <w:rFonts w:ascii="Arial" w:cs="Arial" w:eastAsia="Arial" w:hAnsi="Arial"/>
                <w:sz w:val="14"/>
                <w:szCs w:val="14"/>
                <w:color w:val="auto"/>
              </w:rPr>
              <w:t>173%</w:t>
            </w:r>
          </w:p>
        </w:tc>
        <w:tc>
          <w:tcPr>
            <w:tcW w:w="460" w:type="dxa"/>
            <w:vAlign w:val="bottom"/>
            <w:tcBorders>
              <w:top w:val="single" w:sz="8" w:color="7F7F7F"/>
              <w:bottom w:val="single" w:sz="8" w:color="7F7F7F"/>
            </w:tcBorders>
          </w:tcPr>
          <w:p>
            <w:pPr>
              <w:spacing w:after="0"/>
              <w:rPr>
                <w:sz w:val="24"/>
                <w:szCs w:val="24"/>
                <w:color w:val="auto"/>
              </w:rPr>
            </w:pPr>
          </w:p>
        </w:tc>
        <w:tc>
          <w:tcPr>
            <w:tcW w:w="3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w w:val="99"/>
              </w:rPr>
              <w:t>1,548,200</w:t>
            </w:r>
          </w:p>
        </w:tc>
      </w:tr>
      <w:tr>
        <w:trPr>
          <w:trHeight w:val="227"/>
        </w:trPr>
        <w:tc>
          <w:tcPr>
            <w:tcW w:w="4360" w:type="dxa"/>
            <w:vAlign w:val="bottom"/>
            <w:tcBorders>
              <w:top w:val="single" w:sz="8" w:color="F2F2F2"/>
              <w:bottom w:val="single" w:sz="8" w:color="7F7F7F"/>
            </w:tcBorders>
            <w:shd w:val="clear" w:color="auto" w:fill="F2F2F2"/>
          </w:tcPr>
          <w:p>
            <w:pPr>
              <w:ind w:left="80"/>
              <w:spacing w:after="0" w:line="227" w:lineRule="exact"/>
              <w:rPr>
                <w:sz w:val="20"/>
                <w:szCs w:val="20"/>
                <w:color w:val="auto"/>
              </w:rPr>
            </w:pPr>
            <w:r>
              <w:rPr>
                <w:rFonts w:ascii="Arial" w:cs="Arial" w:eastAsia="Arial" w:hAnsi="Arial"/>
                <w:sz w:val="14"/>
                <w:szCs w:val="14"/>
                <w:color w:val="auto"/>
              </w:rPr>
              <w:t>Caroline A. Winn</w:t>
            </w:r>
            <w:r>
              <w:rPr>
                <w:rFonts w:ascii="Arial" w:cs="Arial" w:eastAsia="Arial" w:hAnsi="Arial"/>
                <w:sz w:val="21"/>
                <w:szCs w:val="21"/>
                <w:color w:val="auto"/>
                <w:vertAlign w:val="superscript"/>
              </w:rPr>
              <w:t>(4)</w:t>
            </w:r>
          </w:p>
        </w:tc>
        <w:tc>
          <w:tcPr>
            <w:tcW w:w="1560" w:type="dxa"/>
            <w:vAlign w:val="bottom"/>
            <w:tcBorders>
              <w:top w:val="single" w:sz="8" w:color="F2F2F2"/>
              <w:bottom w:val="single" w:sz="8" w:color="7F7F7F"/>
            </w:tcBorders>
            <w:shd w:val="clear" w:color="auto" w:fill="F2F2F2"/>
          </w:tcPr>
          <w:p>
            <w:pPr>
              <w:jc w:val="right"/>
              <w:ind w:right="289"/>
              <w:spacing w:after="0"/>
              <w:rPr>
                <w:sz w:val="20"/>
                <w:szCs w:val="20"/>
                <w:color w:val="auto"/>
              </w:rPr>
            </w:pPr>
            <w:r>
              <w:rPr>
                <w:rFonts w:ascii="Arial" w:cs="Arial" w:eastAsia="Arial" w:hAnsi="Arial"/>
                <w:sz w:val="14"/>
                <w:szCs w:val="14"/>
                <w:color w:val="auto"/>
              </w:rPr>
              <w:t>$   875,000</w:t>
            </w:r>
          </w:p>
        </w:tc>
        <w:tc>
          <w:tcPr>
            <w:tcW w:w="600" w:type="dxa"/>
            <w:vAlign w:val="bottom"/>
            <w:tcBorders>
              <w:top w:val="single" w:sz="8" w:color="F2F2F2"/>
              <w:bottom w:val="single" w:sz="8" w:color="7F7F7F"/>
            </w:tcBorders>
            <w:shd w:val="clear" w:color="auto" w:fill="F2F2F2"/>
          </w:tcPr>
          <w:p>
            <w:pPr>
              <w:spacing w:after="0"/>
              <w:rPr>
                <w:sz w:val="19"/>
                <w:szCs w:val="19"/>
                <w:color w:val="auto"/>
              </w:rPr>
            </w:pPr>
          </w:p>
        </w:tc>
        <w:tc>
          <w:tcPr>
            <w:tcW w:w="1280" w:type="dxa"/>
            <w:vAlign w:val="bottom"/>
            <w:tcBorders>
              <w:top w:val="single" w:sz="8" w:color="F2F2F2"/>
              <w:bottom w:val="single" w:sz="8" w:color="7F7F7F"/>
            </w:tcBorders>
            <w:shd w:val="clear" w:color="auto" w:fill="F2F2F2"/>
          </w:tcPr>
          <w:p>
            <w:pPr>
              <w:jc w:val="right"/>
              <w:ind w:right="109"/>
              <w:spacing w:after="0"/>
              <w:rPr>
                <w:sz w:val="20"/>
                <w:szCs w:val="20"/>
                <w:color w:val="auto"/>
              </w:rPr>
            </w:pPr>
            <w:r>
              <w:rPr>
                <w:rFonts w:ascii="Arial" w:cs="Arial" w:eastAsia="Arial" w:hAnsi="Arial"/>
                <w:sz w:val="14"/>
                <w:szCs w:val="14"/>
                <w:color w:val="auto"/>
              </w:rPr>
              <w:t>92%</w:t>
            </w:r>
          </w:p>
        </w:tc>
        <w:tc>
          <w:tcPr>
            <w:tcW w:w="460" w:type="dxa"/>
            <w:vAlign w:val="bottom"/>
            <w:tcBorders>
              <w:top w:val="single" w:sz="8" w:color="F2F2F2"/>
              <w:bottom w:val="single" w:sz="8" w:color="7F7F7F"/>
            </w:tcBorders>
            <w:shd w:val="clear" w:color="auto" w:fill="F2F2F2"/>
          </w:tcPr>
          <w:p>
            <w:pPr>
              <w:spacing w:after="0"/>
              <w:rPr>
                <w:sz w:val="19"/>
                <w:szCs w:val="19"/>
                <w:color w:val="auto"/>
              </w:rPr>
            </w:pPr>
          </w:p>
        </w:tc>
        <w:tc>
          <w:tcPr>
            <w:tcW w:w="1240" w:type="dxa"/>
            <w:vAlign w:val="bottom"/>
            <w:tcBorders>
              <w:top w:val="single" w:sz="8" w:color="F2F2F2"/>
              <w:bottom w:val="single" w:sz="8" w:color="7F7F7F"/>
            </w:tcBorders>
            <w:shd w:val="clear" w:color="auto" w:fill="F2F2F2"/>
          </w:tcPr>
          <w:p>
            <w:pPr>
              <w:jc w:val="right"/>
              <w:ind w:right="109"/>
              <w:spacing w:after="0"/>
              <w:rPr>
                <w:sz w:val="20"/>
                <w:szCs w:val="20"/>
                <w:color w:val="auto"/>
              </w:rPr>
            </w:pPr>
            <w:r>
              <w:rPr>
                <w:rFonts w:ascii="Arial" w:cs="Arial" w:eastAsia="Arial" w:hAnsi="Arial"/>
                <w:sz w:val="14"/>
                <w:szCs w:val="14"/>
                <w:color w:val="auto"/>
              </w:rPr>
              <w:t>182%</w:t>
            </w:r>
          </w:p>
        </w:tc>
        <w:tc>
          <w:tcPr>
            <w:tcW w:w="460" w:type="dxa"/>
            <w:vAlign w:val="bottom"/>
            <w:tcBorders>
              <w:top w:val="single" w:sz="8" w:color="F2F2F2"/>
              <w:bottom w:val="single" w:sz="8" w:color="7F7F7F"/>
            </w:tcBorders>
            <w:shd w:val="clear" w:color="auto" w:fill="F2F2F2"/>
          </w:tcPr>
          <w:p>
            <w:pPr>
              <w:spacing w:after="0"/>
              <w:rPr>
                <w:sz w:val="19"/>
                <w:szCs w:val="19"/>
                <w:color w:val="auto"/>
              </w:rPr>
            </w:pPr>
          </w:p>
        </w:tc>
        <w:tc>
          <w:tcPr>
            <w:tcW w:w="320" w:type="dxa"/>
            <w:vAlign w:val="bottom"/>
            <w:tcBorders>
              <w:top w:val="single" w:sz="8" w:color="F2F2F2"/>
              <w:bottom w:val="single" w:sz="8" w:color="7F7F7F"/>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F2F2F2"/>
              <w:bottom w:val="single" w:sz="8" w:color="7F7F7F"/>
            </w:tcBorders>
            <w:shd w:val="clear" w:color="auto" w:fill="F2F2F2"/>
          </w:tcPr>
          <w:p>
            <w:pPr>
              <w:jc w:val="right"/>
              <w:spacing w:after="0"/>
              <w:rPr>
                <w:sz w:val="20"/>
                <w:szCs w:val="20"/>
                <w:color w:val="auto"/>
              </w:rPr>
            </w:pPr>
            <w:r>
              <w:rPr>
                <w:rFonts w:ascii="Arial" w:cs="Arial" w:eastAsia="Arial" w:hAnsi="Arial"/>
                <w:sz w:val="14"/>
                <w:szCs w:val="14"/>
                <w:color w:val="auto"/>
                <w:w w:val="99"/>
              </w:rPr>
              <w:t>1,468,300</w:t>
            </w:r>
          </w:p>
        </w:tc>
      </w:tr>
      <w:tr>
        <w:trPr>
          <w:trHeight w:val="227"/>
        </w:trPr>
        <w:tc>
          <w:tcPr>
            <w:tcW w:w="4360" w:type="dxa"/>
            <w:vAlign w:val="bottom"/>
          </w:tcPr>
          <w:p>
            <w:pPr>
              <w:ind w:left="80"/>
              <w:spacing w:after="0"/>
              <w:rPr>
                <w:sz w:val="20"/>
                <w:szCs w:val="20"/>
                <w:color w:val="auto"/>
              </w:rPr>
            </w:pPr>
            <w:r>
              <w:rPr>
                <w:rFonts w:ascii="Arial" w:cs="Arial" w:eastAsia="Arial" w:hAnsi="Arial"/>
                <w:sz w:val="14"/>
                <w:szCs w:val="14"/>
                <w:color w:val="auto"/>
              </w:rPr>
              <w:t>Diana L. Day</w:t>
            </w:r>
          </w:p>
        </w:tc>
        <w:tc>
          <w:tcPr>
            <w:tcW w:w="1560" w:type="dxa"/>
            <w:vAlign w:val="bottom"/>
          </w:tcPr>
          <w:p>
            <w:pPr>
              <w:jc w:val="right"/>
              <w:ind w:right="289"/>
              <w:spacing w:after="0"/>
              <w:rPr>
                <w:sz w:val="20"/>
                <w:szCs w:val="20"/>
                <w:color w:val="auto"/>
              </w:rPr>
            </w:pPr>
            <w:r>
              <w:rPr>
                <w:rFonts w:ascii="Arial" w:cs="Arial" w:eastAsia="Arial" w:hAnsi="Arial"/>
                <w:sz w:val="14"/>
                <w:szCs w:val="14"/>
                <w:color w:val="auto"/>
              </w:rPr>
              <w:t>$   600,000</w:t>
            </w:r>
          </w:p>
        </w:tc>
        <w:tc>
          <w:tcPr>
            <w:tcW w:w="600" w:type="dxa"/>
            <w:vAlign w:val="bottom"/>
          </w:tcPr>
          <w:p>
            <w:pPr>
              <w:spacing w:after="0"/>
              <w:rPr>
                <w:sz w:val="19"/>
                <w:szCs w:val="19"/>
                <w:color w:val="auto"/>
              </w:rPr>
            </w:pP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75%</w:t>
            </w:r>
          </w:p>
        </w:tc>
        <w:tc>
          <w:tcPr>
            <w:tcW w:w="460" w:type="dxa"/>
            <w:vAlign w:val="bottom"/>
          </w:tcPr>
          <w:p>
            <w:pPr>
              <w:spacing w:after="0"/>
              <w:rPr>
                <w:sz w:val="19"/>
                <w:szCs w:val="19"/>
                <w:color w:val="auto"/>
              </w:rPr>
            </w:pP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173%</w:t>
            </w:r>
          </w:p>
        </w:tc>
        <w:tc>
          <w:tcPr>
            <w:tcW w:w="4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777,600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13</w:t>
      </w:r>
    </w:p>
    <w:p>
      <w:pPr>
        <w:spacing w:after="0" w:line="36" w:lineRule="exact"/>
        <w:rPr>
          <w:sz w:val="20"/>
          <w:szCs w:val="20"/>
          <w:color w:val="auto"/>
        </w:rPr>
      </w:pPr>
    </w:p>
    <w:p>
      <w:pPr>
        <w:ind w:left="480" w:hanging="313"/>
        <w:spacing w:after="0"/>
        <w:tabs>
          <w:tab w:leader="none" w:pos="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actual performance score of 172.79% is rounded to the nearest whole percentage in this Table 13 but is not rounded in calculating bonus payouts.</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Actual bonus payouts are rounded up to the nearest hundred dollars.</w:t>
      </w:r>
    </w:p>
    <w:p>
      <w:pPr>
        <w:spacing w:after="0" w:line="35" w:lineRule="exact"/>
        <w:rPr>
          <w:rFonts w:ascii="Arial" w:cs="Arial" w:eastAsia="Arial" w:hAnsi="Arial"/>
          <w:sz w:val="12"/>
          <w:szCs w:val="12"/>
          <w:color w:val="auto"/>
        </w:rPr>
      </w:pPr>
    </w:p>
    <w:p>
      <w:pPr>
        <w:ind w:left="480" w:right="460" w:hanging="313"/>
        <w:spacing w:after="0" w:line="267" w:lineRule="auto"/>
        <w:tabs>
          <w:tab w:leader="none" w:pos="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Mr. Bird’s performance-based annual bonus plan target increased from 90% to 100% effective June 21, 2025, to reflect an expanded scope of his role, and his 2025 award was prorated accordingly.</w:t>
      </w:r>
    </w:p>
    <w:p>
      <w:pPr>
        <w:ind w:left="480" w:right="100" w:hanging="313"/>
        <w:spacing w:after="0" w:line="256" w:lineRule="auto"/>
        <w:tabs>
          <w:tab w:leader="none" w:pos="4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Ms. Winn was promoted to her role effective July 5, 2025, and her performance-based annual bonus plan target was set at 100% at that time. Her 2025 award was prorated between the 100% target and 172.79% performance score under Sempra’s performance-based annual bonus plan and her prior target of 85% and the 191.71% performance score under the SDG&amp;E Executive Incentive Compensation Plan, in which she participated as Chief Executive Officer of SDG&amp;E prior to her promotion.</w:t>
      </w:r>
    </w:p>
    <w:p>
      <w:pPr>
        <w:spacing w:after="0" w:line="163"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21"/>
          <w:szCs w:val="21"/>
          <w:b w:val="1"/>
          <w:bCs w:val="1"/>
          <w:color w:val="auto"/>
        </w:rPr>
        <w:t>3. </w:t>
        <w:tab/>
        <w:t>Long-Term Equity-Based Incentives</w:t>
      </w:r>
    </w:p>
    <w:p>
      <w:pPr>
        <w:spacing w:after="0" w:line="125" w:lineRule="exact"/>
        <w:rPr>
          <w:sz w:val="20"/>
          <w:szCs w:val="20"/>
          <w:color w:val="auto"/>
        </w:rPr>
      </w:pPr>
    </w:p>
    <w:p>
      <w:pPr>
        <w:ind w:left="160" w:right="180"/>
        <w:spacing w:after="0" w:line="249" w:lineRule="auto"/>
        <w:rPr>
          <w:sz w:val="20"/>
          <w:szCs w:val="20"/>
          <w:color w:val="auto"/>
        </w:rPr>
      </w:pPr>
      <w:r>
        <w:rPr>
          <w:rFonts w:ascii="Arial" w:cs="Arial" w:eastAsia="Arial" w:hAnsi="Arial"/>
          <w:sz w:val="14"/>
          <w:szCs w:val="14"/>
          <w:color w:val="auto"/>
        </w:rPr>
        <w:t>Long-term equity-based incentives are the largest component of each named executive officer’s target total direct compensation package in 2025, comprising almost three-fourths of Mr. Martin’s target total direct compensation and approximately half of target total direct compensation for the other named executive officers. See Figure 3 for these percentages. In accordance with our pay-for-performance philosophy, performance-based restricted stock units constitute two-thirds of the 2025 annual long-term incentive plan awards and stock options (for Messrs. Martin and Bird and Ms. Sedgwick) or service-based restricted stock units (for Mss. Winn and Day) constitute the remaining one-third of the awards.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Rationale for 2025 Annual LTIP Award Design</w:t>
      </w:r>
    </w:p>
    <w:p>
      <w:pPr>
        <w:spacing w:after="0" w:line="110" w:lineRule="exact"/>
        <w:rPr>
          <w:sz w:val="20"/>
          <w:szCs w:val="20"/>
          <w:color w:val="auto"/>
        </w:rPr>
      </w:pPr>
    </w:p>
    <w:p>
      <w:pPr>
        <w:ind w:left="160" w:right="60"/>
        <w:spacing w:after="0" w:line="249" w:lineRule="auto"/>
        <w:rPr>
          <w:sz w:val="20"/>
          <w:szCs w:val="20"/>
          <w:color w:val="auto"/>
        </w:rPr>
      </w:pPr>
      <w:r>
        <w:rPr>
          <w:rFonts w:ascii="Arial" w:cs="Arial" w:eastAsia="Arial" w:hAnsi="Arial"/>
          <w:sz w:val="14"/>
          <w:szCs w:val="14"/>
          <w:color w:val="auto"/>
        </w:rPr>
        <w:t>The Compensation and Talent Development Committee has implemented what it believes is a balanced equity incentive award design that is based one-third on relative total shareholder return, one-third on relative EPS growth and one-third on either nonqualified stock options (for Messrs. Martin and Bird and Ms. Sedgwick) or service-based restricted stock units (for Mss. Winn and Day). The committee believes this design creates strong alignment with shareholder interests and our growth strategy and is simple and easily communicated to participants, shareholders and other stakeholders. The committee approved this equity award structure after considering many variables, including alignment with shareholder interests, retention, plan expense, share usage, market trends and feedback from our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95250</wp:posOffset>
            </wp:positionV>
            <wp:extent cx="69297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214630</wp:posOffset>
            </wp:positionV>
            <wp:extent cx="739140" cy="153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40"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57</w:t>
      </w:r>
    </w:p>
    <w:p>
      <w:pPr>
        <w:sectPr>
          <w:pgSz w:w="11900" w:h="16838" w:orient="portrait"/>
          <w:cols w:equalWidth="0" w:num="1">
            <w:col w:w="11120"/>
          </w:cols>
          <w:pgMar w:left="320" w:top="478"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45" w:lineRule="exact"/>
        <w:rPr>
          <w:sz w:val="20"/>
          <w:szCs w:val="20"/>
          <w:color w:val="auto"/>
        </w:rPr>
      </w:pPr>
    </w:p>
    <w:p>
      <w:pPr>
        <w:ind w:left="160"/>
        <w:spacing w:after="0" w:line="245" w:lineRule="auto"/>
        <w:rPr>
          <w:sz w:val="20"/>
          <w:szCs w:val="20"/>
          <w:color w:val="auto"/>
        </w:rPr>
      </w:pPr>
      <w:r>
        <w:rPr>
          <w:rFonts w:ascii="Arial" w:cs="Arial" w:eastAsia="Arial" w:hAnsi="Arial"/>
          <w:sz w:val="14"/>
          <w:szCs w:val="14"/>
          <w:color w:val="auto"/>
        </w:rPr>
        <w:t>In determining the design of the performance-based components of our 2025 annual LTIP awards, the Compensation and Talent Development Committee sought a direct link to long-term performance in comparison to indices and peers. To achieve this result, the committee used performance-based restricted stock units based on relative total shareholder return over a three-year performance period (constituting one-third of the target grant date award value, allocated 70% to performance relative to the S&amp;P 500 Utilities Index and 30% to performance relative to the S&amp;P 500 Index). The link between pay and earnings performance, which is reflected in our annual bonus plan with the use of company earnings as the primary performance metric, is further strengthened and broadened to a long-term perspective by using a second performance measure based on relative long-term EPS growth over a three-year performance period (constituting one-third of the target grant date award value). Stock options (weighted at one-third of the target grant date award value for Messrs. Martin and Bird and Ms. Sedgwick) also are aligned with the company’s strategic focus on long-term growth, and service-based restricted stock units (weighted at one-third for Mss. Winn and Day) promote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147320</wp:posOffset>
            </wp:positionV>
            <wp:extent cx="6929755" cy="21399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29755"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Figure 8</w:t>
      </w:r>
    </w:p>
    <w:p>
      <w:pPr>
        <w:spacing w:after="0" w:line="36" w:lineRule="exact"/>
        <w:rPr>
          <w:sz w:val="20"/>
          <w:szCs w:val="20"/>
          <w:color w:val="auto"/>
        </w:rPr>
      </w:pPr>
    </w:p>
    <w:p>
      <w:pPr>
        <w:ind w:left="480" w:right="20" w:hanging="313"/>
        <w:spacing w:after="0" w:line="267" w:lineRule="auto"/>
        <w:tabs>
          <w:tab w:leader="none" w:pos="4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TSR portion of the awards includes two components: one that measures TSR relative to the S&amp;P 500 Utilities Index, weighted at 70%, and one that measures TSR relative to the S&amp;P 500 Index, weighted at 30%.</w:t>
      </w:r>
    </w:p>
    <w:p>
      <w:pPr>
        <w:ind w:left="480" w:right="180" w:hanging="313"/>
        <w:spacing w:after="0" w:line="279" w:lineRule="auto"/>
        <w:tabs>
          <w:tab w:leader="none" w:pos="4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Stock options were awarded to the Chief Executive Officer and Executive Vice Presidents as of January 2, 2025. Other participants, consisting of Ms. Winn, who was promoted to Executive Vice President in July 2025, and Ms. Day, received service-based restricted stock units (RSUs) in lieu of stock options.</w:t>
      </w:r>
    </w:p>
    <w:p>
      <w:pPr>
        <w:spacing w:after="0" w:line="16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Determining Individual Equity Award Grants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granting the 2025 awards, the Compensation and Talent Development Committee:</w:t>
      </w:r>
    </w:p>
    <w:p>
      <w:pPr>
        <w:spacing w:after="0" w:line="120" w:lineRule="exact"/>
        <w:rPr>
          <w:sz w:val="20"/>
          <w:szCs w:val="20"/>
          <w:color w:val="auto"/>
        </w:rPr>
      </w:pPr>
    </w:p>
    <w:p>
      <w:pPr>
        <w:ind w:left="800" w:hanging="312"/>
        <w:spacing w:after="0"/>
        <w:tabs>
          <w:tab w:leader="none" w:pos="800" w:val="left"/>
        </w:tabs>
        <w:numPr>
          <w:ilvl w:val="0"/>
          <w:numId w:val="74"/>
        </w:numPr>
        <w:rPr>
          <w:rFonts w:ascii="Times New Roman" w:cs="Times New Roman" w:eastAsia="Times New Roman" w:hAnsi="Times New Roman"/>
          <w:sz w:val="14"/>
          <w:szCs w:val="14"/>
          <w:color w:val="005CB9"/>
        </w:rPr>
      </w:pPr>
      <w:r>
        <w:rPr>
          <w:rFonts w:ascii="Arial" w:cs="Arial" w:eastAsia="Arial" w:hAnsi="Arial"/>
          <w:sz w:val="14"/>
          <w:szCs w:val="14"/>
          <w:color w:val="auto"/>
        </w:rPr>
        <w:t>Selected a target dollar value and other terms for each named executive officer’s award, and</w:t>
      </w:r>
    </w:p>
    <w:p>
      <w:pPr>
        <w:spacing w:after="0" w:line="119" w:lineRule="exact"/>
        <w:rPr>
          <w:rFonts w:ascii="Times New Roman" w:cs="Times New Roman" w:eastAsia="Times New Roman" w:hAnsi="Times New Roman"/>
          <w:sz w:val="14"/>
          <w:szCs w:val="14"/>
          <w:color w:val="005CB9"/>
        </w:rPr>
      </w:pPr>
    </w:p>
    <w:p>
      <w:pPr>
        <w:ind w:left="800" w:right="480" w:hanging="312"/>
        <w:spacing w:after="0" w:line="280" w:lineRule="auto"/>
        <w:tabs>
          <w:tab w:leader="none" w:pos="800" w:val="left"/>
        </w:tabs>
        <w:numPr>
          <w:ilvl w:val="0"/>
          <w:numId w:val="74"/>
        </w:numPr>
        <w:rPr>
          <w:rFonts w:ascii="Times New Roman" w:cs="Times New Roman" w:eastAsia="Times New Roman" w:hAnsi="Times New Roman"/>
          <w:sz w:val="14"/>
          <w:szCs w:val="14"/>
          <w:color w:val="005CB9"/>
        </w:rPr>
      </w:pPr>
      <w:r>
        <w:rPr>
          <w:rFonts w:ascii="Arial" w:cs="Arial" w:eastAsia="Arial" w:hAnsi="Arial"/>
          <w:sz w:val="14"/>
          <w:szCs w:val="14"/>
          <w:color w:val="auto"/>
        </w:rPr>
        <w:t>Calculated the number of shares underlying the awards using the target dollar value selected for each named executive officer, as opposed to using a fixed number of shares.</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This approach allows maintenance of a pay mix the committee believes to be optimal.</w:t>
      </w:r>
    </w:p>
    <w:p>
      <w:pPr>
        <w:spacing w:after="0" w:line="106" w:lineRule="exact"/>
        <w:rPr>
          <w:sz w:val="20"/>
          <w:szCs w:val="20"/>
          <w:color w:val="auto"/>
        </w:rPr>
      </w:pPr>
    </w:p>
    <w:p>
      <w:pPr>
        <w:jc w:val="both"/>
        <w:ind w:left="160" w:right="60"/>
        <w:spacing w:after="0" w:line="260" w:lineRule="auto"/>
        <w:rPr>
          <w:sz w:val="20"/>
          <w:szCs w:val="20"/>
          <w:color w:val="auto"/>
        </w:rPr>
      </w:pPr>
      <w:r>
        <w:rPr>
          <w:rFonts w:ascii="Arial" w:cs="Arial" w:eastAsia="Arial" w:hAnsi="Arial"/>
          <w:sz w:val="14"/>
          <w:szCs w:val="14"/>
          <w:color w:val="auto"/>
        </w:rPr>
        <w:t>On the grant date, we calculated the precise number of shares underlying the award granted to each named executive officer by dividing the target dollar value selected for each named executive officer’s award by the grant date closing price of Sempra’s common stock for the performance-based and service-based restricted stock units and by the Black-Scholes value for nonqualified stock options.</w:t>
      </w:r>
    </w:p>
    <w:p>
      <w:pPr>
        <w:spacing w:after="0" w:line="65" w:lineRule="exact"/>
        <w:rPr>
          <w:sz w:val="20"/>
          <w:szCs w:val="20"/>
          <w:color w:val="auto"/>
        </w:rPr>
      </w:pPr>
    </w:p>
    <w:p>
      <w:pPr>
        <w:ind w:left="160" w:right="140"/>
        <w:spacing w:after="0" w:line="260" w:lineRule="auto"/>
        <w:rPr>
          <w:sz w:val="20"/>
          <w:szCs w:val="20"/>
          <w:color w:val="auto"/>
        </w:rPr>
      </w:pPr>
      <w:r>
        <w:rPr>
          <w:rFonts w:ascii="Arial" w:cs="Arial" w:eastAsia="Arial" w:hAnsi="Arial"/>
          <w:sz w:val="14"/>
          <w:szCs w:val="14"/>
          <w:color w:val="auto"/>
        </w:rPr>
        <w:t>These target grant values are presented in Table 14 below and differ from the values reported in “Compensation Tables—Summary Compensation Table” and “Compensation Tables—Grants of Plan-Based Awards” with respect to awards based on relative total shareholder return, which are reported in those compensation tables based on a Monte Carlo valuation that is used to calculate the grant date fair value.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Target Value of Long-Term Equity-Based Incentives</w:t>
      </w:r>
    </w:p>
    <w:p>
      <w:pPr>
        <w:spacing w:after="0" w:line="110" w:lineRule="exact"/>
        <w:rPr>
          <w:sz w:val="20"/>
          <w:szCs w:val="20"/>
          <w:color w:val="auto"/>
        </w:rPr>
      </w:pPr>
    </w:p>
    <w:p>
      <w:pPr>
        <w:ind w:left="160" w:right="20"/>
        <w:spacing w:after="0" w:line="253" w:lineRule="auto"/>
        <w:rPr>
          <w:sz w:val="20"/>
          <w:szCs w:val="20"/>
          <w:color w:val="auto"/>
        </w:rPr>
      </w:pPr>
      <w:r>
        <w:rPr>
          <w:rFonts w:ascii="Arial" w:cs="Arial" w:eastAsia="Arial" w:hAnsi="Arial"/>
          <w:sz w:val="14"/>
          <w:szCs w:val="14"/>
          <w:color w:val="auto"/>
        </w:rPr>
        <w:t>The target values for the 2025 annual long-term incentive plan awards granted to the named executive officers are summarized below in Table 14. In determining target award values for each named executive officer, the Compensation and Talent Development Committee took into account factors including competitive market data, each individual’s responsibilities and contributions, and the company’s retention objectives. The target values of 2025 LTIP awards also reflect the committee’s focus on delivering the largest portion of pay in the form of long-term, performance-based incentives.</w:t>
      </w:r>
    </w:p>
    <w:p>
      <w:pPr>
        <w:spacing w:after="0" w:line="70" w:lineRule="exact"/>
        <w:rPr>
          <w:sz w:val="20"/>
          <w:szCs w:val="20"/>
          <w:color w:val="auto"/>
        </w:rPr>
      </w:pPr>
    </w:p>
    <w:p>
      <w:pPr>
        <w:ind w:left="160" w:right="300"/>
        <w:spacing w:after="0" w:line="260" w:lineRule="auto"/>
        <w:rPr>
          <w:sz w:val="20"/>
          <w:szCs w:val="20"/>
          <w:color w:val="auto"/>
        </w:rPr>
      </w:pPr>
      <w:r>
        <w:rPr>
          <w:rFonts w:ascii="Arial" w:cs="Arial" w:eastAsia="Arial" w:hAnsi="Arial"/>
          <w:sz w:val="14"/>
          <w:szCs w:val="14"/>
          <w:color w:val="auto"/>
        </w:rPr>
        <w:t>The committee feels it is important that the Chief Executive Officer’s compensation is highly aligned with shareholder value creation through meaningful and competitive performance-based equity awards. Specifically, for Mr. Martin’s long-term incentive plan awards, which were determined in late 2024 and granted in January 2025, the committee considered the following factors:</w:t>
      </w:r>
    </w:p>
    <w:p>
      <w:pPr>
        <w:spacing w:after="0" w:line="79" w:lineRule="exact"/>
        <w:rPr>
          <w:sz w:val="20"/>
          <w:szCs w:val="20"/>
          <w:color w:val="auto"/>
        </w:rPr>
      </w:pPr>
    </w:p>
    <w:p>
      <w:pPr>
        <w:ind w:left="800" w:right="180" w:hanging="312"/>
        <w:spacing w:after="0" w:line="280" w:lineRule="auto"/>
        <w:tabs>
          <w:tab w:leader="none" w:pos="800" w:val="left"/>
        </w:tabs>
        <w:numPr>
          <w:ilvl w:val="0"/>
          <w:numId w:val="75"/>
        </w:numPr>
        <w:rPr>
          <w:rFonts w:ascii="Times New Roman" w:cs="Times New Roman" w:eastAsia="Times New Roman" w:hAnsi="Times New Roman"/>
          <w:sz w:val="14"/>
          <w:szCs w:val="14"/>
          <w:color w:val="005CB9"/>
        </w:rPr>
      </w:pPr>
      <w:r>
        <w:rPr>
          <w:rFonts w:ascii="Arial" w:cs="Arial" w:eastAsia="Arial" w:hAnsi="Arial"/>
          <w:sz w:val="14"/>
          <w:szCs w:val="14"/>
          <w:color w:val="auto"/>
        </w:rPr>
        <w:t>Recognition of the outstanding shareholder value achieved in 2024 and over longer-term periods ending in 2024 during his eight-year tenure as Chief Executive Officer, as described under “Target Compensation Summary” above</w:t>
      </w:r>
    </w:p>
    <w:p>
      <w:pPr>
        <w:spacing w:after="0" w:line="64" w:lineRule="exact"/>
        <w:rPr>
          <w:rFonts w:ascii="Times New Roman" w:cs="Times New Roman" w:eastAsia="Times New Roman" w:hAnsi="Times New Roman"/>
          <w:sz w:val="14"/>
          <w:szCs w:val="14"/>
          <w:color w:val="005CB9"/>
        </w:rPr>
      </w:pPr>
    </w:p>
    <w:p>
      <w:pPr>
        <w:ind w:left="800" w:right="180" w:hanging="312"/>
        <w:spacing w:after="0" w:line="280" w:lineRule="auto"/>
        <w:tabs>
          <w:tab w:leader="none" w:pos="800" w:val="left"/>
        </w:tabs>
        <w:numPr>
          <w:ilvl w:val="0"/>
          <w:numId w:val="75"/>
        </w:numPr>
        <w:rPr>
          <w:rFonts w:ascii="Times New Roman" w:cs="Times New Roman" w:eastAsia="Times New Roman" w:hAnsi="Times New Roman"/>
          <w:sz w:val="14"/>
          <w:szCs w:val="14"/>
          <w:color w:val="005CB9"/>
        </w:rPr>
      </w:pPr>
      <w:r>
        <w:rPr>
          <w:rFonts w:ascii="Arial" w:cs="Arial" w:eastAsia="Arial" w:hAnsi="Arial"/>
          <w:sz w:val="14"/>
          <w:szCs w:val="14"/>
          <w:color w:val="auto"/>
        </w:rPr>
        <w:t>A desire to denominate the vast majority of Mr. Martin’s compensation in performance-based equity pay that is multi-year in nature and aligned with shareholder value creation</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75"/>
        </w:numPr>
        <w:rPr>
          <w:rFonts w:ascii="Times New Roman" w:cs="Times New Roman" w:eastAsia="Times New Roman" w:hAnsi="Times New Roman"/>
          <w:sz w:val="14"/>
          <w:szCs w:val="14"/>
          <w:color w:val="005CB9"/>
        </w:rPr>
      </w:pPr>
      <w:r>
        <w:rPr>
          <w:rFonts w:ascii="Arial" w:cs="Arial" w:eastAsia="Arial" w:hAnsi="Arial"/>
          <w:sz w:val="14"/>
          <w:szCs w:val="14"/>
          <w:color w:val="auto"/>
        </w:rPr>
        <w:t>Providing compensation opportunity aligned with Sempra’s size and performance relative to the labor market data considered</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75"/>
        </w:numPr>
        <w:rPr>
          <w:rFonts w:ascii="Times New Roman" w:cs="Times New Roman" w:eastAsia="Times New Roman" w:hAnsi="Times New Roman"/>
          <w:sz w:val="14"/>
          <w:szCs w:val="14"/>
          <w:color w:val="005CB9"/>
        </w:rPr>
      </w:pPr>
      <w:r>
        <w:rPr>
          <w:rFonts w:ascii="Arial" w:cs="Arial" w:eastAsia="Arial" w:hAnsi="Arial"/>
          <w:sz w:val="14"/>
          <w:szCs w:val="14"/>
          <w:color w:val="auto"/>
        </w:rPr>
        <w:t>The importance of retaining executive leadership while the company is at a pivotal time in advancing its corporate strategy</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75"/>
        </w:numPr>
        <w:rPr>
          <w:rFonts w:ascii="Times New Roman" w:cs="Times New Roman" w:eastAsia="Times New Roman" w:hAnsi="Times New Roman"/>
          <w:sz w:val="14"/>
          <w:szCs w:val="14"/>
          <w:color w:val="005CB9"/>
        </w:rPr>
      </w:pPr>
      <w:r>
        <w:rPr>
          <w:rFonts w:ascii="Arial" w:cs="Arial" w:eastAsia="Arial" w:hAnsi="Arial"/>
          <w:sz w:val="14"/>
          <w:szCs w:val="14"/>
          <w:color w:val="auto"/>
        </w:rPr>
        <w:t>An overall assessment of Mr. Martin’s execution of the company’s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58               </w:t>
      </w:r>
      <w:r>
        <w:rPr>
          <w:sz w:val="1"/>
          <w:szCs w:val="1"/>
          <w:color w:val="auto"/>
        </w:rPr>
        <w:drawing>
          <wp:inline distT="0" distB="0" distL="0" distR="0">
            <wp:extent cx="739140" cy="144145"/>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40"/>
          </w:cols>
          <w:pgMar w:left="320" w:top="478" w:right="5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56" w:lineRule="exact"/>
        <w:rPr>
          <w:sz w:val="20"/>
          <w:szCs w:val="20"/>
          <w:color w:val="auto"/>
        </w:rPr>
      </w:pPr>
    </w:p>
    <w:p>
      <w:pPr>
        <w:ind w:left="160" w:right="180"/>
        <w:spacing w:after="0" w:line="249" w:lineRule="auto"/>
        <w:rPr>
          <w:sz w:val="20"/>
          <w:szCs w:val="20"/>
          <w:color w:val="auto"/>
        </w:rPr>
      </w:pPr>
      <w:r>
        <w:rPr>
          <w:rFonts w:ascii="Arial" w:cs="Arial" w:eastAsia="Arial" w:hAnsi="Arial"/>
          <w:sz w:val="14"/>
          <w:szCs w:val="14"/>
          <w:color w:val="auto"/>
        </w:rPr>
        <w:t>The ultimate value of long-term equity-based incentives depends on (i) for stock options, the absolute growth of the stock price, (ii) for TSR-based performance-based restricted stock units, the relative stock price growth and dividend yield compared to both general industry and utility companies, (iii) for EPS growth-based performance-based restricted stock units, whether the company’s adjusted EPS growth outperforms peers, and (iv) for all equity based awards, the stock price at the time an executive officer chooses to sell any shares that vest. No element of the program provides value if performance standards are not achieved or, in the case of stock options, our stock price does not increase from the closing price on the date of grant.</w:t>
      </w:r>
    </w:p>
    <w:p>
      <w:pPr>
        <w:spacing w:after="0" w:line="217"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8120" w:type="dxa"/>
            <w:vAlign w:val="bottom"/>
            <w:shd w:val="clear" w:color="auto" w:fill="005CB9"/>
          </w:tcPr>
          <w:p>
            <w:pPr>
              <w:spacing w:after="0"/>
              <w:rPr>
                <w:sz w:val="18"/>
                <w:szCs w:val="18"/>
                <w:color w:val="auto"/>
              </w:rPr>
            </w:pPr>
          </w:p>
        </w:tc>
        <w:tc>
          <w:tcPr>
            <w:tcW w:w="1740" w:type="dxa"/>
            <w:vAlign w:val="bottom"/>
            <w:shd w:val="clear" w:color="auto" w:fill="005CB9"/>
          </w:tcPr>
          <w:p>
            <w:pPr>
              <w:spacing w:after="0"/>
              <w:rPr>
                <w:sz w:val="18"/>
                <w:szCs w:val="18"/>
                <w:color w:val="auto"/>
              </w:rPr>
            </w:pPr>
          </w:p>
        </w:tc>
        <w:tc>
          <w:tcPr>
            <w:tcW w:w="1060" w:type="dxa"/>
            <w:vAlign w:val="bottom"/>
            <w:shd w:val="clear" w:color="auto" w:fill="005CB9"/>
          </w:tcPr>
          <w:p>
            <w:pPr>
              <w:jc w:val="right"/>
              <w:ind w:right="609"/>
              <w:spacing w:after="0"/>
              <w:rPr>
                <w:sz w:val="20"/>
                <w:szCs w:val="20"/>
                <w:color w:val="auto"/>
              </w:rPr>
            </w:pPr>
            <w:r>
              <w:rPr>
                <w:rFonts w:ascii="Arial" w:cs="Arial" w:eastAsia="Arial" w:hAnsi="Arial"/>
                <w:sz w:val="14"/>
                <w:szCs w:val="14"/>
                <w:b w:val="1"/>
                <w:bCs w:val="1"/>
                <w:color w:val="FFFFFF"/>
              </w:rPr>
              <w:t xml:space="preserve">   </w:t>
            </w:r>
          </w:p>
        </w:tc>
      </w:tr>
      <w:tr>
        <w:trPr>
          <w:trHeight w:val="160"/>
        </w:trPr>
        <w:tc>
          <w:tcPr>
            <w:tcW w:w="8120" w:type="dxa"/>
            <w:vAlign w:val="bottom"/>
            <w:shd w:val="clear" w:color="auto" w:fill="005CB9"/>
          </w:tcPr>
          <w:p>
            <w:pPr>
              <w:spacing w:after="0"/>
              <w:rPr>
                <w:sz w:val="13"/>
                <w:szCs w:val="13"/>
                <w:color w:val="auto"/>
              </w:rPr>
            </w:pPr>
          </w:p>
        </w:tc>
        <w:tc>
          <w:tcPr>
            <w:tcW w:w="2800" w:type="dxa"/>
            <w:vAlign w:val="bottom"/>
            <w:gridSpan w:val="2"/>
            <w:shd w:val="clear" w:color="auto" w:fill="005CB9"/>
          </w:tcPr>
          <w:p>
            <w:pPr>
              <w:jc w:val="right"/>
              <w:spacing w:after="0"/>
              <w:rPr>
                <w:sz w:val="20"/>
                <w:szCs w:val="20"/>
                <w:color w:val="auto"/>
              </w:rPr>
            </w:pPr>
            <w:r>
              <w:rPr>
                <w:rFonts w:ascii="Arial" w:cs="Arial" w:eastAsia="Arial" w:hAnsi="Arial"/>
                <w:sz w:val="14"/>
                <w:szCs w:val="14"/>
                <w:b w:val="1"/>
                <w:bCs w:val="1"/>
                <w:color w:val="FFFFFF"/>
              </w:rPr>
              <w:t>Target Value of 2025  </w:t>
            </w:r>
          </w:p>
        </w:tc>
      </w:tr>
      <w:tr>
        <w:trPr>
          <w:trHeight w:val="217"/>
        </w:trPr>
        <w:tc>
          <w:tcPr>
            <w:tcW w:w="8120" w:type="dxa"/>
            <w:vAlign w:val="bottom"/>
            <w:tcBorders>
              <w:bottom w:val="single" w:sz="8" w:color="005CB9"/>
            </w:tcBorders>
            <w:shd w:val="clear" w:color="auto" w:fill="005CB9"/>
          </w:tcPr>
          <w:p>
            <w:pPr>
              <w:spacing w:after="0"/>
              <w:rPr>
                <w:sz w:val="18"/>
                <w:szCs w:val="18"/>
                <w:color w:val="auto"/>
              </w:rPr>
            </w:pPr>
          </w:p>
        </w:tc>
        <w:tc>
          <w:tcPr>
            <w:tcW w:w="2800" w:type="dxa"/>
            <w:vAlign w:val="bottom"/>
            <w:tcBorders>
              <w:bottom w:val="single" w:sz="8" w:color="005CB9"/>
            </w:tcBorders>
            <w:gridSpan w:val="2"/>
            <w:shd w:val="clear" w:color="auto" w:fill="005CB9"/>
          </w:tcPr>
          <w:p>
            <w:pPr>
              <w:jc w:val="right"/>
              <w:ind w:right="29"/>
              <w:spacing w:after="0"/>
              <w:rPr>
                <w:sz w:val="20"/>
                <w:szCs w:val="20"/>
                <w:color w:val="auto"/>
              </w:rPr>
            </w:pPr>
            <w:r>
              <w:rPr>
                <w:rFonts w:ascii="Arial" w:cs="Arial" w:eastAsia="Arial" w:hAnsi="Arial"/>
                <w:sz w:val="14"/>
                <w:szCs w:val="14"/>
                <w:b w:val="1"/>
                <w:bCs w:val="1"/>
                <w:color w:val="FFFFFF"/>
              </w:rPr>
              <w:t>Annual LTIP Award</w:t>
            </w:r>
          </w:p>
        </w:tc>
      </w:tr>
      <w:tr>
        <w:trPr>
          <w:trHeight w:val="247"/>
        </w:trPr>
        <w:tc>
          <w:tcPr>
            <w:tcW w:w="8120" w:type="dxa"/>
            <w:vAlign w:val="bottom"/>
          </w:tcPr>
          <w:p>
            <w:pPr>
              <w:ind w:left="80"/>
              <w:spacing w:after="0"/>
              <w:rPr>
                <w:sz w:val="20"/>
                <w:szCs w:val="20"/>
                <w:color w:val="auto"/>
              </w:rPr>
            </w:pPr>
            <w:r>
              <w:rPr>
                <w:rFonts w:ascii="Arial" w:cs="Arial" w:eastAsia="Arial" w:hAnsi="Arial"/>
                <w:sz w:val="14"/>
                <w:szCs w:val="14"/>
                <w:color w:val="auto"/>
              </w:rPr>
              <w:t>Jeffrey W. Martin</w:t>
            </w:r>
          </w:p>
        </w:tc>
        <w:tc>
          <w:tcPr>
            <w:tcW w:w="1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13,740,000</w:t>
            </w:r>
          </w:p>
        </w:tc>
      </w:tr>
      <w:tr>
        <w:trPr>
          <w:trHeight w:val="48"/>
        </w:trPr>
        <w:tc>
          <w:tcPr>
            <w:tcW w:w="8120" w:type="dxa"/>
            <w:vAlign w:val="bottom"/>
            <w:tcBorders>
              <w:bottom w:val="single" w:sz="8" w:color="7F7F7F"/>
            </w:tcBorders>
          </w:tcPr>
          <w:p>
            <w:pPr>
              <w:spacing w:after="0"/>
              <w:rPr>
                <w:sz w:val="4"/>
                <w:szCs w:val="4"/>
                <w:color w:val="auto"/>
              </w:rPr>
            </w:pPr>
          </w:p>
        </w:tc>
        <w:tc>
          <w:tcPr>
            <w:tcW w:w="174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r>
      <w:tr>
        <w:trPr>
          <w:trHeight w:val="279"/>
        </w:trPr>
        <w:tc>
          <w:tcPr>
            <w:tcW w:w="81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Karen L. Sedgwick</w:t>
            </w:r>
          </w:p>
        </w:tc>
        <w:tc>
          <w:tcPr>
            <w:tcW w:w="174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2,520,000</w:t>
            </w:r>
          </w:p>
        </w:tc>
      </w:tr>
      <w:tr>
        <w:trPr>
          <w:trHeight w:val="227"/>
        </w:trPr>
        <w:tc>
          <w:tcPr>
            <w:tcW w:w="812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Justin C. Bird</w:t>
            </w:r>
          </w:p>
        </w:tc>
        <w:tc>
          <w:tcPr>
            <w:tcW w:w="174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2,485,000</w:t>
            </w:r>
          </w:p>
        </w:tc>
      </w:tr>
      <w:tr>
        <w:trPr>
          <w:trHeight w:val="48"/>
        </w:trPr>
        <w:tc>
          <w:tcPr>
            <w:tcW w:w="8120" w:type="dxa"/>
            <w:vAlign w:val="bottom"/>
            <w:tcBorders>
              <w:bottom w:val="single" w:sz="8" w:color="7F7F7F"/>
            </w:tcBorders>
          </w:tcPr>
          <w:p>
            <w:pPr>
              <w:spacing w:after="0"/>
              <w:rPr>
                <w:sz w:val="4"/>
                <w:szCs w:val="4"/>
                <w:color w:val="auto"/>
              </w:rPr>
            </w:pPr>
          </w:p>
        </w:tc>
        <w:tc>
          <w:tcPr>
            <w:tcW w:w="1740" w:type="dxa"/>
            <w:vAlign w:val="bottom"/>
            <w:tcBorders>
              <w:bottom w:val="single" w:sz="8" w:color="7F7F7F"/>
            </w:tcBorders>
          </w:tcPr>
          <w:p>
            <w:pPr>
              <w:spacing w:after="0"/>
              <w:rPr>
                <w:sz w:val="4"/>
                <w:szCs w:val="4"/>
                <w:color w:val="auto"/>
              </w:rPr>
            </w:pPr>
          </w:p>
        </w:tc>
        <w:tc>
          <w:tcPr>
            <w:tcW w:w="1060" w:type="dxa"/>
            <w:vAlign w:val="bottom"/>
            <w:tcBorders>
              <w:bottom w:val="single" w:sz="8" w:color="7F7F7F"/>
            </w:tcBorders>
          </w:tcPr>
          <w:p>
            <w:pPr>
              <w:spacing w:after="0"/>
              <w:rPr>
                <w:sz w:val="4"/>
                <w:szCs w:val="4"/>
                <w:color w:val="auto"/>
              </w:rPr>
            </w:pPr>
          </w:p>
        </w:tc>
      </w:tr>
      <w:tr>
        <w:trPr>
          <w:trHeight w:val="279"/>
        </w:trPr>
        <w:tc>
          <w:tcPr>
            <w:tcW w:w="812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Caroline A. Winn</w:t>
            </w:r>
          </w:p>
        </w:tc>
        <w:tc>
          <w:tcPr>
            <w:tcW w:w="174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1,646,400</w:t>
            </w:r>
          </w:p>
        </w:tc>
      </w:tr>
      <w:tr>
        <w:trPr>
          <w:trHeight w:val="227"/>
        </w:trPr>
        <w:tc>
          <w:tcPr>
            <w:tcW w:w="812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Diana L. Day</w:t>
            </w:r>
          </w:p>
        </w:tc>
        <w:tc>
          <w:tcPr>
            <w:tcW w:w="174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1,250,000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14</w:t>
      </w:r>
    </w:p>
    <w:p>
      <w:pPr>
        <w:spacing w:after="0" w:line="111" w:lineRule="exact"/>
        <w:rPr>
          <w:sz w:val="20"/>
          <w:szCs w:val="20"/>
          <w:color w:val="auto"/>
        </w:rPr>
      </w:pPr>
    </w:p>
    <w:p>
      <w:pPr>
        <w:jc w:val="both"/>
        <w:ind w:left="160" w:right="220"/>
        <w:spacing w:after="0" w:line="260" w:lineRule="auto"/>
        <w:rPr>
          <w:sz w:val="20"/>
          <w:szCs w:val="20"/>
          <w:color w:val="auto"/>
        </w:rPr>
      </w:pPr>
      <w:r>
        <w:rPr>
          <w:rFonts w:ascii="Arial" w:cs="Arial" w:eastAsia="Arial" w:hAnsi="Arial"/>
          <w:sz w:val="14"/>
          <w:szCs w:val="14"/>
          <w:color w:val="auto"/>
        </w:rPr>
        <w:t>The actual amounts realized by equity award recipients will depend on future stock price performance, common stock dividend payouts and our EPS performance and the degree to which the established performance measures are achieved. Given the sensitivity to performance outcomes, the amounts ultimately realized are not expected to align with the target values at grant.</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Performance Goals for the 2025 Performance-Based Restricted Stock Units</w:t>
      </w:r>
    </w:p>
    <w:p>
      <w:pPr>
        <w:spacing w:after="0" w:line="110" w:lineRule="exact"/>
        <w:rPr>
          <w:sz w:val="20"/>
          <w:szCs w:val="20"/>
          <w:color w:val="auto"/>
        </w:rPr>
      </w:pPr>
    </w:p>
    <w:p>
      <w:pPr>
        <w:ind w:left="160" w:right="100"/>
        <w:spacing w:after="0" w:line="260" w:lineRule="auto"/>
        <w:rPr>
          <w:sz w:val="20"/>
          <w:szCs w:val="20"/>
          <w:color w:val="auto"/>
        </w:rPr>
      </w:pPr>
      <w:r>
        <w:rPr>
          <w:rFonts w:ascii="Arial" w:cs="Arial" w:eastAsia="Arial" w:hAnsi="Arial"/>
          <w:sz w:val="14"/>
          <w:szCs w:val="14"/>
          <w:color w:val="auto"/>
        </w:rPr>
        <w:t>The 2025 annual long-term incentive plan awards include two performance measures—relative total shareholder return and relative EPS growth, each weighted at one-third of the total target award value. The portion of the awards linked to relative total shareholder return is weighted between total shareholder return relative to our S&amp;P 500 Utilities Index peers (70% weighting) and total shareholder return relative to the S&amp;P 500 Index (30% weighting).</w:t>
      </w:r>
    </w:p>
    <w:p>
      <w:pPr>
        <w:spacing w:after="0" w:line="174"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14"/>
          <w:szCs w:val="14"/>
          <w:i w:val="1"/>
          <w:iCs w:val="1"/>
          <w:color w:val="auto"/>
        </w:rPr>
        <w:t>1. </w:t>
        <w:tab/>
        <w:t>Relative Total Shareholder Return</w:t>
      </w:r>
    </w:p>
    <w:p>
      <w:pPr>
        <w:spacing w:after="0" w:line="104" w:lineRule="exact"/>
        <w:rPr>
          <w:sz w:val="20"/>
          <w:szCs w:val="20"/>
          <w:color w:val="auto"/>
        </w:rPr>
      </w:pPr>
    </w:p>
    <w:p>
      <w:pPr>
        <w:ind w:left="160" w:right="180"/>
        <w:spacing w:after="0" w:line="249" w:lineRule="auto"/>
        <w:rPr>
          <w:sz w:val="20"/>
          <w:szCs w:val="20"/>
          <w:color w:val="auto"/>
        </w:rPr>
      </w:pPr>
      <w:r>
        <w:rPr>
          <w:rFonts w:ascii="Arial" w:cs="Arial" w:eastAsia="Arial" w:hAnsi="Arial"/>
          <w:sz w:val="14"/>
          <w:szCs w:val="14"/>
          <w:color w:val="auto"/>
        </w:rPr>
        <w:t>Each TSR-based performance-based restricted stock unit represents the right to receive between zero and two shares of Sempra common stock based on the company’s three-year cumulative total shareholder return compared to our S&amp;P 500 Utilities Index peers or the S&amp;P 500 Index, as applicable. The Compensation and Talent Development Committee uses relative total shareholder return over a three-year period as a performance measure because this measure strongly aligns named executive officer performance with the long-term interests of our shareholders. We measure our total shareholder return against both the S&amp;P 500 Utilities Index and the S&amp;P 500 Index because our operations extend beyond those of a typical utility and we have significant international and non-utility energy infrastructure assets and operations.</w:t>
      </w:r>
    </w:p>
    <w:p>
      <w:pPr>
        <w:spacing w:after="0" w:line="70" w:lineRule="exact"/>
        <w:rPr>
          <w:sz w:val="20"/>
          <w:szCs w:val="20"/>
          <w:color w:val="auto"/>
        </w:rPr>
      </w:pPr>
    </w:p>
    <w:p>
      <w:pPr>
        <w:ind w:left="160" w:right="20"/>
        <w:spacing w:after="0" w:line="228" w:lineRule="auto"/>
        <w:rPr>
          <w:sz w:val="20"/>
          <w:szCs w:val="20"/>
          <w:color w:val="auto"/>
        </w:rPr>
      </w:pPr>
      <w:r>
        <w:rPr>
          <w:rFonts w:ascii="Arial" w:cs="Arial" w:eastAsia="Arial" w:hAnsi="Arial"/>
          <w:sz w:val="14"/>
          <w:szCs w:val="14"/>
          <w:color w:val="auto"/>
        </w:rPr>
        <w:t>If the company’s performance is at the target performance level (the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of the applicable index), participants will earn one share for each restricted stock unit. Participants have the opportunity to earn up to two shares for each restricted stock unit if performance exceeds the target performance level. Participants earn a partial share for performance between the threshold and target performance levels and between one and two shares for performance between target and maximum performance levels, as shown below. No shares are earned for performance below the 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of the applicable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83185</wp:posOffset>
            </wp:positionV>
            <wp:extent cx="6929755" cy="3994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29755" cy="39941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18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F"/>
        </w:rPr>
        <w:t>Cumulative Total Shareholder Return Percentile Rank vs.</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FFFFFF"/>
        </w:rPr>
        <w:t>S&amp;P 500 Utilities Index Peers or S&amp;P 500 Index</w:t>
      </w:r>
    </w:p>
    <w:p>
      <w:pPr>
        <w:ind w:left="240"/>
        <w:spacing w:after="0"/>
        <w:rPr>
          <w:sz w:val="20"/>
          <w:szCs w:val="20"/>
          <w:color w:val="auto"/>
        </w:rPr>
      </w:pPr>
      <w:r>
        <w:rPr>
          <w:rFonts w:ascii="Arial" w:cs="Arial" w:eastAsia="Arial" w:hAnsi="Arial"/>
          <w:sz w:val="14"/>
          <w:szCs w:val="14"/>
          <w:b w:val="1"/>
          <w:bCs w:val="1"/>
          <w:color w:val="FFFFFF"/>
        </w:rPr>
        <w:t>(Measured Independently in Separate Award Components)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90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or higher (Maximum)</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FFFFFF"/>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-1324610</wp:posOffset>
            </wp:positionH>
            <wp:positionV relativeFrom="paragraph">
              <wp:posOffset>-104140</wp:posOffset>
            </wp:positionV>
            <wp:extent cx="3040380" cy="3568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040380" cy="35687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4"/>
          <w:szCs w:val="14"/>
          <w:b w:val="1"/>
          <w:bCs w:val="1"/>
          <w:color w:val="FFFFFF"/>
        </w:rPr>
        <w:t>Sempra Common Shares Received for  </w:t>
      </w:r>
    </w:p>
    <w:p>
      <w:pPr>
        <w:jc w:val="center"/>
        <w:spacing w:after="0"/>
        <w:rPr>
          <w:sz w:val="20"/>
          <w:szCs w:val="20"/>
          <w:color w:val="auto"/>
        </w:rPr>
      </w:pPr>
      <w:r>
        <w:rPr>
          <w:rFonts w:ascii="Arial" w:cs="Arial" w:eastAsia="Arial" w:hAnsi="Arial"/>
          <w:sz w:val="14"/>
          <w:szCs w:val="14"/>
          <w:b w:val="1"/>
          <w:bCs w:val="1"/>
          <w:color w:val="FFFFFF"/>
        </w:rPr>
        <w:t>Each Restricted Stock Unit</w:t>
      </w:r>
      <w:r>
        <w:rPr>
          <w:rFonts w:ascii="Arial" w:cs="Arial" w:eastAsia="Arial" w:hAnsi="Arial"/>
          <w:sz w:val="21"/>
          <w:szCs w:val="21"/>
          <w:b w:val="1"/>
          <w:bCs w:val="1"/>
          <w:color w:val="FFFFFF"/>
          <w:vertAlign w:val="superscript"/>
        </w:rPr>
        <w:t>(1)</w:t>
      </w:r>
    </w:p>
    <w:p>
      <w:pPr>
        <w:spacing w:after="0" w:line="3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  2.0</w:t>
      </w:r>
    </w:p>
    <w:p>
      <w:pPr>
        <w:spacing w:after="0" w:line="74" w:lineRule="exact"/>
        <w:rPr>
          <w:sz w:val="20"/>
          <w:szCs w:val="20"/>
          <w:color w:val="auto"/>
        </w:rPr>
      </w:pPr>
    </w:p>
    <w:p>
      <w:pPr>
        <w:sectPr>
          <w:pgSz w:w="11900" w:h="16838" w:orient="portrait"/>
          <w:cols w:equalWidth="0" w:num="2">
            <w:col w:w="7660" w:space="720"/>
            <w:col w:w="2700"/>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276"/>
        </w:trPr>
        <w:tc>
          <w:tcPr>
            <w:tcW w:w="6140" w:type="dxa"/>
            <w:vAlign w:val="bottom"/>
            <w:tcBorders>
              <w:top w:val="single" w:sz="8" w:color="7F7F7F"/>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70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4780" w:type="dxa"/>
            <w:vAlign w:val="bottom"/>
            <w:tcBorders>
              <w:top w:val="single" w:sz="8" w:color="7F7F7F"/>
              <w:bottom w:val="single" w:sz="8" w:color="7F7F7F"/>
            </w:tcBorders>
            <w:shd w:val="clear" w:color="auto" w:fill="F2F2F2"/>
          </w:tcPr>
          <w:p>
            <w:pPr>
              <w:ind w:left="3440"/>
              <w:spacing w:after="0"/>
              <w:rPr>
                <w:sz w:val="20"/>
                <w:szCs w:val="20"/>
                <w:color w:val="auto"/>
              </w:rPr>
            </w:pPr>
            <w:r>
              <w:rPr>
                <w:rFonts w:ascii="Arial" w:cs="Arial" w:eastAsia="Arial" w:hAnsi="Arial"/>
                <w:sz w:val="14"/>
                <w:szCs w:val="14"/>
                <w:color w:val="auto"/>
              </w:rPr>
              <w:t>  1.5</w:t>
            </w:r>
          </w:p>
        </w:tc>
      </w:tr>
      <w:tr>
        <w:trPr>
          <w:trHeight w:val="274"/>
        </w:trPr>
        <w:tc>
          <w:tcPr>
            <w:tcW w:w="6140" w:type="dxa"/>
            <w:vAlign w:val="bottom"/>
            <w:tcBorders>
              <w:bottom w:val="single" w:sz="8" w:color="7F7F7F"/>
            </w:tcBorders>
          </w:tcPr>
          <w:p>
            <w:pPr>
              <w:ind w:left="80"/>
              <w:spacing w:after="0"/>
              <w:rPr>
                <w:sz w:val="20"/>
                <w:szCs w:val="20"/>
                <w:color w:val="auto"/>
              </w:rPr>
            </w:pPr>
            <w:r>
              <w:rPr>
                <w:rFonts w:ascii="Arial" w:cs="Arial" w:eastAsia="Arial" w:hAnsi="Arial"/>
                <w:sz w:val="14"/>
                <w:szCs w:val="14"/>
                <w:color w:val="auto"/>
              </w:rPr>
              <w:t>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(Target)</w:t>
            </w:r>
          </w:p>
        </w:tc>
        <w:tc>
          <w:tcPr>
            <w:tcW w:w="4780" w:type="dxa"/>
            <w:vAlign w:val="bottom"/>
            <w:tcBorders>
              <w:bottom w:val="single" w:sz="8" w:color="7F7F7F"/>
            </w:tcBorders>
          </w:tcPr>
          <w:p>
            <w:pPr>
              <w:ind w:left="3440"/>
              <w:spacing w:after="0"/>
              <w:rPr>
                <w:sz w:val="20"/>
                <w:szCs w:val="20"/>
                <w:color w:val="auto"/>
              </w:rPr>
            </w:pPr>
            <w:r>
              <w:rPr>
                <w:rFonts w:ascii="Arial" w:cs="Arial" w:eastAsia="Arial" w:hAnsi="Arial"/>
                <w:sz w:val="14"/>
                <w:szCs w:val="14"/>
                <w:color w:val="auto"/>
              </w:rPr>
              <w:t>  1.0</w:t>
            </w:r>
          </w:p>
        </w:tc>
      </w:tr>
      <w:tr>
        <w:trPr>
          <w:trHeight w:val="274"/>
        </w:trPr>
        <w:tc>
          <w:tcPr>
            <w:tcW w:w="614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40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4780" w:type="dxa"/>
            <w:vAlign w:val="bottom"/>
            <w:tcBorders>
              <w:bottom w:val="single" w:sz="8" w:color="7F7F7F"/>
            </w:tcBorders>
            <w:shd w:val="clear" w:color="auto" w:fill="F2F2F2"/>
          </w:tcPr>
          <w:p>
            <w:pPr>
              <w:ind w:left="3440"/>
              <w:spacing w:after="0"/>
              <w:rPr>
                <w:sz w:val="20"/>
                <w:szCs w:val="20"/>
                <w:color w:val="auto"/>
              </w:rPr>
            </w:pPr>
            <w:r>
              <w:rPr>
                <w:rFonts w:ascii="Arial" w:cs="Arial" w:eastAsia="Arial" w:hAnsi="Arial"/>
                <w:sz w:val="14"/>
                <w:szCs w:val="14"/>
                <w:color w:val="auto"/>
              </w:rPr>
              <w:t>  0.7</w:t>
            </w:r>
          </w:p>
        </w:tc>
      </w:tr>
      <w:tr>
        <w:trPr>
          <w:trHeight w:val="274"/>
        </w:trPr>
        <w:tc>
          <w:tcPr>
            <w:tcW w:w="6140" w:type="dxa"/>
            <w:vAlign w:val="bottom"/>
            <w:tcBorders>
              <w:bottom w:val="single" w:sz="8" w:color="7F7F7F"/>
            </w:tcBorders>
          </w:tcPr>
          <w:p>
            <w:pPr>
              <w:ind w:left="80"/>
              <w:spacing w:after="0"/>
              <w:rPr>
                <w:sz w:val="20"/>
                <w:szCs w:val="20"/>
                <w:color w:val="auto"/>
              </w:rPr>
            </w:pPr>
            <w:r>
              <w:rPr>
                <w:rFonts w:ascii="Arial" w:cs="Arial" w:eastAsia="Arial" w:hAnsi="Arial"/>
                <w:sz w:val="14"/>
                <w:szCs w:val="14"/>
                <w:color w:val="auto"/>
              </w:rPr>
              <w:t>30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4780" w:type="dxa"/>
            <w:vAlign w:val="bottom"/>
            <w:tcBorders>
              <w:bottom w:val="single" w:sz="8" w:color="7F7F7F"/>
            </w:tcBorders>
          </w:tcPr>
          <w:p>
            <w:pPr>
              <w:ind w:left="3440"/>
              <w:spacing w:after="0"/>
              <w:rPr>
                <w:sz w:val="20"/>
                <w:szCs w:val="20"/>
                <w:color w:val="auto"/>
              </w:rPr>
            </w:pPr>
            <w:r>
              <w:rPr>
                <w:rFonts w:ascii="Arial" w:cs="Arial" w:eastAsia="Arial" w:hAnsi="Arial"/>
                <w:sz w:val="14"/>
                <w:szCs w:val="14"/>
                <w:color w:val="auto"/>
              </w:rPr>
              <w:t>  0.4</w:t>
            </w:r>
          </w:p>
        </w:tc>
      </w:tr>
      <w:tr>
        <w:trPr>
          <w:trHeight w:val="274"/>
        </w:trPr>
        <w:tc>
          <w:tcPr>
            <w:tcW w:w="614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(Threshold)</w:t>
            </w:r>
          </w:p>
        </w:tc>
        <w:tc>
          <w:tcPr>
            <w:tcW w:w="4780" w:type="dxa"/>
            <w:vAlign w:val="bottom"/>
            <w:tcBorders>
              <w:bottom w:val="single" w:sz="8" w:color="7F7F7F"/>
            </w:tcBorders>
            <w:shd w:val="clear" w:color="auto" w:fill="F2F2F2"/>
          </w:tcPr>
          <w:p>
            <w:pPr>
              <w:ind w:left="3440"/>
              <w:spacing w:after="0"/>
              <w:rPr>
                <w:sz w:val="20"/>
                <w:szCs w:val="20"/>
                <w:color w:val="auto"/>
              </w:rPr>
            </w:pPr>
            <w:r>
              <w:rPr>
                <w:rFonts w:ascii="Arial" w:cs="Arial" w:eastAsia="Arial" w:hAnsi="Arial"/>
                <w:sz w:val="14"/>
                <w:szCs w:val="14"/>
                <w:color w:val="auto"/>
              </w:rPr>
              <w:t>0.25</w:t>
            </w:r>
          </w:p>
        </w:tc>
      </w:tr>
      <w:tr>
        <w:trPr>
          <w:trHeight w:val="320"/>
        </w:trPr>
        <w:tc>
          <w:tcPr>
            <w:tcW w:w="6140" w:type="dxa"/>
            <w:vAlign w:val="bottom"/>
          </w:tcPr>
          <w:p>
            <w:pPr>
              <w:ind w:left="80"/>
              <w:spacing w:after="0"/>
              <w:rPr>
                <w:sz w:val="20"/>
                <w:szCs w:val="20"/>
                <w:color w:val="auto"/>
              </w:rPr>
            </w:pPr>
            <w:r>
              <w:rPr>
                <w:rFonts w:ascii="Arial" w:cs="Arial" w:eastAsia="Arial" w:hAnsi="Arial"/>
                <w:sz w:val="14"/>
                <w:szCs w:val="14"/>
                <w:color w:val="auto"/>
              </w:rPr>
              <w:t>Below 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4780" w:type="dxa"/>
            <w:vAlign w:val="bottom"/>
          </w:tcPr>
          <w:p>
            <w:pPr>
              <w:ind w:left="3440"/>
              <w:spacing w:after="0"/>
              <w:rPr>
                <w:sz w:val="20"/>
                <w:szCs w:val="20"/>
                <w:color w:val="auto"/>
              </w:rPr>
            </w:pPr>
            <w:r>
              <w:rPr>
                <w:rFonts w:ascii="Arial" w:cs="Arial" w:eastAsia="Arial" w:hAnsi="Arial"/>
                <w:sz w:val="14"/>
                <w:szCs w:val="14"/>
                <w:color w:val="auto"/>
              </w:rPr>
              <w:t>  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2"/>
          <w:szCs w:val="12"/>
          <w:color w:val="auto"/>
        </w:rPr>
        <w:t>Table 15</w:t>
      </w:r>
    </w:p>
    <w:p>
      <w:pPr>
        <w:spacing w:after="0" w:line="36" w:lineRule="exact"/>
        <w:rPr>
          <w:sz w:val="20"/>
          <w:szCs w:val="20"/>
          <w:color w:val="auto"/>
        </w:rPr>
      </w:pPr>
    </w:p>
    <w:p>
      <w:pPr>
        <w:ind w:left="480" w:right="40" w:hanging="313"/>
        <w:spacing w:after="0" w:line="267" w:lineRule="auto"/>
        <w:tabs>
          <w:tab w:leader="none" w:pos="4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Participants also receive additional shares for dividend equivalents, which are reinvested to purchase additional units that become subject to the same vesting conditions as the restricted stock units to which the dividends relate.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Note: If performance falls between the tiers shown in Table 15, the payout is calculated using linear interpolation.</w:t>
      </w:r>
    </w:p>
    <w:p>
      <w:pPr>
        <w:spacing w:after="0" w:line="113" w:lineRule="exact"/>
        <w:rPr>
          <w:sz w:val="20"/>
          <w:szCs w:val="20"/>
          <w:color w:val="auto"/>
        </w:rPr>
      </w:pPr>
    </w:p>
    <w:p>
      <w:pPr>
        <w:ind w:left="160"/>
        <w:spacing w:after="0"/>
        <w:tabs>
          <w:tab w:leader="none" w:pos="440" w:val="left"/>
        </w:tabs>
        <w:rPr>
          <w:sz w:val="20"/>
          <w:szCs w:val="20"/>
          <w:color w:val="auto"/>
        </w:rPr>
      </w:pPr>
      <w:r>
        <w:rPr>
          <w:rFonts w:ascii="Arial" w:cs="Arial" w:eastAsia="Arial" w:hAnsi="Arial"/>
          <w:sz w:val="14"/>
          <w:szCs w:val="14"/>
          <w:i w:val="1"/>
          <w:iCs w:val="1"/>
          <w:color w:val="auto"/>
        </w:rPr>
        <w:t>2. </w:t>
        <w:tab/>
        <w:t>EPS Growth</w:t>
      </w:r>
    </w:p>
    <w:p>
      <w:pPr>
        <w:spacing w:after="0" w:line="104" w:lineRule="exact"/>
        <w:rPr>
          <w:sz w:val="20"/>
          <w:szCs w:val="20"/>
          <w:color w:val="auto"/>
        </w:rPr>
      </w:pPr>
    </w:p>
    <w:p>
      <w:pPr>
        <w:ind w:left="160" w:right="180"/>
        <w:spacing w:after="0" w:line="222" w:lineRule="auto"/>
        <w:rPr>
          <w:sz w:val="20"/>
          <w:szCs w:val="20"/>
          <w:color w:val="auto"/>
        </w:rPr>
      </w:pPr>
      <w:r>
        <w:rPr>
          <w:rFonts w:ascii="Arial" w:cs="Arial" w:eastAsia="Arial" w:hAnsi="Arial"/>
          <w:sz w:val="14"/>
          <w:szCs w:val="14"/>
          <w:color w:val="auto"/>
        </w:rPr>
        <w:t>The 2025 annual long-term incentive plan awards also included a performance-based restricted stock unit award linked to relative EPS growth. The award measures the CAGR of our adjusted EPS relative to the adjusted EPS CAGRs of our S&amp;P 500 Utilities Index peers for the three-year period ending on December 31, 2027. The target payout level is based on performance at the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of the peer group and the threshold and maximum payout levels are based on performance at the 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and 90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217170</wp:posOffset>
            </wp:positionV>
            <wp:extent cx="739140" cy="153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44"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59</w:t>
      </w:r>
    </w:p>
    <w:p>
      <w:pPr>
        <w:sectPr>
          <w:pgSz w:w="11900" w:h="16838" w:orient="portrait"/>
          <w:cols w:equalWidth="0" w:num="1">
            <w:col w:w="11080"/>
          </w:cols>
          <w:pgMar w:left="320" w:top="478" w:right="4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45" w:lineRule="exact"/>
        <w:rPr>
          <w:sz w:val="20"/>
          <w:szCs w:val="20"/>
          <w:color w:val="auto"/>
        </w:rPr>
      </w:pPr>
    </w:p>
    <w:p>
      <w:pPr>
        <w:ind w:left="160" w:right="200"/>
        <w:spacing w:after="0" w:line="253" w:lineRule="auto"/>
        <w:rPr>
          <w:sz w:val="20"/>
          <w:szCs w:val="20"/>
          <w:color w:val="auto"/>
        </w:rPr>
      </w:pPr>
      <w:r>
        <w:rPr>
          <w:rFonts w:ascii="Arial" w:cs="Arial" w:eastAsia="Arial" w:hAnsi="Arial"/>
          <w:sz w:val="14"/>
          <w:szCs w:val="14"/>
          <w:color w:val="auto"/>
        </w:rPr>
        <w:t>The Compensation and Talent Development Committee uses adjusted EPS growth relative to our S&amp;P 500 Utilities Index peers over a three-year period as a performance measure to align with one of our key strategic goals, which is to deliver higher earnings growth than our utility peers while maintaining a commensurate risk profile, and to reflect that our earnings growth may not be linear from year to year due, in part, to our investment in large-scale, capital-intensive development projects that take multiple years to construct and multiple years for earnings to be generated.</w:t>
      </w:r>
    </w:p>
    <w:p>
      <w:pPr>
        <w:spacing w:after="0" w:line="66" w:lineRule="exact"/>
        <w:rPr>
          <w:sz w:val="20"/>
          <w:szCs w:val="20"/>
          <w:color w:val="auto"/>
        </w:rPr>
      </w:pPr>
    </w:p>
    <w:p>
      <w:pPr>
        <w:ind w:left="160" w:right="160"/>
        <w:spacing w:after="0" w:line="185" w:lineRule="auto"/>
        <w:rPr>
          <w:sz w:val="20"/>
          <w:szCs w:val="20"/>
          <w:color w:val="auto"/>
        </w:rPr>
      </w:pPr>
      <w:r>
        <w:rPr>
          <w:rFonts w:ascii="Arial" w:cs="Arial" w:eastAsia="Arial" w:hAnsi="Arial"/>
          <w:sz w:val="14"/>
          <w:szCs w:val="14"/>
          <w:color w:val="auto"/>
        </w:rPr>
        <w:t>If the company’s adjusted EPS CAGR is at the 50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percentile of the adjusted EPS CAGRs of our S&amp;P 500 Utilities Index peers, participants will earn one share for each restricted stock unit. Participants have the opportunity to earn up to two shares for each restricted stock unit if performance exceeds the 50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percentile. Participants earn a partial share for performance between the 25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and 50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percentiles and between one and two shares for performance between the 50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and 90</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percentiles, as shown below. No shares are earned for performance below the 25</w:t>
      </w:r>
      <w:r>
        <w:rPr>
          <w:rFonts w:ascii="Arial" w:cs="Arial" w:eastAsia="Arial" w:hAnsi="Arial"/>
          <w:sz w:val="20"/>
          <w:szCs w:val="20"/>
          <w:color w:val="auto"/>
          <w:vertAlign w:val="superscript"/>
        </w:rPr>
        <w:t>th</w:t>
      </w:r>
      <w:r>
        <w:rPr>
          <w:rFonts w:ascii="Arial" w:cs="Arial" w:eastAsia="Arial" w:hAnsi="Arial"/>
          <w:sz w:val="14"/>
          <w:szCs w:val="14"/>
          <w:color w:val="auto"/>
        </w:rPr>
        <w:t xml:space="preserve"> percentile. The calculation of our EPS CAGR, as adjusted for LTIP purposes, excludes the impact of share repurchases not contemplated in our financial plans publicly communicated prior to the grant date of these awards.</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5980" w:type="dxa"/>
            <w:vAlign w:val="bottom"/>
            <w:vMerge w:val="restart"/>
            <w:shd w:val="clear" w:color="auto" w:fill="005CB9"/>
          </w:tcPr>
          <w:p>
            <w:pPr>
              <w:ind w:left="80"/>
              <w:spacing w:after="0"/>
              <w:rPr>
                <w:sz w:val="20"/>
                <w:szCs w:val="20"/>
                <w:color w:val="auto"/>
              </w:rPr>
            </w:pPr>
            <w:r>
              <w:rPr>
                <w:rFonts w:ascii="Arial" w:cs="Arial" w:eastAsia="Arial" w:hAnsi="Arial"/>
                <w:sz w:val="14"/>
                <w:szCs w:val="14"/>
                <w:b w:val="1"/>
                <w:bCs w:val="1"/>
                <w:color w:val="FFFFFF"/>
              </w:rPr>
              <w:t>Percentile of Sempra’s Adjusted EPS CAGR vs.</w:t>
            </w:r>
          </w:p>
        </w:tc>
        <w:tc>
          <w:tcPr>
            <w:tcW w:w="4940" w:type="dxa"/>
            <w:vAlign w:val="bottom"/>
            <w:shd w:val="clear" w:color="auto" w:fill="005CB9"/>
          </w:tcPr>
          <w:p>
            <w:pPr>
              <w:jc w:val="center"/>
              <w:ind w:left="2130"/>
              <w:spacing w:after="0"/>
              <w:rPr>
                <w:sz w:val="20"/>
                <w:szCs w:val="20"/>
                <w:color w:val="auto"/>
              </w:rPr>
            </w:pPr>
            <w:r>
              <w:rPr>
                <w:rFonts w:ascii="Arial" w:cs="Arial" w:eastAsia="Arial" w:hAnsi="Arial"/>
                <w:sz w:val="12"/>
                <w:szCs w:val="12"/>
                <w:b w:val="1"/>
                <w:bCs w:val="1"/>
                <w:color w:val="FFFFFF"/>
                <w:w w:val="70"/>
              </w:rPr>
              <w:t>  </w:t>
            </w:r>
          </w:p>
        </w:tc>
        <w:tc>
          <w:tcPr>
            <w:tcW w:w="0" w:type="dxa"/>
            <w:vAlign w:val="bottom"/>
          </w:tcPr>
          <w:p>
            <w:pPr>
              <w:spacing w:after="0"/>
              <w:rPr>
                <w:sz w:val="1"/>
                <w:szCs w:val="1"/>
                <w:color w:val="auto"/>
              </w:rPr>
            </w:pPr>
          </w:p>
        </w:tc>
      </w:tr>
      <w:tr>
        <w:trPr>
          <w:trHeight w:val="147"/>
        </w:trPr>
        <w:tc>
          <w:tcPr>
            <w:tcW w:w="5980" w:type="dxa"/>
            <w:vAlign w:val="bottom"/>
            <w:vMerge w:val="continue"/>
            <w:shd w:val="clear" w:color="auto" w:fill="005CB9"/>
          </w:tcPr>
          <w:p>
            <w:pPr>
              <w:spacing w:after="0"/>
              <w:rPr>
                <w:sz w:val="12"/>
                <w:szCs w:val="12"/>
                <w:color w:val="auto"/>
              </w:rPr>
            </w:pPr>
          </w:p>
        </w:tc>
        <w:tc>
          <w:tcPr>
            <w:tcW w:w="4940" w:type="dxa"/>
            <w:vAlign w:val="bottom"/>
            <w:shd w:val="clear" w:color="auto" w:fill="005CB9"/>
          </w:tcPr>
          <w:p>
            <w:pPr>
              <w:jc w:val="center"/>
              <w:ind w:left="2130"/>
              <w:spacing w:after="0" w:line="147" w:lineRule="exact"/>
              <w:rPr>
                <w:sz w:val="20"/>
                <w:szCs w:val="20"/>
                <w:color w:val="auto"/>
              </w:rPr>
            </w:pPr>
            <w:r>
              <w:rPr>
                <w:rFonts w:ascii="Arial" w:cs="Arial" w:eastAsia="Arial" w:hAnsi="Arial"/>
                <w:sz w:val="14"/>
                <w:szCs w:val="14"/>
                <w:b w:val="1"/>
                <w:bCs w:val="1"/>
                <w:color w:val="FFFFFF"/>
              </w:rPr>
              <w:t>Sempra Common Shares Received for  </w:t>
            </w:r>
          </w:p>
        </w:tc>
        <w:tc>
          <w:tcPr>
            <w:tcW w:w="0" w:type="dxa"/>
            <w:vAlign w:val="bottom"/>
          </w:tcPr>
          <w:p>
            <w:pPr>
              <w:spacing w:after="0"/>
              <w:rPr>
                <w:sz w:val="1"/>
                <w:szCs w:val="1"/>
                <w:color w:val="auto"/>
              </w:rPr>
            </w:pPr>
          </w:p>
        </w:tc>
      </w:tr>
      <w:tr>
        <w:trPr>
          <w:trHeight w:val="250"/>
        </w:trPr>
        <w:tc>
          <w:tcPr>
            <w:tcW w:w="598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S&amp;P 500 Utilities Index Peers</w:t>
            </w:r>
          </w:p>
        </w:tc>
        <w:tc>
          <w:tcPr>
            <w:tcW w:w="4940" w:type="dxa"/>
            <w:vAlign w:val="bottom"/>
            <w:shd w:val="clear" w:color="auto" w:fill="005CB9"/>
          </w:tcPr>
          <w:p>
            <w:pPr>
              <w:jc w:val="center"/>
              <w:ind w:left="2170"/>
              <w:spacing w:after="0"/>
              <w:rPr>
                <w:sz w:val="20"/>
                <w:szCs w:val="20"/>
                <w:color w:val="auto"/>
              </w:rPr>
            </w:pPr>
            <w:r>
              <w:rPr>
                <w:rFonts w:ascii="Arial" w:cs="Arial" w:eastAsia="Arial" w:hAnsi="Arial"/>
                <w:sz w:val="14"/>
                <w:szCs w:val="14"/>
                <w:b w:val="1"/>
                <w:bCs w:val="1"/>
                <w:color w:val="FFFFFF"/>
                <w:w w:val="98"/>
              </w:rPr>
              <w:t>Each Restricted Stock Unit</w:t>
            </w:r>
            <w:r>
              <w:rPr>
                <w:rFonts w:ascii="Arial" w:cs="Arial" w:eastAsia="Arial" w:hAnsi="Arial"/>
                <w:sz w:val="21"/>
                <w:szCs w:val="21"/>
                <w:b w:val="1"/>
                <w:bCs w:val="1"/>
                <w:color w:val="FFFFFF"/>
                <w:w w:val="98"/>
                <w:vertAlign w:val="superscript"/>
              </w:rPr>
              <w:t>(1)</w:t>
            </w:r>
          </w:p>
        </w:tc>
        <w:tc>
          <w:tcPr>
            <w:tcW w:w="0" w:type="dxa"/>
            <w:vAlign w:val="bottom"/>
          </w:tcPr>
          <w:p>
            <w:pPr>
              <w:spacing w:after="0"/>
              <w:rPr>
                <w:sz w:val="1"/>
                <w:szCs w:val="1"/>
                <w:color w:val="auto"/>
              </w:rPr>
            </w:pPr>
          </w:p>
        </w:tc>
      </w:tr>
      <w:tr>
        <w:trPr>
          <w:trHeight w:val="294"/>
        </w:trPr>
        <w:tc>
          <w:tcPr>
            <w:tcW w:w="5980" w:type="dxa"/>
            <w:vAlign w:val="bottom"/>
            <w:tcBorders>
              <w:bottom w:val="single" w:sz="8" w:color="7F7F7F"/>
            </w:tcBorders>
          </w:tcPr>
          <w:p>
            <w:pPr>
              <w:ind w:left="80"/>
              <w:spacing w:after="0"/>
              <w:rPr>
                <w:sz w:val="20"/>
                <w:szCs w:val="20"/>
                <w:color w:val="auto"/>
              </w:rPr>
            </w:pPr>
            <w:r>
              <w:rPr>
                <w:rFonts w:ascii="Arial" w:cs="Arial" w:eastAsia="Arial" w:hAnsi="Arial"/>
                <w:sz w:val="14"/>
                <w:szCs w:val="14"/>
                <w:color w:val="auto"/>
              </w:rPr>
              <w:t>90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or higher (Maximum)</w:t>
            </w:r>
          </w:p>
        </w:tc>
        <w:tc>
          <w:tcPr>
            <w:tcW w:w="4940" w:type="dxa"/>
            <w:vAlign w:val="bottom"/>
            <w:tcBorders>
              <w:bottom w:val="single" w:sz="8" w:color="7F7F7F"/>
            </w:tcBorders>
          </w:tcPr>
          <w:p>
            <w:pPr>
              <w:jc w:val="center"/>
              <w:ind w:left="235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4"/>
        </w:trPr>
        <w:tc>
          <w:tcPr>
            <w:tcW w:w="598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75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4940" w:type="dxa"/>
            <w:vAlign w:val="bottom"/>
            <w:tcBorders>
              <w:bottom w:val="single" w:sz="8" w:color="7F7F7F"/>
            </w:tcBorders>
            <w:shd w:val="clear" w:color="auto" w:fill="F2F2F2"/>
          </w:tcPr>
          <w:p>
            <w:pPr>
              <w:jc w:val="center"/>
              <w:ind w:left="2350"/>
              <w:spacing w:after="0"/>
              <w:rPr>
                <w:sz w:val="20"/>
                <w:szCs w:val="20"/>
                <w:color w:val="auto"/>
              </w:rPr>
            </w:pPr>
            <w:r>
              <w:rPr>
                <w:rFonts w:ascii="Arial" w:cs="Arial" w:eastAsia="Arial" w:hAnsi="Arial"/>
                <w:sz w:val="14"/>
                <w:szCs w:val="14"/>
                <w:color w:val="auto"/>
              </w:rPr>
              <w:t> 1.5</w:t>
            </w:r>
          </w:p>
        </w:tc>
        <w:tc>
          <w:tcPr>
            <w:tcW w:w="0" w:type="dxa"/>
            <w:vAlign w:val="bottom"/>
          </w:tcPr>
          <w:p>
            <w:pPr>
              <w:spacing w:after="0"/>
              <w:rPr>
                <w:sz w:val="1"/>
                <w:szCs w:val="1"/>
                <w:color w:val="auto"/>
              </w:rPr>
            </w:pPr>
          </w:p>
        </w:tc>
      </w:tr>
      <w:tr>
        <w:trPr>
          <w:trHeight w:val="274"/>
        </w:trPr>
        <w:tc>
          <w:tcPr>
            <w:tcW w:w="5980" w:type="dxa"/>
            <w:vAlign w:val="bottom"/>
            <w:tcBorders>
              <w:bottom w:val="single" w:sz="8" w:color="7F7F7F"/>
            </w:tcBorders>
          </w:tcPr>
          <w:p>
            <w:pPr>
              <w:ind w:left="80"/>
              <w:spacing w:after="0"/>
              <w:rPr>
                <w:sz w:val="20"/>
                <w:szCs w:val="20"/>
                <w:color w:val="auto"/>
              </w:rPr>
            </w:pPr>
            <w:r>
              <w:rPr>
                <w:rFonts w:ascii="Arial" w:cs="Arial" w:eastAsia="Arial" w:hAnsi="Arial"/>
                <w:sz w:val="14"/>
                <w:szCs w:val="14"/>
                <w:color w:val="auto"/>
              </w:rPr>
              <w:t>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(Target)</w:t>
            </w:r>
          </w:p>
        </w:tc>
        <w:tc>
          <w:tcPr>
            <w:tcW w:w="4940" w:type="dxa"/>
            <w:vAlign w:val="bottom"/>
            <w:tcBorders>
              <w:bottom w:val="single" w:sz="8" w:color="7F7F7F"/>
            </w:tcBorders>
          </w:tcPr>
          <w:p>
            <w:pPr>
              <w:jc w:val="center"/>
              <w:ind w:left="2350"/>
              <w:spacing w:after="0"/>
              <w:rPr>
                <w:sz w:val="20"/>
                <w:szCs w:val="20"/>
                <w:color w:val="auto"/>
              </w:rPr>
            </w:pPr>
            <w:r>
              <w:rPr>
                <w:rFonts w:ascii="Arial" w:cs="Arial" w:eastAsia="Arial" w:hAnsi="Arial"/>
                <w:sz w:val="14"/>
                <w:szCs w:val="14"/>
                <w:color w:val="auto"/>
              </w:rPr>
              <w:t> 1.0</w:t>
            </w:r>
          </w:p>
        </w:tc>
        <w:tc>
          <w:tcPr>
            <w:tcW w:w="0" w:type="dxa"/>
            <w:vAlign w:val="bottom"/>
          </w:tcPr>
          <w:p>
            <w:pPr>
              <w:spacing w:after="0"/>
              <w:rPr>
                <w:sz w:val="1"/>
                <w:szCs w:val="1"/>
                <w:color w:val="auto"/>
              </w:rPr>
            </w:pPr>
          </w:p>
        </w:tc>
      </w:tr>
      <w:tr>
        <w:trPr>
          <w:trHeight w:val="274"/>
        </w:trPr>
        <w:tc>
          <w:tcPr>
            <w:tcW w:w="598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(Threshold)</w:t>
            </w:r>
          </w:p>
        </w:tc>
        <w:tc>
          <w:tcPr>
            <w:tcW w:w="4940" w:type="dxa"/>
            <w:vAlign w:val="bottom"/>
            <w:tcBorders>
              <w:bottom w:val="single" w:sz="8" w:color="7F7F7F"/>
            </w:tcBorders>
            <w:shd w:val="clear" w:color="auto" w:fill="F2F2F2"/>
          </w:tcPr>
          <w:p>
            <w:pPr>
              <w:jc w:val="center"/>
              <w:ind w:left="235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320"/>
        </w:trPr>
        <w:tc>
          <w:tcPr>
            <w:tcW w:w="5980" w:type="dxa"/>
            <w:vAlign w:val="bottom"/>
          </w:tcPr>
          <w:p>
            <w:pPr>
              <w:ind w:left="80"/>
              <w:spacing w:after="0"/>
              <w:rPr>
                <w:sz w:val="20"/>
                <w:szCs w:val="20"/>
                <w:color w:val="auto"/>
              </w:rPr>
            </w:pPr>
            <w:r>
              <w:rPr>
                <w:rFonts w:ascii="Arial" w:cs="Arial" w:eastAsia="Arial" w:hAnsi="Arial"/>
                <w:sz w:val="14"/>
                <w:szCs w:val="14"/>
                <w:color w:val="auto"/>
              </w:rPr>
              <w:t>Below 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4940" w:type="dxa"/>
            <w:vAlign w:val="bottom"/>
          </w:tcPr>
          <w:p>
            <w:pPr>
              <w:ind w:left="3500"/>
              <w:spacing w:after="0"/>
              <w:rPr>
                <w:sz w:val="20"/>
                <w:szCs w:val="20"/>
                <w:color w:val="auto"/>
              </w:rPr>
            </w:pPr>
            <w:r>
              <w:rPr>
                <w:rFonts w:ascii="Arial" w:cs="Arial" w:eastAsia="Arial" w:hAnsi="Arial"/>
                <w:sz w:val="14"/>
                <w:szCs w:val="14"/>
                <w:color w:val="auto"/>
              </w:rPr>
              <w:t>   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-28575</wp:posOffset>
            </wp:positionV>
            <wp:extent cx="69297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2"/>
          <w:szCs w:val="12"/>
          <w:color w:val="auto"/>
        </w:rPr>
        <w:t>Table 16</w:t>
      </w:r>
    </w:p>
    <w:p>
      <w:pPr>
        <w:spacing w:after="0" w:line="36" w:lineRule="exact"/>
        <w:rPr>
          <w:sz w:val="20"/>
          <w:szCs w:val="20"/>
          <w:color w:val="auto"/>
        </w:rPr>
      </w:pPr>
    </w:p>
    <w:p>
      <w:pPr>
        <w:ind w:left="480" w:right="40" w:hanging="313"/>
        <w:spacing w:after="0" w:line="267" w:lineRule="auto"/>
        <w:tabs>
          <w:tab w:leader="none" w:pos="480" w:val="left"/>
        </w:tabs>
        <w:numPr>
          <w:ilvl w:val="0"/>
          <w:numId w:val="77"/>
        </w:numPr>
        <w:rPr>
          <w:rFonts w:ascii="Arial" w:cs="Arial" w:eastAsia="Arial" w:hAnsi="Arial"/>
          <w:sz w:val="12"/>
          <w:szCs w:val="12"/>
          <w:color w:val="auto"/>
        </w:rPr>
      </w:pPr>
      <w:r>
        <w:rPr>
          <w:rFonts w:ascii="Arial" w:cs="Arial" w:eastAsia="Arial" w:hAnsi="Arial"/>
          <w:sz w:val="12"/>
          <w:szCs w:val="12"/>
          <w:color w:val="auto"/>
        </w:rPr>
        <w:t>Participants also receive additional shares for dividend equivalents, which are reinvested to purchase additional units that become subject to the same vesting conditions as the restricted stock units to which the dividends relate.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Note: If performance falls between the tiers shown in Table 16, the payout is calculated using linear interpolation.</w:t>
      </w:r>
    </w:p>
    <w:p>
      <w:pPr>
        <w:spacing w:after="0" w:line="111" w:lineRule="exact"/>
        <w:rPr>
          <w:sz w:val="20"/>
          <w:szCs w:val="20"/>
          <w:color w:val="auto"/>
        </w:rPr>
      </w:pPr>
    </w:p>
    <w:p>
      <w:pPr>
        <w:ind w:left="160" w:right="260"/>
        <w:spacing w:after="0" w:line="260" w:lineRule="auto"/>
        <w:rPr>
          <w:sz w:val="20"/>
          <w:szCs w:val="20"/>
          <w:color w:val="auto"/>
        </w:rPr>
      </w:pPr>
      <w:r>
        <w:rPr>
          <w:rFonts w:ascii="Arial" w:cs="Arial" w:eastAsia="Arial" w:hAnsi="Arial"/>
          <w:sz w:val="14"/>
          <w:szCs w:val="14"/>
          <w:color w:val="auto"/>
        </w:rPr>
        <w:t>For purposes of these awards, which will be paid out based on adjusted EPS performance for the three-year period beginning January 1, 2025 and ending December 31, 2027, the calculation of adjusted EPS may exclude unusual items, non-operating items, or other items at the discretion of the Compensation and Talent Development Committee.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for the 2023-2025 Award Cycle</w:t>
      </w:r>
    </w:p>
    <w:p>
      <w:pPr>
        <w:spacing w:after="0" w:line="110" w:lineRule="exact"/>
        <w:rPr>
          <w:sz w:val="20"/>
          <w:szCs w:val="20"/>
          <w:color w:val="auto"/>
        </w:rPr>
      </w:pPr>
    </w:p>
    <w:p>
      <w:pPr>
        <w:ind w:left="160" w:right="60"/>
        <w:spacing w:after="0" w:line="281" w:lineRule="auto"/>
        <w:rPr>
          <w:sz w:val="20"/>
          <w:szCs w:val="20"/>
          <w:color w:val="auto"/>
        </w:rPr>
      </w:pPr>
      <w:r>
        <w:rPr>
          <w:rFonts w:ascii="Arial" w:cs="Arial" w:eastAsia="Arial" w:hAnsi="Arial"/>
          <w:sz w:val="14"/>
          <w:szCs w:val="14"/>
          <w:color w:val="auto"/>
        </w:rPr>
        <w:t>The performance period of our 2023-2025 award cycle concluded on January 2, 2026 (for the TSR-based awards, which collectively were weighted at one-third of the award value) and December 31, 2025 (for the EPS growth-based awards, which were weighted at one-third of the award value).</w:t>
      </w:r>
    </w:p>
    <w:p>
      <w:pPr>
        <w:spacing w:after="0" w:line="51" w:lineRule="exact"/>
        <w:rPr>
          <w:sz w:val="20"/>
          <w:szCs w:val="20"/>
          <w:color w:val="auto"/>
        </w:rPr>
      </w:pPr>
    </w:p>
    <w:p>
      <w:pPr>
        <w:ind w:left="160" w:right="100"/>
        <w:spacing w:after="0" w:line="260" w:lineRule="auto"/>
        <w:rPr>
          <w:sz w:val="20"/>
          <w:szCs w:val="20"/>
          <w:color w:val="auto"/>
        </w:rPr>
      </w:pPr>
      <w:r>
        <w:rPr>
          <w:rFonts w:ascii="Arial" w:cs="Arial" w:eastAsia="Arial" w:hAnsi="Arial"/>
          <w:sz w:val="14"/>
          <w:szCs w:val="14"/>
          <w:color w:val="auto"/>
        </w:rPr>
        <w:t>Our 2023-2025 relative total shareholder return was at the 36.2 percentile of the S&amp;P 500 Utilities Index, resulting in vesting at 58.6% of target for the S&amp;P 500 Utilities Index-based award component. Our relative total shareholder return was at the 43.6 percentile of the S&amp;P 500 Index, resulting in vesting at 80.8% of target for the S&amp;P 500 Index-based award component.</w:t>
      </w:r>
    </w:p>
    <w:p>
      <w:pPr>
        <w:spacing w:after="0" w:line="65"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The 2023-2025 awards based on EPS growth did not vest, based on a 1.7% EPS CAGR (as adjusted for LTIP purposes) over the three-year period covered by the awards, which is below the awards’ performance threshold. Table 17 below shows the predefined adjustments to GAAP EPS used to calculate EPS growth adjusted for purposes of the 2023 annual LTIP award. For additional information, see “Compensation Tables—Outstanding Equity Awards at Year-End” and “Compensation Tables—Option Exercises and Stock Vested.”</w:t>
      </w:r>
    </w:p>
    <w:p>
      <w:pPr>
        <w:spacing w:after="0" w:line="70" w:lineRule="exact"/>
        <w:rPr>
          <w:sz w:val="20"/>
          <w:szCs w:val="20"/>
          <w:color w:val="auto"/>
        </w:rPr>
      </w:pPr>
    </w:p>
    <w:p>
      <w:pPr>
        <w:ind w:left="160" w:right="840"/>
        <w:spacing w:after="0" w:line="281" w:lineRule="auto"/>
        <w:rPr>
          <w:sz w:val="20"/>
          <w:szCs w:val="20"/>
          <w:color w:val="auto"/>
        </w:rPr>
      </w:pPr>
      <w:r>
        <w:rPr>
          <w:rFonts w:ascii="Arial" w:cs="Arial" w:eastAsia="Arial" w:hAnsi="Arial"/>
          <w:sz w:val="14"/>
          <w:szCs w:val="14"/>
          <w:color w:val="auto"/>
        </w:rPr>
        <w:t>The 35% realized payout for these awards, driven by the zero payout for the EPS-growth based awards and the below-target payout for the TSR-based awards, demonstrates the long-term link between pay and performance. See “Pay-for-Performance Alignment” above for more detail.</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180" w:type="dxa"/>
            <w:vAlign w:val="bottom"/>
            <w:shd w:val="clear" w:color="auto" w:fill="005CB9"/>
          </w:tcPr>
          <w:p>
            <w:pPr>
              <w:spacing w:after="0"/>
              <w:rPr>
                <w:sz w:val="18"/>
                <w:szCs w:val="18"/>
                <w:color w:val="auto"/>
              </w:rPr>
            </w:pPr>
          </w:p>
        </w:tc>
        <w:tc>
          <w:tcPr>
            <w:tcW w:w="7020" w:type="dxa"/>
            <w:vAlign w:val="bottom"/>
            <w:shd w:val="clear" w:color="auto" w:fill="005CB9"/>
          </w:tcPr>
          <w:p>
            <w:pPr>
              <w:spacing w:after="0"/>
              <w:rPr>
                <w:sz w:val="18"/>
                <w:szCs w:val="18"/>
                <w:color w:val="auto"/>
              </w:rPr>
            </w:pPr>
          </w:p>
        </w:tc>
        <w:tc>
          <w:tcPr>
            <w:tcW w:w="960" w:type="dxa"/>
            <w:vAlign w:val="bottom"/>
            <w:shd w:val="clear" w:color="auto" w:fill="005CB9"/>
          </w:tcPr>
          <w:p>
            <w:pPr>
              <w:spacing w:after="0"/>
              <w:rPr>
                <w:sz w:val="18"/>
                <w:szCs w:val="18"/>
                <w:color w:val="auto"/>
              </w:rPr>
            </w:pPr>
          </w:p>
        </w:tc>
        <w:tc>
          <w:tcPr>
            <w:tcW w:w="760" w:type="dxa"/>
            <w:vAlign w:val="bottom"/>
            <w:shd w:val="clear" w:color="auto" w:fill="005CB9"/>
          </w:tcPr>
          <w:p>
            <w:pPr>
              <w:jc w:val="right"/>
              <w:ind w:right="169"/>
              <w:spacing w:after="0"/>
              <w:rPr>
                <w:sz w:val="20"/>
                <w:szCs w:val="20"/>
                <w:color w:val="auto"/>
              </w:rPr>
            </w:pPr>
            <w:r>
              <w:rPr>
                <w:rFonts w:ascii="Arial" w:cs="Arial" w:eastAsia="Arial" w:hAnsi="Arial"/>
                <w:sz w:val="14"/>
                <w:szCs w:val="14"/>
                <w:b w:val="1"/>
                <w:bCs w:val="1"/>
                <w:color w:val="FFFFFF"/>
              </w:rPr>
              <w:t>  </w:t>
            </w:r>
          </w:p>
        </w:tc>
      </w:tr>
      <w:tr>
        <w:trPr>
          <w:trHeight w:val="217"/>
        </w:trPr>
        <w:tc>
          <w:tcPr>
            <w:tcW w:w="9200" w:type="dxa"/>
            <w:vAlign w:val="bottom"/>
            <w:tcBorders>
              <w:bottom w:val="single" w:sz="8" w:color="005CB9"/>
            </w:tcBorders>
            <w:gridSpan w:val="2"/>
            <w:shd w:val="clear" w:color="auto" w:fill="005CB9"/>
          </w:tcPr>
          <w:p>
            <w:pPr>
              <w:ind w:left="80"/>
              <w:spacing w:after="0"/>
              <w:rPr>
                <w:sz w:val="20"/>
                <w:szCs w:val="20"/>
                <w:color w:val="auto"/>
              </w:rPr>
            </w:pPr>
            <w:r>
              <w:rPr>
                <w:rFonts w:ascii="Arial" w:cs="Arial" w:eastAsia="Arial" w:hAnsi="Arial"/>
                <w:sz w:val="14"/>
                <w:szCs w:val="14"/>
                <w:b w:val="1"/>
                <w:bCs w:val="1"/>
                <w:color w:val="FFFFFF"/>
              </w:rPr>
              <w:t>EPS Growth (Diluted) for 2023-2025 Award Cycle</w:t>
            </w:r>
          </w:p>
        </w:tc>
        <w:tc>
          <w:tcPr>
            <w:tcW w:w="960" w:type="dxa"/>
            <w:vAlign w:val="bottom"/>
            <w:tcBorders>
              <w:bottom w:val="single" w:sz="8" w:color="005CB9"/>
            </w:tcBorders>
            <w:shd w:val="clear" w:color="auto" w:fill="005CB9"/>
          </w:tcPr>
          <w:p>
            <w:pPr>
              <w:jc w:val="right"/>
              <w:ind w:right="229"/>
              <w:spacing w:after="0"/>
              <w:rPr>
                <w:sz w:val="20"/>
                <w:szCs w:val="20"/>
                <w:color w:val="auto"/>
              </w:rPr>
            </w:pPr>
            <w:r>
              <w:rPr>
                <w:rFonts w:ascii="Arial" w:cs="Arial" w:eastAsia="Arial" w:hAnsi="Arial"/>
                <w:sz w:val="14"/>
                <w:szCs w:val="14"/>
                <w:b w:val="1"/>
                <w:bCs w:val="1"/>
                <w:color w:val="FFFFFF"/>
              </w:rPr>
              <w:t>2022</w:t>
            </w:r>
          </w:p>
        </w:tc>
        <w:tc>
          <w:tcPr>
            <w:tcW w:w="76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b w:val="1"/>
                <w:bCs w:val="1"/>
                <w:color w:val="FFFFFF"/>
              </w:rPr>
              <w:t xml:space="preserve">2025   </w:t>
            </w:r>
          </w:p>
        </w:tc>
      </w:tr>
      <w:tr>
        <w:trPr>
          <w:trHeight w:val="247"/>
        </w:trPr>
        <w:tc>
          <w:tcPr>
            <w:tcW w:w="2180" w:type="dxa"/>
            <w:vAlign w:val="bottom"/>
          </w:tcPr>
          <w:p>
            <w:pPr>
              <w:ind w:left="80"/>
              <w:spacing w:after="0"/>
              <w:rPr>
                <w:sz w:val="20"/>
                <w:szCs w:val="20"/>
                <w:color w:val="auto"/>
              </w:rPr>
            </w:pPr>
            <w:r>
              <w:rPr>
                <w:rFonts w:ascii="Arial" w:cs="Arial" w:eastAsia="Arial" w:hAnsi="Arial"/>
                <w:sz w:val="14"/>
                <w:szCs w:val="14"/>
                <w:color w:val="auto"/>
              </w:rPr>
              <w:t>GAAP EPS</w:t>
            </w:r>
          </w:p>
        </w:tc>
        <w:tc>
          <w:tcPr>
            <w:tcW w:w="7020" w:type="dxa"/>
            <w:vAlign w:val="bottom"/>
          </w:tcPr>
          <w:p>
            <w:pPr>
              <w:spacing w:after="0"/>
              <w:rPr>
                <w:sz w:val="21"/>
                <w:szCs w:val="21"/>
                <w:color w:val="auto"/>
              </w:rPr>
            </w:pPr>
          </w:p>
        </w:tc>
        <w:tc>
          <w:tcPr>
            <w:tcW w:w="960" w:type="dxa"/>
            <w:vAlign w:val="bottom"/>
          </w:tcPr>
          <w:p>
            <w:pPr>
              <w:jc w:val="right"/>
              <w:ind w:right="189"/>
              <w:spacing w:after="0"/>
              <w:rPr>
                <w:sz w:val="20"/>
                <w:szCs w:val="20"/>
                <w:color w:val="auto"/>
              </w:rPr>
            </w:pPr>
            <w:r>
              <w:rPr>
                <w:rFonts w:ascii="Arial" w:cs="Arial" w:eastAsia="Arial" w:hAnsi="Arial"/>
                <w:sz w:val="14"/>
                <w:szCs w:val="14"/>
                <w:color w:val="auto"/>
              </w:rPr>
              <w:t>$3.31</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$2.75</w:t>
            </w:r>
          </w:p>
        </w:tc>
      </w:tr>
      <w:tr>
        <w:trPr>
          <w:trHeight w:val="48"/>
        </w:trPr>
        <w:tc>
          <w:tcPr>
            <w:tcW w:w="2180" w:type="dxa"/>
            <w:vAlign w:val="bottom"/>
            <w:tcBorders>
              <w:bottom w:val="single" w:sz="8" w:color="7F7F7F"/>
            </w:tcBorders>
          </w:tcPr>
          <w:p>
            <w:pPr>
              <w:spacing w:after="0"/>
              <w:rPr>
                <w:sz w:val="4"/>
                <w:szCs w:val="4"/>
                <w:color w:val="auto"/>
              </w:rPr>
            </w:pPr>
          </w:p>
        </w:tc>
        <w:tc>
          <w:tcPr>
            <w:tcW w:w="702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r>
      <w:tr>
        <w:trPr>
          <w:trHeight w:val="279"/>
        </w:trPr>
        <w:tc>
          <w:tcPr>
            <w:tcW w:w="21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Predefined Adjustments</w:t>
            </w:r>
          </w:p>
        </w:tc>
        <w:tc>
          <w:tcPr>
            <w:tcW w:w="7020" w:type="dxa"/>
            <w:vAlign w:val="bottom"/>
            <w:tcBorders>
              <w:bottom w:val="single" w:sz="8" w:color="F2F2F2"/>
            </w:tcBorders>
            <w:shd w:val="clear" w:color="auto" w:fill="F2F2F2"/>
          </w:tcPr>
          <w:p>
            <w:pPr>
              <w:spacing w:after="0"/>
              <w:rPr>
                <w:sz w:val="23"/>
                <w:szCs w:val="23"/>
                <w:color w:val="auto"/>
              </w:rPr>
            </w:pPr>
          </w:p>
        </w:tc>
        <w:tc>
          <w:tcPr>
            <w:tcW w:w="960" w:type="dxa"/>
            <w:vAlign w:val="bottom"/>
            <w:tcBorders>
              <w:bottom w:val="single" w:sz="8" w:color="F2F2F2"/>
            </w:tcBorders>
            <w:shd w:val="clear" w:color="auto" w:fill="F2F2F2"/>
          </w:tcPr>
          <w:p>
            <w:pPr>
              <w:spacing w:after="0"/>
              <w:rPr>
                <w:sz w:val="23"/>
                <w:szCs w:val="23"/>
                <w:color w:val="auto"/>
              </w:rPr>
            </w:pPr>
          </w:p>
        </w:tc>
        <w:tc>
          <w:tcPr>
            <w:tcW w:w="760" w:type="dxa"/>
            <w:vAlign w:val="bottom"/>
            <w:tcBorders>
              <w:bottom w:val="single" w:sz="8" w:color="F2F2F2"/>
            </w:tcBorders>
            <w:shd w:val="clear" w:color="auto" w:fill="F2F2F2"/>
          </w:tcPr>
          <w:p>
            <w:pPr>
              <w:spacing w:after="0"/>
              <w:rPr>
                <w:sz w:val="23"/>
                <w:szCs w:val="23"/>
                <w:color w:val="auto"/>
              </w:rPr>
            </w:pPr>
          </w:p>
        </w:tc>
      </w:tr>
      <w:tr>
        <w:trPr>
          <w:trHeight w:val="198"/>
        </w:trPr>
        <w:tc>
          <w:tcPr>
            <w:tcW w:w="9200" w:type="dxa"/>
            <w:vAlign w:val="bottom"/>
            <w:tcBorders>
              <w:top w:val="single" w:sz="8" w:color="7F7F7F"/>
            </w:tcBorders>
            <w:gridSpan w:val="2"/>
          </w:tcPr>
          <w:p>
            <w:pPr>
              <w:ind w:left="220"/>
              <w:spacing w:after="0"/>
              <w:rPr>
                <w:sz w:val="20"/>
                <w:szCs w:val="20"/>
                <w:color w:val="auto"/>
              </w:rPr>
            </w:pPr>
            <w:r>
              <w:rPr>
                <w:rFonts w:ascii="Arial" w:cs="Arial" w:eastAsia="Arial" w:hAnsi="Arial"/>
                <w:sz w:val="14"/>
                <w:szCs w:val="14"/>
                <w:color w:val="auto"/>
              </w:rPr>
              <w:t>Exclude tax items related to assets held for sale and foreign tax credit valuation allowance in connection with the planned sale of a portion of</w:t>
            </w:r>
          </w:p>
        </w:tc>
        <w:tc>
          <w:tcPr>
            <w:tcW w:w="960" w:type="dxa"/>
            <w:vAlign w:val="bottom"/>
            <w:tcBorders>
              <w:top w:val="single" w:sz="8" w:color="7F7F7F"/>
            </w:tcBorders>
          </w:tcPr>
          <w:p>
            <w:pPr>
              <w:spacing w:after="0"/>
              <w:rPr>
                <w:sz w:val="17"/>
                <w:szCs w:val="17"/>
                <w:color w:val="auto"/>
              </w:rPr>
            </w:pPr>
          </w:p>
        </w:tc>
        <w:tc>
          <w:tcPr>
            <w:tcW w:w="760" w:type="dxa"/>
            <w:vAlign w:val="bottom"/>
            <w:tcBorders>
              <w:top w:val="single" w:sz="8" w:color="7F7F7F"/>
            </w:tcBorders>
          </w:tcPr>
          <w:p>
            <w:pPr>
              <w:spacing w:after="0"/>
              <w:rPr>
                <w:sz w:val="17"/>
                <w:szCs w:val="17"/>
                <w:color w:val="auto"/>
              </w:rPr>
            </w:pPr>
          </w:p>
        </w:tc>
      </w:tr>
      <w:tr>
        <w:trPr>
          <w:trHeight w:val="189"/>
        </w:trPr>
        <w:tc>
          <w:tcPr>
            <w:tcW w:w="2180" w:type="dxa"/>
            <w:vAlign w:val="bottom"/>
          </w:tcPr>
          <w:p>
            <w:pPr>
              <w:ind w:left="220"/>
              <w:spacing w:after="0"/>
              <w:rPr>
                <w:sz w:val="20"/>
                <w:szCs w:val="20"/>
                <w:color w:val="auto"/>
              </w:rPr>
            </w:pPr>
            <w:r>
              <w:rPr>
                <w:rFonts w:ascii="Arial" w:cs="Arial" w:eastAsia="Arial" w:hAnsi="Arial"/>
                <w:sz w:val="14"/>
                <w:szCs w:val="14"/>
                <w:color w:val="auto"/>
              </w:rPr>
              <w:t>our interest in SI Partners</w:t>
            </w:r>
          </w:p>
        </w:tc>
        <w:tc>
          <w:tcPr>
            <w:tcW w:w="7020" w:type="dxa"/>
            <w:vAlign w:val="bottom"/>
          </w:tcPr>
          <w:p>
            <w:pPr>
              <w:spacing w:after="0"/>
              <w:rPr>
                <w:sz w:val="16"/>
                <w:szCs w:val="16"/>
                <w:color w:val="auto"/>
              </w:rPr>
            </w:pPr>
          </w:p>
        </w:tc>
        <w:tc>
          <w:tcPr>
            <w:tcW w:w="9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0.90</w:t>
            </w:r>
          </w:p>
        </w:tc>
      </w:tr>
      <w:tr>
        <w:trPr>
          <w:trHeight w:val="48"/>
        </w:trPr>
        <w:tc>
          <w:tcPr>
            <w:tcW w:w="9200" w:type="dxa"/>
            <w:vAlign w:val="bottom"/>
            <w:tcBorders>
              <w:bottom w:val="single" w:sz="8" w:color="7F7F7F"/>
            </w:tcBorders>
            <w:gridSpan w:val="2"/>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r>
      <w:tr>
        <w:trPr>
          <w:trHeight w:val="279"/>
        </w:trPr>
        <w:tc>
          <w:tcPr>
            <w:tcW w:w="9200" w:type="dxa"/>
            <w:vAlign w:val="bottom"/>
            <w:tcBorders>
              <w:bottom w:val="single" w:sz="8" w:color="F2F2F2"/>
            </w:tcBorders>
            <w:gridSpan w:val="2"/>
            <w:shd w:val="clear" w:color="auto" w:fill="F2F2F2"/>
          </w:tcPr>
          <w:p>
            <w:pPr>
              <w:ind w:left="220"/>
              <w:spacing w:after="0"/>
              <w:rPr>
                <w:sz w:val="20"/>
                <w:szCs w:val="20"/>
                <w:color w:val="auto"/>
              </w:rPr>
            </w:pPr>
            <w:r>
              <w:rPr>
                <w:rFonts w:ascii="Arial" w:cs="Arial" w:eastAsia="Arial" w:hAnsi="Arial"/>
                <w:sz w:val="14"/>
                <w:szCs w:val="14"/>
                <w:color w:val="auto"/>
              </w:rPr>
              <w:t>Exclude impacts of foreign exchange gains or losses and unrealized mark-to-market gains or losses on certain derivatives</w:t>
            </w:r>
          </w:p>
        </w:tc>
        <w:tc>
          <w:tcPr>
            <w:tcW w:w="96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0.79</w:t>
            </w:r>
          </w:p>
        </w:tc>
        <w:tc>
          <w:tcPr>
            <w:tcW w:w="7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0.34</w:t>
            </w:r>
          </w:p>
        </w:tc>
      </w:tr>
      <w:tr>
        <w:trPr>
          <w:trHeight w:val="198"/>
        </w:trPr>
        <w:tc>
          <w:tcPr>
            <w:tcW w:w="9200" w:type="dxa"/>
            <w:vAlign w:val="bottom"/>
            <w:tcBorders>
              <w:top w:val="single" w:sz="8" w:color="7F7F7F"/>
            </w:tcBorders>
            <w:gridSpan w:val="2"/>
          </w:tcPr>
          <w:p>
            <w:pPr>
              <w:ind w:left="220"/>
              <w:spacing w:after="0"/>
              <w:rPr>
                <w:sz w:val="20"/>
                <w:szCs w:val="20"/>
                <w:color w:val="auto"/>
              </w:rPr>
            </w:pPr>
            <w:r>
              <w:rPr>
                <w:rFonts w:ascii="Arial" w:cs="Arial" w:eastAsia="Arial" w:hAnsi="Arial"/>
                <w:sz w:val="14"/>
                <w:szCs w:val="14"/>
                <w:color w:val="auto"/>
              </w:rPr>
              <w:t>Exclude the regulatory disallowances related to from 2019 through 2024 associated with the 2024 California General Rate Case Track 2 final</w:t>
            </w:r>
          </w:p>
        </w:tc>
        <w:tc>
          <w:tcPr>
            <w:tcW w:w="960" w:type="dxa"/>
            <w:vAlign w:val="bottom"/>
            <w:tcBorders>
              <w:top w:val="single" w:sz="8" w:color="7F7F7F"/>
            </w:tcBorders>
          </w:tcPr>
          <w:p>
            <w:pPr>
              <w:spacing w:after="0"/>
              <w:rPr>
                <w:sz w:val="17"/>
                <w:szCs w:val="17"/>
                <w:color w:val="auto"/>
              </w:rPr>
            </w:pPr>
          </w:p>
        </w:tc>
        <w:tc>
          <w:tcPr>
            <w:tcW w:w="760" w:type="dxa"/>
            <w:vAlign w:val="bottom"/>
            <w:tcBorders>
              <w:top w:val="single" w:sz="8" w:color="7F7F7F"/>
            </w:tcBorders>
          </w:tcPr>
          <w:p>
            <w:pPr>
              <w:spacing w:after="0"/>
              <w:rPr>
                <w:sz w:val="17"/>
                <w:szCs w:val="17"/>
                <w:color w:val="auto"/>
              </w:rPr>
            </w:pPr>
          </w:p>
        </w:tc>
      </w:tr>
      <w:tr>
        <w:trPr>
          <w:trHeight w:val="189"/>
        </w:trPr>
        <w:tc>
          <w:tcPr>
            <w:tcW w:w="9200" w:type="dxa"/>
            <w:vAlign w:val="bottom"/>
            <w:gridSpan w:val="2"/>
          </w:tcPr>
          <w:p>
            <w:pPr>
              <w:ind w:left="220"/>
              <w:spacing w:after="0"/>
              <w:rPr>
                <w:sz w:val="20"/>
                <w:szCs w:val="20"/>
                <w:color w:val="auto"/>
              </w:rPr>
            </w:pPr>
            <w:r>
              <w:rPr>
                <w:rFonts w:ascii="Arial" w:cs="Arial" w:eastAsia="Arial" w:hAnsi="Arial"/>
                <w:sz w:val="14"/>
                <w:szCs w:val="14"/>
                <w:color w:val="auto"/>
              </w:rPr>
              <w:t>decision and Catastrophic Event Memorandum Account</w:t>
            </w:r>
          </w:p>
        </w:tc>
        <w:tc>
          <w:tcPr>
            <w:tcW w:w="9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0.70</w:t>
            </w:r>
          </w:p>
        </w:tc>
      </w:tr>
      <w:tr>
        <w:trPr>
          <w:trHeight w:val="48"/>
        </w:trPr>
        <w:tc>
          <w:tcPr>
            <w:tcW w:w="9200" w:type="dxa"/>
            <w:vAlign w:val="bottom"/>
            <w:tcBorders>
              <w:bottom w:val="single" w:sz="8" w:color="7F7F7F"/>
            </w:tcBorders>
            <w:gridSpan w:val="2"/>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r>
      <w:tr>
        <w:trPr>
          <w:trHeight w:val="198"/>
        </w:trPr>
        <w:tc>
          <w:tcPr>
            <w:tcW w:w="9200" w:type="dxa"/>
            <w:vAlign w:val="bottom"/>
            <w:gridSpan w:val="2"/>
            <w:shd w:val="clear" w:color="auto" w:fill="F2F2F2"/>
          </w:tcPr>
          <w:p>
            <w:pPr>
              <w:ind w:left="220"/>
              <w:spacing w:after="0"/>
              <w:rPr>
                <w:sz w:val="20"/>
                <w:szCs w:val="20"/>
                <w:color w:val="auto"/>
              </w:rPr>
            </w:pPr>
            <w:r>
              <w:rPr>
                <w:rFonts w:ascii="Arial" w:cs="Arial" w:eastAsia="Arial" w:hAnsi="Arial"/>
                <w:sz w:val="14"/>
                <w:szCs w:val="14"/>
                <w:color w:val="auto"/>
              </w:rPr>
              <w:t>Exclude the variance from plan of the 2025 impact of disallowances and deferrals related to the California General Rate Case Tracks 2 and 3</w:t>
            </w:r>
          </w:p>
        </w:tc>
        <w:tc>
          <w:tcPr>
            <w:tcW w:w="96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r>
      <w:tr>
        <w:trPr>
          <w:trHeight w:val="160"/>
        </w:trPr>
        <w:tc>
          <w:tcPr>
            <w:tcW w:w="9200" w:type="dxa"/>
            <w:vAlign w:val="bottom"/>
            <w:gridSpan w:val="2"/>
            <w:shd w:val="clear" w:color="auto" w:fill="F2F2F2"/>
          </w:tcPr>
          <w:p>
            <w:pPr>
              <w:ind w:left="220"/>
              <w:spacing w:after="0"/>
              <w:rPr>
                <w:sz w:val="20"/>
                <w:szCs w:val="20"/>
                <w:color w:val="auto"/>
              </w:rPr>
            </w:pPr>
            <w:r>
              <w:rPr>
                <w:rFonts w:ascii="Arial" w:cs="Arial" w:eastAsia="Arial" w:hAnsi="Arial"/>
                <w:sz w:val="14"/>
                <w:szCs w:val="14"/>
                <w:color w:val="auto"/>
              </w:rPr>
              <w:t>requests and certain other balanced capital programs, and any accelerated amortization or other impacts of the fund established pursuant to</w:t>
            </w:r>
          </w:p>
        </w:tc>
        <w:tc>
          <w:tcPr>
            <w:tcW w:w="960" w:type="dxa"/>
            <w:vAlign w:val="bottom"/>
            <w:shd w:val="clear" w:color="auto" w:fill="F2F2F2"/>
          </w:tcPr>
          <w:p>
            <w:pPr>
              <w:spacing w:after="0"/>
              <w:rPr>
                <w:sz w:val="13"/>
                <w:szCs w:val="13"/>
                <w:color w:val="auto"/>
              </w:rPr>
            </w:pPr>
          </w:p>
        </w:tc>
        <w:tc>
          <w:tcPr>
            <w:tcW w:w="760" w:type="dxa"/>
            <w:vAlign w:val="bottom"/>
            <w:shd w:val="clear" w:color="auto" w:fill="F2F2F2"/>
          </w:tcPr>
          <w:p>
            <w:pPr>
              <w:spacing w:after="0"/>
              <w:rPr>
                <w:sz w:val="13"/>
                <w:szCs w:val="13"/>
                <w:color w:val="auto"/>
              </w:rPr>
            </w:pPr>
          </w:p>
        </w:tc>
      </w:tr>
      <w:tr>
        <w:trPr>
          <w:trHeight w:val="242"/>
        </w:trPr>
        <w:tc>
          <w:tcPr>
            <w:tcW w:w="21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California Assembly Bill 1054</w:t>
            </w:r>
          </w:p>
        </w:tc>
        <w:tc>
          <w:tcPr>
            <w:tcW w:w="7020" w:type="dxa"/>
            <w:vAlign w:val="bottom"/>
            <w:tcBorders>
              <w:bottom w:val="single" w:sz="8" w:color="F2F2F2"/>
            </w:tcBorders>
            <w:shd w:val="clear" w:color="auto" w:fill="F2F2F2"/>
          </w:tcPr>
          <w:p>
            <w:pPr>
              <w:spacing w:after="0"/>
              <w:rPr>
                <w:sz w:val="20"/>
                <w:szCs w:val="20"/>
                <w:color w:val="auto"/>
              </w:rPr>
            </w:pPr>
          </w:p>
        </w:tc>
        <w:tc>
          <w:tcPr>
            <w:tcW w:w="96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0.09</w:t>
            </w:r>
          </w:p>
        </w:tc>
      </w:tr>
      <w:tr>
        <w:trPr>
          <w:trHeight w:val="198"/>
        </w:trPr>
        <w:tc>
          <w:tcPr>
            <w:tcW w:w="9200" w:type="dxa"/>
            <w:vAlign w:val="bottom"/>
            <w:tcBorders>
              <w:top w:val="single" w:sz="8" w:color="7F7F7F"/>
            </w:tcBorders>
            <w:gridSpan w:val="2"/>
          </w:tcPr>
          <w:p>
            <w:pPr>
              <w:ind w:left="220"/>
              <w:spacing w:after="0"/>
              <w:rPr>
                <w:sz w:val="20"/>
                <w:szCs w:val="20"/>
                <w:color w:val="auto"/>
              </w:rPr>
            </w:pPr>
            <w:r>
              <w:rPr>
                <w:rFonts w:ascii="Arial" w:cs="Arial" w:eastAsia="Arial" w:hAnsi="Arial"/>
                <w:sz w:val="14"/>
                <w:szCs w:val="14"/>
                <w:color w:val="auto"/>
              </w:rPr>
              <w:t>Exclude the variance from plan of gains and losses related to legacy litigation matters; depreciation savings related to assets held for sale; the</w:t>
            </w:r>
          </w:p>
        </w:tc>
        <w:tc>
          <w:tcPr>
            <w:tcW w:w="960" w:type="dxa"/>
            <w:vAlign w:val="bottom"/>
            <w:tcBorders>
              <w:top w:val="single" w:sz="8" w:color="7F7F7F"/>
            </w:tcBorders>
          </w:tcPr>
          <w:p>
            <w:pPr>
              <w:spacing w:after="0"/>
              <w:rPr>
                <w:sz w:val="17"/>
                <w:szCs w:val="17"/>
                <w:color w:val="auto"/>
              </w:rPr>
            </w:pPr>
          </w:p>
        </w:tc>
        <w:tc>
          <w:tcPr>
            <w:tcW w:w="760" w:type="dxa"/>
            <w:vAlign w:val="bottom"/>
            <w:tcBorders>
              <w:top w:val="single" w:sz="8" w:color="7F7F7F"/>
            </w:tcBorders>
          </w:tcPr>
          <w:p>
            <w:pPr>
              <w:spacing w:after="0"/>
              <w:rPr>
                <w:sz w:val="17"/>
                <w:szCs w:val="17"/>
                <w:color w:val="auto"/>
              </w:rPr>
            </w:pPr>
          </w:p>
        </w:tc>
      </w:tr>
      <w:tr>
        <w:trPr>
          <w:trHeight w:val="160"/>
        </w:trPr>
        <w:tc>
          <w:tcPr>
            <w:tcW w:w="9200" w:type="dxa"/>
            <w:vAlign w:val="bottom"/>
            <w:gridSpan w:val="2"/>
          </w:tcPr>
          <w:p>
            <w:pPr>
              <w:ind w:left="220"/>
              <w:spacing w:after="0"/>
              <w:rPr>
                <w:sz w:val="20"/>
                <w:szCs w:val="20"/>
                <w:color w:val="auto"/>
              </w:rPr>
            </w:pPr>
            <w:r>
              <w:rPr>
                <w:rFonts w:ascii="Arial" w:cs="Arial" w:eastAsia="Arial" w:hAnsi="Arial"/>
                <w:sz w:val="14"/>
                <w:szCs w:val="14"/>
                <w:color w:val="auto"/>
              </w:rPr>
              <w:t>impact of a payment delay from a foreign government entity; unplanned rabbi trust investment returns (related to nonqualified pension and</w:t>
            </w: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9"/>
        </w:trPr>
        <w:tc>
          <w:tcPr>
            <w:tcW w:w="9200" w:type="dxa"/>
            <w:vAlign w:val="bottom"/>
            <w:gridSpan w:val="2"/>
          </w:tcPr>
          <w:p>
            <w:pPr>
              <w:ind w:left="220"/>
              <w:spacing w:after="0"/>
              <w:rPr>
                <w:sz w:val="20"/>
                <w:szCs w:val="20"/>
                <w:color w:val="auto"/>
              </w:rPr>
            </w:pPr>
            <w:r>
              <w:rPr>
                <w:rFonts w:ascii="Arial" w:cs="Arial" w:eastAsia="Arial" w:hAnsi="Arial"/>
                <w:sz w:val="14"/>
                <w:szCs w:val="14"/>
                <w:color w:val="auto"/>
              </w:rPr>
              <w:t>deferred compensation) in excess of specified limits; and unplanned pension settlement charges</w:t>
            </w:r>
          </w:p>
        </w:tc>
        <w:tc>
          <w:tcPr>
            <w:tcW w:w="960" w:type="dxa"/>
            <w:vAlign w:val="bottom"/>
          </w:tcPr>
          <w:p>
            <w:pPr>
              <w:jc w:val="right"/>
              <w:ind w:right="189"/>
              <w:spacing w:after="0"/>
              <w:rPr>
                <w:sz w:val="20"/>
                <w:szCs w:val="20"/>
                <w:color w:val="auto"/>
              </w:rPr>
            </w:pPr>
            <w:r>
              <w:rPr>
                <w:rFonts w:ascii="Arial" w:cs="Arial" w:eastAsia="Arial" w:hAnsi="Arial"/>
                <w:sz w:val="14"/>
                <w:szCs w:val="14"/>
                <w:color w:val="auto"/>
              </w:rPr>
              <w:t>0.36</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0.03</w:t>
            </w:r>
          </w:p>
        </w:tc>
      </w:tr>
      <w:tr>
        <w:trPr>
          <w:trHeight w:val="48"/>
        </w:trPr>
        <w:tc>
          <w:tcPr>
            <w:tcW w:w="9200" w:type="dxa"/>
            <w:vAlign w:val="bottom"/>
            <w:tcBorders>
              <w:bottom w:val="single" w:sz="8" w:color="7F7F7F"/>
            </w:tcBorders>
            <w:gridSpan w:val="2"/>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r>
      <w:tr>
        <w:trPr>
          <w:trHeight w:val="279"/>
        </w:trPr>
        <w:tc>
          <w:tcPr>
            <w:tcW w:w="9200" w:type="dxa"/>
            <w:vAlign w:val="bottom"/>
            <w:tcBorders>
              <w:bottom w:val="single" w:sz="8" w:color="F2F2F2"/>
            </w:tcBorders>
            <w:gridSpan w:val="2"/>
            <w:shd w:val="clear" w:color="auto" w:fill="F2F2F2"/>
          </w:tcPr>
          <w:p>
            <w:pPr>
              <w:ind w:left="220"/>
              <w:spacing w:after="0"/>
              <w:rPr>
                <w:sz w:val="20"/>
                <w:szCs w:val="20"/>
                <w:color w:val="auto"/>
              </w:rPr>
            </w:pPr>
            <w:r>
              <w:rPr>
                <w:rFonts w:ascii="Arial" w:cs="Arial" w:eastAsia="Arial" w:hAnsi="Arial"/>
                <w:sz w:val="14"/>
                <w:szCs w:val="14"/>
                <w:color w:val="auto"/>
              </w:rPr>
              <w:t>Exclude certain costs related to the 2022 sale of a portion of our interest in SI Partners</w:t>
            </w:r>
          </w:p>
        </w:tc>
        <w:tc>
          <w:tcPr>
            <w:tcW w:w="96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0.12</w:t>
            </w:r>
          </w:p>
        </w:tc>
        <w:tc>
          <w:tcPr>
            <w:tcW w:w="7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w:t>
            </w:r>
          </w:p>
        </w:tc>
      </w:tr>
      <w:tr>
        <w:trPr>
          <w:trHeight w:val="227"/>
        </w:trPr>
        <w:tc>
          <w:tcPr>
            <w:tcW w:w="9200" w:type="dxa"/>
            <w:vAlign w:val="bottom"/>
            <w:tcBorders>
              <w:top w:val="single" w:sz="8" w:color="7F7F7F"/>
            </w:tcBorders>
            <w:gridSpan w:val="2"/>
          </w:tcPr>
          <w:p>
            <w:pPr>
              <w:ind w:left="80"/>
              <w:spacing w:after="0"/>
              <w:rPr>
                <w:sz w:val="20"/>
                <w:szCs w:val="20"/>
                <w:color w:val="auto"/>
              </w:rPr>
            </w:pPr>
            <w:r>
              <w:rPr>
                <w:rFonts w:ascii="Arial" w:cs="Arial" w:eastAsia="Arial" w:hAnsi="Arial"/>
                <w:sz w:val="14"/>
                <w:szCs w:val="14"/>
                <w:color w:val="auto"/>
              </w:rPr>
              <w:t>EPS, as Adjusted for LTIP Award Cycle Purposes</w:t>
            </w:r>
          </w:p>
        </w:tc>
        <w:tc>
          <w:tcPr>
            <w:tcW w:w="96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rPr>
              <w:t>$4.58</w:t>
            </w:r>
          </w:p>
        </w:tc>
        <w:tc>
          <w:tcPr>
            <w:tcW w:w="7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$4.81</w:t>
            </w:r>
          </w:p>
        </w:tc>
      </w:tr>
      <w:tr>
        <w:trPr>
          <w:trHeight w:val="48"/>
        </w:trPr>
        <w:tc>
          <w:tcPr>
            <w:tcW w:w="920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0"/>
        </w:trPr>
        <w:tc>
          <w:tcPr>
            <w:tcW w:w="2180" w:type="dxa"/>
            <w:vAlign w:val="bottom"/>
            <w:tcBorders>
              <w:bottom w:val="single" w:sz="8" w:color="F2F2F2"/>
            </w:tcBorders>
          </w:tcPr>
          <w:p>
            <w:pPr>
              <w:spacing w:after="0" w:line="20" w:lineRule="exact"/>
              <w:rPr>
                <w:sz w:val="1"/>
                <w:szCs w:val="1"/>
                <w:color w:val="auto"/>
              </w:rPr>
            </w:pPr>
          </w:p>
        </w:tc>
        <w:tc>
          <w:tcPr>
            <w:tcW w:w="7020" w:type="dxa"/>
            <w:vAlign w:val="bottom"/>
            <w:tcBorders>
              <w:bottom w:val="single" w:sz="8" w:color="F2F2F2"/>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66"/>
        </w:trPr>
        <w:tc>
          <w:tcPr>
            <w:tcW w:w="9200" w:type="dxa"/>
            <w:vAlign w:val="bottom"/>
            <w:tcBorders>
              <w:bottom w:val="single" w:sz="8" w:color="F2F2F2"/>
            </w:tcBorders>
            <w:gridSpan w:val="2"/>
            <w:shd w:val="clear" w:color="auto" w:fill="F2F2F2"/>
          </w:tcPr>
          <w:p>
            <w:pPr>
              <w:ind w:left="80"/>
              <w:spacing w:after="0"/>
              <w:rPr>
                <w:sz w:val="20"/>
                <w:szCs w:val="20"/>
                <w:color w:val="auto"/>
              </w:rPr>
            </w:pPr>
            <w:r>
              <w:rPr>
                <w:rFonts w:ascii="Arial" w:cs="Arial" w:eastAsia="Arial" w:hAnsi="Arial"/>
                <w:sz w:val="14"/>
                <w:szCs w:val="14"/>
                <w:color w:val="auto"/>
              </w:rPr>
              <w:t>EPS CAGR, as Adjusted for LTIP Award Cycle Purposes</w:t>
            </w:r>
          </w:p>
        </w:tc>
        <w:tc>
          <w:tcPr>
            <w:tcW w:w="960" w:type="dxa"/>
            <w:vAlign w:val="bottom"/>
            <w:tcBorders>
              <w:bottom w:val="single" w:sz="8" w:color="F2F2F2"/>
            </w:tcBorders>
            <w:shd w:val="clear" w:color="auto" w:fill="F2F2F2"/>
          </w:tcPr>
          <w:p>
            <w:pPr>
              <w:spacing w:after="0"/>
              <w:rPr>
                <w:sz w:val="22"/>
                <w:szCs w:val="22"/>
                <w:color w:val="auto"/>
              </w:rPr>
            </w:pPr>
          </w:p>
        </w:tc>
        <w:tc>
          <w:tcPr>
            <w:tcW w:w="7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21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Table 17</w:t>
            </w:r>
          </w:p>
        </w:tc>
        <w:tc>
          <w:tcPr>
            <w:tcW w:w="70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147"/>
        </w:trPr>
        <w:tc>
          <w:tcPr>
            <w:tcW w:w="2180" w:type="dxa"/>
            <w:vAlign w:val="bottom"/>
            <w:tcBorders>
              <w:bottom w:val="single" w:sz="8" w:color="7F7F7F"/>
            </w:tcBorders>
          </w:tcPr>
          <w:p>
            <w:pPr>
              <w:spacing w:after="0"/>
              <w:rPr>
                <w:sz w:val="12"/>
                <w:szCs w:val="12"/>
                <w:color w:val="auto"/>
              </w:rPr>
            </w:pPr>
          </w:p>
        </w:tc>
        <w:tc>
          <w:tcPr>
            <w:tcW w:w="7020" w:type="dxa"/>
            <w:vAlign w:val="bottom"/>
            <w:tcBorders>
              <w:bottom w:val="single" w:sz="8" w:color="7F7F7F"/>
            </w:tcBorders>
          </w:tcPr>
          <w:p>
            <w:pPr>
              <w:spacing w:after="0"/>
              <w:rPr>
                <w:sz w:val="12"/>
                <w:szCs w:val="12"/>
                <w:color w:val="auto"/>
              </w:rPr>
            </w:pPr>
          </w:p>
        </w:tc>
        <w:tc>
          <w:tcPr>
            <w:tcW w:w="96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r>
      <w:tr>
        <w:trPr>
          <w:trHeight w:val="368"/>
        </w:trPr>
        <w:tc>
          <w:tcPr>
            <w:tcW w:w="2180" w:type="dxa"/>
            <w:vAlign w:val="bottom"/>
          </w:tcPr>
          <w:p>
            <w:pPr>
              <w:spacing w:after="0"/>
              <w:rPr>
                <w:sz w:val="20"/>
                <w:szCs w:val="20"/>
                <w:color w:val="auto"/>
              </w:rPr>
            </w:pPr>
            <w:r>
              <w:rPr>
                <w:rFonts w:ascii="Arial" w:cs="Arial" w:eastAsia="Arial" w:hAnsi="Arial"/>
                <w:sz w:val="12"/>
                <w:szCs w:val="12"/>
                <w:color w:val="auto"/>
              </w:rPr>
              <w:t xml:space="preserve">60          </w:t>
            </w:r>
          </w:p>
        </w:tc>
        <w:tc>
          <w:tcPr>
            <w:tcW w:w="7020" w:type="dxa"/>
            <w:vAlign w:val="bottom"/>
          </w:tcPr>
          <w:p>
            <w:pPr>
              <w:ind w:left="100"/>
              <w:spacing w:after="0"/>
              <w:rPr>
                <w:sz w:val="20"/>
                <w:szCs w:val="20"/>
                <w:color w:val="auto"/>
              </w:rPr>
            </w:pPr>
            <w:r>
              <w:rPr>
                <w:rFonts w:ascii="Arial" w:cs="Arial" w:eastAsia="Arial" w:hAnsi="Arial"/>
                <w:sz w:val="12"/>
                <w:szCs w:val="12"/>
                <w:color w:val="auto"/>
              </w:rPr>
              <w:t>      2026 Proxy Statement</w:t>
            </w: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-118110</wp:posOffset>
            </wp:positionV>
            <wp:extent cx="739140" cy="153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Special Awards Granted to Named Executive Officers in 2025</w:t>
      </w:r>
    </w:p>
    <w:p>
      <w:pPr>
        <w:spacing w:after="0" w:line="110" w:lineRule="exact"/>
        <w:rPr>
          <w:sz w:val="20"/>
          <w:szCs w:val="20"/>
          <w:color w:val="auto"/>
        </w:rPr>
      </w:pPr>
    </w:p>
    <w:p>
      <w:pPr>
        <w:ind w:left="160" w:right="120"/>
        <w:spacing w:after="0" w:line="253" w:lineRule="auto"/>
        <w:rPr>
          <w:sz w:val="20"/>
          <w:szCs w:val="20"/>
          <w:color w:val="auto"/>
        </w:rPr>
      </w:pPr>
      <w:r>
        <w:rPr>
          <w:rFonts w:ascii="Arial" w:cs="Arial" w:eastAsia="Arial" w:hAnsi="Arial"/>
          <w:sz w:val="14"/>
          <w:szCs w:val="14"/>
          <w:color w:val="auto"/>
        </w:rPr>
        <w:t>Special equity awards also may be granted with the Compensation and Talent Development Committee’s approval upon the hiring or promotion of named executive officers or, in limited instances, to reward extraordinary performance or promote retention. None of our named executive officers were granted special equity awards in 2025, although one of our named executive officers received shares in 2025 upon the vesting of a special equity award that was granted before 2025, before she became a Sempra officer, and that has a multi-year vesting schedule. See “Compensation Tables—Outstanding Equity Awards at Year-End” for more information.</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4.    Benefit Plans and Other Executive Benefits</w:t>
      </w:r>
    </w:p>
    <w:p>
      <w:pPr>
        <w:spacing w:after="0" w:line="125" w:lineRule="exact"/>
        <w:rPr>
          <w:sz w:val="20"/>
          <w:szCs w:val="20"/>
          <w:color w:val="auto"/>
        </w:rPr>
      </w:pPr>
    </w:p>
    <w:p>
      <w:pPr>
        <w:ind w:left="160" w:right="280"/>
        <w:spacing w:after="0" w:line="281" w:lineRule="auto"/>
        <w:rPr>
          <w:sz w:val="20"/>
          <w:szCs w:val="20"/>
          <w:color w:val="auto"/>
        </w:rPr>
      </w:pPr>
      <w:r>
        <w:rPr>
          <w:rFonts w:ascii="Arial" w:cs="Arial" w:eastAsia="Arial" w:hAnsi="Arial"/>
          <w:sz w:val="14"/>
          <w:szCs w:val="14"/>
          <w:color w:val="auto"/>
        </w:rPr>
        <w:t>Our named executive officers also participate in certain benefit plans including: (1) health, life insurance and disability plans and other executive benefits; and (2) savings and retirement plans.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    Health, Life Insurance and Disability Plans and Other Executive Benefits</w:t>
      </w:r>
    </w:p>
    <w:p>
      <w:pPr>
        <w:spacing w:after="0" w:line="253"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440" w:type="dxa"/>
            <w:vAlign w:val="bottom"/>
            <w:tcBorders>
              <w:right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Plan Type</w:t>
            </w:r>
          </w:p>
        </w:tc>
        <w:tc>
          <w:tcPr>
            <w:tcW w:w="1520" w:type="dxa"/>
            <w:vAlign w:val="bottom"/>
            <w:tcBorders>
              <w:right w:val="single" w:sz="8" w:color="005CB9"/>
            </w:tcBorders>
            <w:shd w:val="clear" w:color="auto" w:fill="005CB9"/>
          </w:tcPr>
          <w:p>
            <w:pPr>
              <w:ind w:left="660"/>
              <w:spacing w:after="0"/>
              <w:rPr>
                <w:sz w:val="20"/>
                <w:szCs w:val="20"/>
                <w:color w:val="auto"/>
              </w:rPr>
            </w:pPr>
            <w:r>
              <w:rPr>
                <w:rFonts w:ascii="Arial" w:cs="Arial" w:eastAsia="Arial" w:hAnsi="Arial"/>
                <w:sz w:val="14"/>
                <w:szCs w:val="14"/>
                <w:b w:val="1"/>
                <w:bCs w:val="1"/>
                <w:color w:val="FFFFFF"/>
              </w:rPr>
              <w:t>Plan</w:t>
            </w:r>
          </w:p>
        </w:tc>
        <w:tc>
          <w:tcPr>
            <w:tcW w:w="7960" w:type="dxa"/>
            <w:vAlign w:val="bottom"/>
            <w:shd w:val="clear" w:color="auto" w:fill="005CB9"/>
          </w:tcPr>
          <w:p>
            <w:pPr>
              <w:ind w:left="3640"/>
              <w:spacing w:after="0"/>
              <w:rPr>
                <w:sz w:val="20"/>
                <w:szCs w:val="20"/>
                <w:color w:val="auto"/>
              </w:rPr>
            </w:pPr>
            <w:r>
              <w:rPr>
                <w:rFonts w:ascii="Arial" w:cs="Arial" w:eastAsia="Arial" w:hAnsi="Arial"/>
                <w:sz w:val="14"/>
                <w:szCs w:val="14"/>
                <w:b w:val="1"/>
                <w:bCs w:val="1"/>
                <w:color w:val="FFFFFF"/>
              </w:rPr>
              <w:t>Description</w:t>
            </w:r>
          </w:p>
        </w:tc>
        <w:tc>
          <w:tcPr>
            <w:tcW w:w="0" w:type="dxa"/>
            <w:vAlign w:val="bottom"/>
          </w:tcPr>
          <w:p>
            <w:pPr>
              <w:spacing w:after="0"/>
              <w:rPr>
                <w:sz w:val="1"/>
                <w:szCs w:val="1"/>
                <w:color w:val="auto"/>
              </w:rPr>
            </w:pPr>
          </w:p>
        </w:tc>
      </w:tr>
      <w:tr>
        <w:trPr>
          <w:trHeight w:val="68"/>
        </w:trPr>
        <w:tc>
          <w:tcPr>
            <w:tcW w:w="1440" w:type="dxa"/>
            <w:vAlign w:val="bottom"/>
            <w:tcBorders>
              <w:right w:val="single" w:sz="8" w:color="005CB9"/>
            </w:tcBorders>
            <w:shd w:val="clear" w:color="auto" w:fill="005CB9"/>
          </w:tcPr>
          <w:p>
            <w:pPr>
              <w:spacing w:after="0"/>
              <w:rPr>
                <w:sz w:val="5"/>
                <w:szCs w:val="5"/>
                <w:color w:val="auto"/>
              </w:rPr>
            </w:pPr>
          </w:p>
        </w:tc>
        <w:tc>
          <w:tcPr>
            <w:tcW w:w="1520" w:type="dxa"/>
            <w:vAlign w:val="bottom"/>
            <w:tcBorders>
              <w:right w:val="single" w:sz="8" w:color="005CB9"/>
            </w:tcBorders>
            <w:shd w:val="clear" w:color="auto" w:fill="005CB9"/>
          </w:tcPr>
          <w:p>
            <w:pPr>
              <w:spacing w:after="0"/>
              <w:rPr>
                <w:sz w:val="5"/>
                <w:szCs w:val="5"/>
                <w:color w:val="auto"/>
              </w:rPr>
            </w:pPr>
          </w:p>
        </w:tc>
        <w:tc>
          <w:tcPr>
            <w:tcW w:w="7960" w:type="dxa"/>
            <w:vAlign w:val="bottom"/>
            <w:shd w:val="clear" w:color="auto" w:fill="005CB9"/>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440" w:type="dxa"/>
            <w:vAlign w:val="bottom"/>
            <w:tcBorders>
              <w:right w:val="single" w:sz="8" w:color="7F7F7F"/>
            </w:tcBorders>
            <w:shd w:val="clear" w:color="auto" w:fill="F2F2F2"/>
          </w:tcPr>
          <w:p>
            <w:pPr>
              <w:spacing w:after="0"/>
              <w:rPr>
                <w:sz w:val="17"/>
                <w:szCs w:val="17"/>
                <w:color w:val="auto"/>
              </w:rPr>
            </w:pPr>
          </w:p>
        </w:tc>
        <w:tc>
          <w:tcPr>
            <w:tcW w:w="1520" w:type="dxa"/>
            <w:vAlign w:val="bottom"/>
            <w:tcBorders>
              <w:right w:val="single" w:sz="8" w:color="7F7F7F"/>
            </w:tcBorders>
          </w:tcPr>
          <w:p>
            <w:pPr>
              <w:spacing w:after="0"/>
              <w:rPr>
                <w:sz w:val="17"/>
                <w:szCs w:val="17"/>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Our named executive officers participate in life, disability, medical, dental and vision insurance group plans that are generally</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Basic Group Plans</w:t>
            </w:r>
          </w:p>
        </w:tc>
        <w:tc>
          <w:tcPr>
            <w:tcW w:w="7960" w:type="dxa"/>
            <w:vAlign w:val="bottom"/>
          </w:tcPr>
          <w:p>
            <w:pPr>
              <w:ind w:left="120"/>
              <w:spacing w:after="0"/>
              <w:rPr>
                <w:sz w:val="20"/>
                <w:szCs w:val="20"/>
                <w:color w:val="auto"/>
              </w:rPr>
            </w:pPr>
            <w:r>
              <w:rPr>
                <w:rFonts w:ascii="Arial" w:cs="Arial" w:eastAsia="Arial" w:hAnsi="Arial"/>
                <w:sz w:val="14"/>
                <w:szCs w:val="14"/>
                <w:color w:val="auto"/>
              </w:rPr>
              <w:t>available to all employees. These are common benefits that we believe are essential to attracting and retaining a high-</w:t>
            </w:r>
          </w:p>
        </w:tc>
        <w:tc>
          <w:tcPr>
            <w:tcW w:w="0" w:type="dxa"/>
            <w:vAlign w:val="bottom"/>
          </w:tcPr>
          <w:p>
            <w:pPr>
              <w:spacing w:after="0"/>
              <w:rPr>
                <w:sz w:val="1"/>
                <w:szCs w:val="1"/>
                <w:color w:val="auto"/>
              </w:rPr>
            </w:pPr>
          </w:p>
        </w:tc>
      </w:tr>
      <w:tr>
        <w:trPr>
          <w:trHeight w:val="189"/>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performing workforce.</w:t>
            </w:r>
          </w:p>
        </w:tc>
        <w:tc>
          <w:tcPr>
            <w:tcW w:w="0" w:type="dxa"/>
            <w:vAlign w:val="bottom"/>
          </w:tcPr>
          <w:p>
            <w:pPr>
              <w:spacing w:after="0"/>
              <w:rPr>
                <w:sz w:val="1"/>
                <w:szCs w:val="1"/>
                <w:color w:val="auto"/>
              </w:rPr>
            </w:pPr>
          </w:p>
        </w:tc>
      </w:tr>
      <w:tr>
        <w:trPr>
          <w:trHeight w:val="48"/>
        </w:trPr>
        <w:tc>
          <w:tcPr>
            <w:tcW w:w="1440" w:type="dxa"/>
            <w:vAlign w:val="bottom"/>
            <w:tcBorders>
              <w:bottom w:val="single" w:sz="8" w:color="F2F2F2"/>
              <w:right w:val="single" w:sz="8" w:color="7F7F7F"/>
            </w:tcBorders>
            <w:shd w:val="clear" w:color="auto" w:fill="F2F2F2"/>
          </w:tcPr>
          <w:p>
            <w:pPr>
              <w:spacing w:after="0"/>
              <w:rPr>
                <w:sz w:val="4"/>
                <w:szCs w:val="4"/>
                <w:color w:val="auto"/>
              </w:rPr>
            </w:pPr>
          </w:p>
        </w:tc>
        <w:tc>
          <w:tcPr>
            <w:tcW w:w="1520" w:type="dxa"/>
            <w:vAlign w:val="bottom"/>
            <w:tcBorders>
              <w:bottom w:val="single" w:sz="8" w:color="7F7F7F"/>
              <w:right w:val="single" w:sz="8" w:color="7F7F7F"/>
            </w:tcBorders>
          </w:tcPr>
          <w:p>
            <w:pPr>
              <w:spacing w:after="0"/>
              <w:rPr>
                <w:sz w:val="4"/>
                <w:szCs w:val="4"/>
                <w:color w:val="auto"/>
              </w:rPr>
            </w:pPr>
          </w:p>
        </w:tc>
        <w:tc>
          <w:tcPr>
            <w:tcW w:w="79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1440" w:type="dxa"/>
            <w:vAlign w:val="bottom"/>
            <w:tcBorders>
              <w:right w:val="single" w:sz="8" w:color="7F7F7F"/>
            </w:tcBorders>
            <w:shd w:val="clear" w:color="auto" w:fill="F2F2F2"/>
          </w:tcPr>
          <w:p>
            <w:pPr>
              <w:spacing w:after="0"/>
              <w:rPr>
                <w:sz w:val="12"/>
                <w:szCs w:val="12"/>
                <w:color w:val="auto"/>
              </w:rPr>
            </w:pPr>
          </w:p>
        </w:tc>
        <w:tc>
          <w:tcPr>
            <w:tcW w:w="1520" w:type="dxa"/>
            <w:vAlign w:val="bottom"/>
            <w:tcBorders>
              <w:right w:val="single" w:sz="8" w:color="7F7F7F"/>
            </w:tcBorders>
          </w:tcPr>
          <w:p>
            <w:pPr>
              <w:spacing w:after="0"/>
              <w:rPr>
                <w:sz w:val="12"/>
                <w:szCs w:val="12"/>
                <w:color w:val="auto"/>
              </w:rPr>
            </w:pPr>
          </w:p>
        </w:tc>
        <w:tc>
          <w:tcPr>
            <w:tcW w:w="7960" w:type="dxa"/>
            <w:vAlign w:val="bottom"/>
          </w:tcPr>
          <w:p>
            <w:pPr>
              <w:ind w:left="120"/>
              <w:spacing w:after="0" w:line="145" w:lineRule="exact"/>
              <w:rPr>
                <w:sz w:val="20"/>
                <w:szCs w:val="20"/>
                <w:color w:val="auto"/>
              </w:rPr>
            </w:pPr>
            <w:r>
              <w:rPr>
                <w:rFonts w:ascii="Arial" w:cs="Arial" w:eastAsia="Arial" w:hAnsi="Arial"/>
                <w:sz w:val="14"/>
                <w:szCs w:val="14"/>
                <w:color w:val="auto"/>
              </w:rPr>
              <w:t>In addition to the basic group health and welfare plans, Mr. Martin participates in a life insurance plan providing additional life</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Health &amp;</w:t>
            </w: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insurance death benefits (target death benefit is two times base salary and bonus while he is employed and 1.5 times base</w:t>
            </w:r>
          </w:p>
        </w:tc>
        <w:tc>
          <w:tcPr>
            <w:tcW w:w="0" w:type="dxa"/>
            <w:vAlign w:val="bottom"/>
          </w:tcPr>
          <w:p>
            <w:pPr>
              <w:spacing w:after="0"/>
              <w:rPr>
                <w:sz w:val="1"/>
                <w:szCs w:val="1"/>
                <w:color w:val="auto"/>
              </w:rPr>
            </w:pPr>
          </w:p>
        </w:tc>
      </w:tr>
      <w:tr>
        <w:trPr>
          <w:trHeight w:val="80"/>
        </w:trPr>
        <w:tc>
          <w:tcPr>
            <w:tcW w:w="1440" w:type="dxa"/>
            <w:vAlign w:val="bottom"/>
            <w:tcBorders>
              <w:right w:val="single" w:sz="8" w:color="7F7F7F"/>
            </w:tcBorders>
            <w:vMerge w:val="continue"/>
            <w:shd w:val="clear" w:color="auto" w:fill="F2F2F2"/>
          </w:tcPr>
          <w:p>
            <w:pPr>
              <w:spacing w:after="0"/>
              <w:rPr>
                <w:sz w:val="6"/>
                <w:szCs w:val="6"/>
                <w:color w:val="auto"/>
              </w:rPr>
            </w:pPr>
          </w:p>
        </w:tc>
        <w:tc>
          <w:tcPr>
            <w:tcW w:w="1520" w:type="dxa"/>
            <w:vAlign w:val="bottom"/>
            <w:tcBorders>
              <w:right w:val="single" w:sz="8" w:color="7F7F7F"/>
            </w:tcBorders>
          </w:tcPr>
          <w:p>
            <w:pPr>
              <w:spacing w:after="0"/>
              <w:rPr>
                <w:sz w:val="6"/>
                <w:szCs w:val="6"/>
                <w:color w:val="auto"/>
              </w:rPr>
            </w:pPr>
          </w:p>
        </w:tc>
        <w:tc>
          <w:tcPr>
            <w:tcW w:w="7960" w:type="dxa"/>
            <w:vAlign w:val="bottom"/>
            <w:vMerge w:val="restart"/>
          </w:tcPr>
          <w:p>
            <w:pPr>
              <w:ind w:left="120"/>
              <w:spacing w:after="0"/>
              <w:rPr>
                <w:sz w:val="20"/>
                <w:szCs w:val="20"/>
                <w:color w:val="auto"/>
              </w:rPr>
            </w:pPr>
            <w:r>
              <w:rPr>
                <w:rFonts w:ascii="Arial" w:cs="Arial" w:eastAsia="Arial" w:hAnsi="Arial"/>
                <w:sz w:val="14"/>
                <w:szCs w:val="14"/>
                <w:color w:val="auto"/>
              </w:rPr>
              <w:t>salary and bonus following his retirement). The company funds the post-retirement benefit in the year following a qualified</w:t>
            </w:r>
          </w:p>
        </w:tc>
        <w:tc>
          <w:tcPr>
            <w:tcW w:w="0" w:type="dxa"/>
            <w:vAlign w:val="bottom"/>
          </w:tcPr>
          <w:p>
            <w:pPr>
              <w:spacing w:after="0"/>
              <w:rPr>
                <w:sz w:val="1"/>
                <w:szCs w:val="1"/>
                <w:color w:val="auto"/>
              </w:rPr>
            </w:pPr>
          </w:p>
        </w:tc>
      </w:tr>
      <w:tr>
        <w:trPr>
          <w:trHeight w:val="80"/>
        </w:trPr>
        <w:tc>
          <w:tcPr>
            <w:tcW w:w="1440" w:type="dxa"/>
            <w:vAlign w:val="bottom"/>
            <w:tcBorders>
              <w:right w:val="single" w:sz="8" w:color="7F7F7F"/>
            </w:tcBorders>
            <w:vMerge w:val="restart"/>
            <w:shd w:val="clear" w:color="auto" w:fill="F2F2F2"/>
          </w:tcPr>
          <w:p>
            <w:pPr>
              <w:ind w:left="80"/>
              <w:spacing w:after="0"/>
              <w:rPr>
                <w:sz w:val="20"/>
                <w:szCs w:val="20"/>
                <w:color w:val="auto"/>
              </w:rPr>
            </w:pPr>
            <w:r>
              <w:rPr>
                <w:rFonts w:ascii="Arial" w:cs="Arial" w:eastAsia="Arial" w:hAnsi="Arial"/>
                <w:sz w:val="14"/>
                <w:szCs w:val="14"/>
                <w:b w:val="1"/>
                <w:bCs w:val="1"/>
                <w:color w:val="auto"/>
              </w:rPr>
              <w:t>Welfare</w:t>
            </w:r>
          </w:p>
        </w:tc>
        <w:tc>
          <w:tcPr>
            <w:tcW w:w="1520" w:type="dxa"/>
            <w:vAlign w:val="bottom"/>
            <w:tcBorders>
              <w:right w:val="single" w:sz="8" w:color="7F7F7F"/>
            </w:tcBorders>
          </w:tcPr>
          <w:p>
            <w:pPr>
              <w:spacing w:after="0"/>
              <w:rPr>
                <w:sz w:val="6"/>
                <w:szCs w:val="6"/>
                <w:color w:val="auto"/>
              </w:rPr>
            </w:pPr>
          </w:p>
        </w:tc>
        <w:tc>
          <w:tcPr>
            <w:tcW w:w="7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440" w:type="dxa"/>
            <w:vAlign w:val="bottom"/>
            <w:tcBorders>
              <w:right w:val="single" w:sz="8" w:color="7F7F7F"/>
            </w:tcBorders>
            <w:vMerge w:val="continue"/>
            <w:shd w:val="clear" w:color="auto" w:fill="F2F2F2"/>
          </w:tcPr>
          <w:p>
            <w:pPr>
              <w:spacing w:after="0"/>
              <w:rPr>
                <w:sz w:val="9"/>
                <w:szCs w:val="9"/>
                <w:color w:val="auto"/>
              </w:rPr>
            </w:pPr>
          </w:p>
        </w:tc>
        <w:tc>
          <w:tcPr>
            <w:tcW w:w="1520" w:type="dxa"/>
            <w:vAlign w:val="bottom"/>
            <w:tcBorders>
              <w:right w:val="single" w:sz="8" w:color="7F7F7F"/>
            </w:tcBorders>
            <w:vMerge w:val="restart"/>
          </w:tcPr>
          <w:p>
            <w:pPr>
              <w:ind w:left="100"/>
              <w:spacing w:after="0"/>
              <w:rPr>
                <w:sz w:val="20"/>
                <w:szCs w:val="20"/>
                <w:color w:val="auto"/>
              </w:rPr>
            </w:pPr>
            <w:r>
              <w:rPr>
                <w:rFonts w:ascii="Arial" w:cs="Arial" w:eastAsia="Arial" w:hAnsi="Arial"/>
                <w:sz w:val="14"/>
                <w:szCs w:val="14"/>
                <w:b w:val="1"/>
                <w:bCs w:val="1"/>
                <w:color w:val="auto"/>
              </w:rPr>
              <w:t>Other Health &amp;</w:t>
            </w:r>
          </w:p>
        </w:tc>
        <w:tc>
          <w:tcPr>
            <w:tcW w:w="7960" w:type="dxa"/>
            <w:vAlign w:val="bottom"/>
            <w:vMerge w:val="restart"/>
          </w:tcPr>
          <w:p>
            <w:pPr>
              <w:ind w:left="120"/>
              <w:spacing w:after="0"/>
              <w:rPr>
                <w:sz w:val="20"/>
                <w:szCs w:val="20"/>
                <w:color w:val="auto"/>
              </w:rPr>
            </w:pPr>
            <w:r>
              <w:rPr>
                <w:rFonts w:ascii="Arial" w:cs="Arial" w:eastAsia="Arial" w:hAnsi="Arial"/>
                <w:sz w:val="14"/>
                <w:szCs w:val="14"/>
                <w:color w:val="auto"/>
              </w:rPr>
              <w:t>retirement under the plan (retirement at age 62 or older with five or more years of service). This plan was closed to new</w:t>
            </w:r>
          </w:p>
        </w:tc>
        <w:tc>
          <w:tcPr>
            <w:tcW w:w="0" w:type="dxa"/>
            <w:vAlign w:val="bottom"/>
          </w:tcPr>
          <w:p>
            <w:pPr>
              <w:spacing w:after="0"/>
              <w:rPr>
                <w:sz w:val="1"/>
                <w:szCs w:val="1"/>
                <w:color w:val="auto"/>
              </w:rPr>
            </w:pPr>
          </w:p>
        </w:tc>
      </w:tr>
      <w:tr>
        <w:trPr>
          <w:trHeight w:val="68"/>
        </w:trPr>
        <w:tc>
          <w:tcPr>
            <w:tcW w:w="1440" w:type="dxa"/>
            <w:vAlign w:val="bottom"/>
            <w:tcBorders>
              <w:right w:val="single" w:sz="8" w:color="7F7F7F"/>
            </w:tcBorders>
            <w:shd w:val="clear" w:color="auto" w:fill="F2F2F2"/>
          </w:tcPr>
          <w:p>
            <w:pPr>
              <w:spacing w:after="0"/>
              <w:rPr>
                <w:sz w:val="5"/>
                <w:szCs w:val="5"/>
                <w:color w:val="auto"/>
              </w:rPr>
            </w:pPr>
          </w:p>
        </w:tc>
        <w:tc>
          <w:tcPr>
            <w:tcW w:w="1520" w:type="dxa"/>
            <w:vAlign w:val="bottom"/>
            <w:tcBorders>
              <w:right w:val="single" w:sz="8" w:color="7F7F7F"/>
            </w:tcBorders>
            <w:vMerge w:val="continue"/>
          </w:tcPr>
          <w:p>
            <w:pPr>
              <w:spacing w:after="0"/>
              <w:rPr>
                <w:sz w:val="5"/>
                <w:szCs w:val="5"/>
                <w:color w:val="auto"/>
              </w:rPr>
            </w:pPr>
          </w:p>
        </w:tc>
        <w:tc>
          <w:tcPr>
            <w:tcW w:w="7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7F7F7F"/>
            </w:tcBorders>
            <w:shd w:val="clear" w:color="auto" w:fill="F2F2F2"/>
          </w:tcPr>
          <w:p>
            <w:pPr>
              <w:spacing w:after="0"/>
              <w:rPr>
                <w:sz w:val="18"/>
                <w:szCs w:val="18"/>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Welfare Benefits</w:t>
            </w:r>
          </w:p>
        </w:tc>
        <w:tc>
          <w:tcPr>
            <w:tcW w:w="7960" w:type="dxa"/>
            <w:vAlign w:val="bottom"/>
          </w:tcPr>
          <w:p>
            <w:pPr>
              <w:ind w:left="120"/>
              <w:spacing w:after="0"/>
              <w:rPr>
                <w:sz w:val="20"/>
                <w:szCs w:val="20"/>
                <w:color w:val="auto"/>
              </w:rPr>
            </w:pPr>
            <w:r>
              <w:rPr>
                <w:rFonts w:ascii="Arial" w:cs="Arial" w:eastAsia="Arial" w:hAnsi="Arial"/>
                <w:sz w:val="14"/>
                <w:szCs w:val="14"/>
                <w:color w:val="auto"/>
              </w:rPr>
              <w:t>participants in 2012.</w:t>
            </w:r>
          </w:p>
        </w:tc>
        <w:tc>
          <w:tcPr>
            <w:tcW w:w="0" w:type="dxa"/>
            <w:vAlign w:val="bottom"/>
          </w:tcPr>
          <w:p>
            <w:pPr>
              <w:spacing w:after="0"/>
              <w:rPr>
                <w:sz w:val="1"/>
                <w:szCs w:val="1"/>
                <w:color w:val="auto"/>
              </w:rPr>
            </w:pPr>
          </w:p>
        </w:tc>
      </w:tr>
      <w:tr>
        <w:trPr>
          <w:trHeight w:val="166"/>
        </w:trPr>
        <w:tc>
          <w:tcPr>
            <w:tcW w:w="1440" w:type="dxa"/>
            <w:vAlign w:val="bottom"/>
            <w:tcBorders>
              <w:right w:val="single" w:sz="8" w:color="7F7F7F"/>
            </w:tcBorders>
            <w:shd w:val="clear" w:color="auto" w:fill="F2F2F2"/>
          </w:tcPr>
          <w:p>
            <w:pPr>
              <w:spacing w:after="0"/>
              <w:rPr>
                <w:sz w:val="14"/>
                <w:szCs w:val="14"/>
                <w:color w:val="auto"/>
              </w:rPr>
            </w:pPr>
          </w:p>
        </w:tc>
        <w:tc>
          <w:tcPr>
            <w:tcW w:w="1520" w:type="dxa"/>
            <w:vAlign w:val="bottom"/>
            <w:tcBorders>
              <w:right w:val="single" w:sz="8" w:color="7F7F7F"/>
            </w:tcBorders>
          </w:tcPr>
          <w:p>
            <w:pPr>
              <w:spacing w:after="0"/>
              <w:rPr>
                <w:sz w:val="14"/>
                <w:szCs w:val="14"/>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Messrs. Martin and Bird and Mss. Sedgwick and Winn participate in a long-term disability plan providing additional protection</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upon disability (60% of base salary and average bonus) and restoring benefits otherwise capped under the company’s basic</w:t>
            </w:r>
          </w:p>
        </w:tc>
        <w:tc>
          <w:tcPr>
            <w:tcW w:w="0" w:type="dxa"/>
            <w:vAlign w:val="bottom"/>
          </w:tcPr>
          <w:p>
            <w:pPr>
              <w:spacing w:after="0"/>
              <w:rPr>
                <w:sz w:val="1"/>
                <w:szCs w:val="1"/>
                <w:color w:val="auto"/>
              </w:rPr>
            </w:pPr>
          </w:p>
        </w:tc>
      </w:tr>
      <w:tr>
        <w:trPr>
          <w:trHeight w:val="189"/>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long-term disability plan.</w:t>
            </w:r>
          </w:p>
        </w:tc>
        <w:tc>
          <w:tcPr>
            <w:tcW w:w="0" w:type="dxa"/>
            <w:vAlign w:val="bottom"/>
          </w:tcPr>
          <w:p>
            <w:pPr>
              <w:spacing w:after="0"/>
              <w:rPr>
                <w:sz w:val="1"/>
                <w:szCs w:val="1"/>
                <w:color w:val="auto"/>
              </w:rPr>
            </w:pPr>
          </w:p>
        </w:tc>
      </w:tr>
      <w:tr>
        <w:trPr>
          <w:trHeight w:val="61"/>
        </w:trPr>
        <w:tc>
          <w:tcPr>
            <w:tcW w:w="1440" w:type="dxa"/>
            <w:vAlign w:val="bottom"/>
            <w:tcBorders>
              <w:bottom w:val="single" w:sz="8" w:color="7F7F7F"/>
              <w:right w:val="single" w:sz="8" w:color="7F7F7F"/>
            </w:tcBorders>
            <w:shd w:val="clear" w:color="auto" w:fill="F2F2F2"/>
          </w:tcPr>
          <w:p>
            <w:pPr>
              <w:spacing w:after="0"/>
              <w:rPr>
                <w:sz w:val="5"/>
                <w:szCs w:val="5"/>
                <w:color w:val="auto"/>
              </w:rPr>
            </w:pPr>
          </w:p>
        </w:tc>
        <w:tc>
          <w:tcPr>
            <w:tcW w:w="1520" w:type="dxa"/>
            <w:vAlign w:val="bottom"/>
            <w:tcBorders>
              <w:bottom w:val="single" w:sz="8" w:color="7F7F7F"/>
              <w:right w:val="single" w:sz="8" w:color="7F7F7F"/>
            </w:tcBorders>
          </w:tcPr>
          <w:p>
            <w:pPr>
              <w:spacing w:after="0"/>
              <w:rPr>
                <w:sz w:val="5"/>
                <w:szCs w:val="5"/>
                <w:color w:val="auto"/>
              </w:rPr>
            </w:pPr>
          </w:p>
        </w:tc>
        <w:tc>
          <w:tcPr>
            <w:tcW w:w="79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440" w:type="dxa"/>
            <w:vAlign w:val="bottom"/>
            <w:tcBorders>
              <w:right w:val="single" w:sz="8" w:color="F2F2F2"/>
            </w:tcBorders>
            <w:shd w:val="clear" w:color="auto" w:fill="F2F2F2"/>
          </w:tcPr>
          <w:p>
            <w:pPr>
              <w:spacing w:after="0"/>
              <w:rPr>
                <w:sz w:val="17"/>
                <w:szCs w:val="17"/>
                <w:color w:val="auto"/>
              </w:rPr>
            </w:pPr>
          </w:p>
        </w:tc>
        <w:tc>
          <w:tcPr>
            <w:tcW w:w="1520" w:type="dxa"/>
            <w:vAlign w:val="bottom"/>
            <w:tcBorders>
              <w:right w:val="single" w:sz="8" w:color="7F7F7F"/>
            </w:tcBorders>
            <w:shd w:val="clear" w:color="auto" w:fill="F2F2F2"/>
          </w:tcPr>
          <w:p>
            <w:pPr>
              <w:spacing w:after="0"/>
              <w:rPr>
                <w:sz w:val="17"/>
                <w:szCs w:val="17"/>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We provide certain other benefits to our named executive officers. The Compensation and Talent Development Committee</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believes these benefits are important in attracting and retaining executive talent and reviews the level and types of these</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benefits each year. These benefits include financial and estate planning services, excess personal liability insurance,</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medical transport coverage and programs that match charitable contributions by each named executive officer, including</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contributions of up to $25,000 by each of Messrs. Martin and Bird and Ms. Sedgwick and Winn and up to $15,000 by</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Ms. Day, as well as certain additional programs in which all Sempra employees are eligible to participate, such as special</w:t>
            </w:r>
          </w:p>
        </w:tc>
        <w:tc>
          <w:tcPr>
            <w:tcW w:w="0" w:type="dxa"/>
            <w:vAlign w:val="bottom"/>
          </w:tcPr>
          <w:p>
            <w:pPr>
              <w:spacing w:after="0"/>
              <w:rPr>
                <w:sz w:val="1"/>
                <w:szCs w:val="1"/>
                <w:color w:val="auto"/>
              </w:rPr>
            </w:pPr>
          </w:p>
        </w:tc>
      </w:tr>
      <w:tr>
        <w:trPr>
          <w:trHeight w:val="189"/>
        </w:trPr>
        <w:tc>
          <w:tcPr>
            <w:tcW w:w="1440" w:type="dxa"/>
            <w:vAlign w:val="bottom"/>
            <w:tcBorders>
              <w:right w:val="single" w:sz="8" w:color="F2F2F2"/>
            </w:tcBorders>
            <w:shd w:val="clear" w:color="auto" w:fill="F2F2F2"/>
          </w:tcPr>
          <w:p>
            <w:pPr>
              <w:spacing w:after="0"/>
              <w:rPr>
                <w:sz w:val="16"/>
                <w:szCs w:val="16"/>
                <w:color w:val="auto"/>
              </w:rPr>
            </w:pPr>
          </w:p>
        </w:tc>
        <w:tc>
          <w:tcPr>
            <w:tcW w:w="1520" w:type="dxa"/>
            <w:vAlign w:val="bottom"/>
            <w:tcBorders>
              <w:right w:val="single" w:sz="8" w:color="7F7F7F"/>
            </w:tcBorders>
            <w:shd w:val="clear" w:color="auto" w:fill="F2F2F2"/>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charitable giving campaigns that provide additional charitable matching contributions not subject to the limits set forth above.</w:t>
            </w:r>
          </w:p>
        </w:tc>
        <w:tc>
          <w:tcPr>
            <w:tcW w:w="0" w:type="dxa"/>
            <w:vAlign w:val="bottom"/>
          </w:tcPr>
          <w:p>
            <w:pPr>
              <w:spacing w:after="0"/>
              <w:rPr>
                <w:sz w:val="1"/>
                <w:szCs w:val="1"/>
                <w:color w:val="auto"/>
              </w:rPr>
            </w:pPr>
          </w:p>
        </w:tc>
      </w:tr>
      <w:tr>
        <w:trPr>
          <w:trHeight w:val="212"/>
        </w:trPr>
        <w:tc>
          <w:tcPr>
            <w:tcW w:w="2960" w:type="dxa"/>
            <w:vAlign w:val="bottom"/>
            <w:tcBorders>
              <w:right w:val="single" w:sz="8" w:color="7F7F7F"/>
            </w:tcBorders>
            <w:gridSpan w:val="2"/>
            <w:shd w:val="clear" w:color="auto" w:fill="F2F2F2"/>
          </w:tcPr>
          <w:p>
            <w:pPr>
              <w:ind w:left="80"/>
              <w:spacing w:after="0"/>
              <w:rPr>
                <w:sz w:val="20"/>
                <w:szCs w:val="20"/>
                <w:color w:val="auto"/>
              </w:rPr>
            </w:pPr>
            <w:r>
              <w:rPr>
                <w:rFonts w:ascii="Arial" w:cs="Arial" w:eastAsia="Arial" w:hAnsi="Arial"/>
                <w:sz w:val="14"/>
                <w:szCs w:val="14"/>
                <w:b w:val="1"/>
                <w:bCs w:val="1"/>
                <w:color w:val="auto"/>
              </w:rPr>
              <w:t>Other Executive Benefits</w:t>
            </w:r>
          </w:p>
        </w:tc>
        <w:tc>
          <w:tcPr>
            <w:tcW w:w="7960" w:type="dxa"/>
            <w:vAlign w:val="bottom"/>
          </w:tcPr>
          <w:p>
            <w:pPr>
              <w:ind w:left="120"/>
              <w:spacing w:after="0"/>
              <w:rPr>
                <w:sz w:val="20"/>
                <w:szCs w:val="20"/>
                <w:color w:val="auto"/>
              </w:rPr>
            </w:pPr>
            <w:r>
              <w:rPr>
                <w:rFonts w:ascii="Arial" w:cs="Arial" w:eastAsia="Arial" w:hAnsi="Arial"/>
                <w:sz w:val="14"/>
                <w:szCs w:val="14"/>
                <w:color w:val="auto"/>
              </w:rPr>
              <w:t>An annual executive benefit program allowance of $40,000 for Mr. Martin and $30,000 for Mr. Bird and Mss. Sedgwick and</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Winn may be used to cover out-of-pocket costs for health and welfare benefits as well as the cost of the financial and estate</w:t>
            </w:r>
          </w:p>
        </w:tc>
        <w:tc>
          <w:tcPr>
            <w:tcW w:w="0" w:type="dxa"/>
            <w:vAlign w:val="bottom"/>
          </w:tcPr>
          <w:p>
            <w:pPr>
              <w:spacing w:after="0"/>
              <w:rPr>
                <w:sz w:val="1"/>
                <w:szCs w:val="1"/>
                <w:color w:val="auto"/>
              </w:rPr>
            </w:pPr>
          </w:p>
        </w:tc>
      </w:tr>
      <w:tr>
        <w:trPr>
          <w:trHeight w:val="189"/>
        </w:trPr>
        <w:tc>
          <w:tcPr>
            <w:tcW w:w="1440" w:type="dxa"/>
            <w:vAlign w:val="bottom"/>
            <w:tcBorders>
              <w:right w:val="single" w:sz="8" w:color="F2F2F2"/>
            </w:tcBorders>
            <w:shd w:val="clear" w:color="auto" w:fill="F2F2F2"/>
          </w:tcPr>
          <w:p>
            <w:pPr>
              <w:spacing w:after="0"/>
              <w:rPr>
                <w:sz w:val="16"/>
                <w:szCs w:val="16"/>
                <w:color w:val="auto"/>
              </w:rPr>
            </w:pPr>
          </w:p>
        </w:tc>
        <w:tc>
          <w:tcPr>
            <w:tcW w:w="1520" w:type="dxa"/>
            <w:vAlign w:val="bottom"/>
            <w:tcBorders>
              <w:right w:val="single" w:sz="8" w:color="7F7F7F"/>
            </w:tcBorders>
            <w:shd w:val="clear" w:color="auto" w:fill="F2F2F2"/>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planning services and excess personal liability insurance discussed above. Any unused allowance is paid out at year-end.</w:t>
            </w:r>
          </w:p>
        </w:tc>
        <w:tc>
          <w:tcPr>
            <w:tcW w:w="0" w:type="dxa"/>
            <w:vAlign w:val="bottom"/>
          </w:tcPr>
          <w:p>
            <w:pPr>
              <w:spacing w:after="0"/>
              <w:rPr>
                <w:sz w:val="1"/>
                <w:szCs w:val="1"/>
                <w:color w:val="auto"/>
              </w:rPr>
            </w:pPr>
          </w:p>
        </w:tc>
      </w:tr>
      <w:tr>
        <w:trPr>
          <w:trHeight w:val="212"/>
        </w:trPr>
        <w:tc>
          <w:tcPr>
            <w:tcW w:w="1440" w:type="dxa"/>
            <w:vAlign w:val="bottom"/>
            <w:tcBorders>
              <w:right w:val="single" w:sz="8" w:color="F2F2F2"/>
            </w:tcBorders>
            <w:shd w:val="clear" w:color="auto" w:fill="F2F2F2"/>
          </w:tcPr>
          <w:p>
            <w:pPr>
              <w:spacing w:after="0"/>
              <w:rPr>
                <w:sz w:val="18"/>
                <w:szCs w:val="18"/>
                <w:color w:val="auto"/>
              </w:rPr>
            </w:pPr>
          </w:p>
        </w:tc>
        <w:tc>
          <w:tcPr>
            <w:tcW w:w="1520" w:type="dxa"/>
            <w:vAlign w:val="bottom"/>
            <w:tcBorders>
              <w:right w:val="single" w:sz="8" w:color="7F7F7F"/>
            </w:tcBorders>
            <w:shd w:val="clear" w:color="auto" w:fill="F2F2F2"/>
          </w:tcPr>
          <w:p>
            <w:pPr>
              <w:spacing w:after="0"/>
              <w:rPr>
                <w:sz w:val="18"/>
                <w:szCs w:val="18"/>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On rare occasions, our named executive officers may receive special cash awards to reward extraordinary performance or</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promote retention. None of our named executive officers was granted any such award in 2025, although one of our named</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executive officers received a cash payment in 2025 in connection with such an award that was granted before 2025, before</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he became a Sempra officer, and that has a multi-year vesting schedule. See “Compensation Tables—Summary</w:t>
            </w:r>
          </w:p>
        </w:tc>
        <w:tc>
          <w:tcPr>
            <w:tcW w:w="0" w:type="dxa"/>
            <w:vAlign w:val="bottom"/>
          </w:tcPr>
          <w:p>
            <w:pPr>
              <w:spacing w:after="0"/>
              <w:rPr>
                <w:sz w:val="1"/>
                <w:szCs w:val="1"/>
                <w:color w:val="auto"/>
              </w:rPr>
            </w:pPr>
          </w:p>
        </w:tc>
      </w:tr>
      <w:tr>
        <w:trPr>
          <w:trHeight w:val="189"/>
        </w:trPr>
        <w:tc>
          <w:tcPr>
            <w:tcW w:w="1440" w:type="dxa"/>
            <w:vAlign w:val="bottom"/>
            <w:tcBorders>
              <w:right w:val="single" w:sz="8" w:color="F2F2F2"/>
            </w:tcBorders>
            <w:shd w:val="clear" w:color="auto" w:fill="F2F2F2"/>
          </w:tcPr>
          <w:p>
            <w:pPr>
              <w:spacing w:after="0"/>
              <w:rPr>
                <w:sz w:val="16"/>
                <w:szCs w:val="16"/>
                <w:color w:val="auto"/>
              </w:rPr>
            </w:pPr>
          </w:p>
        </w:tc>
        <w:tc>
          <w:tcPr>
            <w:tcW w:w="1520" w:type="dxa"/>
            <w:vAlign w:val="bottom"/>
            <w:tcBorders>
              <w:right w:val="single" w:sz="8" w:color="7F7F7F"/>
            </w:tcBorders>
            <w:shd w:val="clear" w:color="auto" w:fill="F2F2F2"/>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Compensation Table” for more information. None of the benefits described above includes a tax gross-up provision.</w:t>
            </w:r>
          </w:p>
        </w:tc>
        <w:tc>
          <w:tcPr>
            <w:tcW w:w="0" w:type="dxa"/>
            <w:vAlign w:val="bottom"/>
          </w:tcPr>
          <w:p>
            <w:pPr>
              <w:spacing w:after="0"/>
              <w:rPr>
                <w:sz w:val="1"/>
                <w:szCs w:val="1"/>
                <w:color w:val="auto"/>
              </w:rPr>
            </w:pPr>
          </w:p>
        </w:tc>
      </w:tr>
      <w:tr>
        <w:trPr>
          <w:trHeight w:val="61"/>
        </w:trPr>
        <w:tc>
          <w:tcPr>
            <w:tcW w:w="1440" w:type="dxa"/>
            <w:vAlign w:val="bottom"/>
            <w:tcBorders>
              <w:bottom w:val="single" w:sz="8" w:color="7F7F7F"/>
              <w:right w:val="single" w:sz="8" w:color="F2F2F2"/>
            </w:tcBorders>
            <w:shd w:val="clear" w:color="auto" w:fill="F2F2F2"/>
          </w:tcPr>
          <w:p>
            <w:pPr>
              <w:spacing w:after="0"/>
              <w:rPr>
                <w:sz w:val="5"/>
                <w:szCs w:val="5"/>
                <w:color w:val="auto"/>
              </w:rPr>
            </w:pPr>
          </w:p>
        </w:tc>
        <w:tc>
          <w:tcPr>
            <w:tcW w:w="1520" w:type="dxa"/>
            <w:vAlign w:val="bottom"/>
            <w:tcBorders>
              <w:bottom w:val="single" w:sz="8" w:color="7F7F7F"/>
              <w:right w:val="single" w:sz="8" w:color="7F7F7F"/>
            </w:tcBorders>
            <w:shd w:val="clear" w:color="auto" w:fill="F2F2F2"/>
          </w:tcPr>
          <w:p>
            <w:pPr>
              <w:spacing w:after="0"/>
              <w:rPr>
                <w:sz w:val="5"/>
                <w:szCs w:val="5"/>
                <w:color w:val="auto"/>
              </w:rPr>
            </w:pPr>
          </w:p>
        </w:tc>
        <w:tc>
          <w:tcPr>
            <w:tcW w:w="79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440" w:type="dxa"/>
            <w:vAlign w:val="bottom"/>
            <w:tcBorders>
              <w:right w:val="single" w:sz="8" w:color="F2F2F2"/>
            </w:tcBorders>
            <w:shd w:val="clear" w:color="auto" w:fill="F2F2F2"/>
          </w:tcPr>
          <w:p>
            <w:pPr>
              <w:spacing w:after="0"/>
              <w:rPr>
                <w:sz w:val="17"/>
                <w:szCs w:val="17"/>
                <w:color w:val="auto"/>
              </w:rPr>
            </w:pPr>
          </w:p>
        </w:tc>
        <w:tc>
          <w:tcPr>
            <w:tcW w:w="1520" w:type="dxa"/>
            <w:vAlign w:val="bottom"/>
            <w:tcBorders>
              <w:right w:val="single" w:sz="8" w:color="7F7F7F"/>
            </w:tcBorders>
            <w:shd w:val="clear" w:color="auto" w:fill="F2F2F2"/>
          </w:tcPr>
          <w:p>
            <w:pPr>
              <w:spacing w:after="0"/>
              <w:rPr>
                <w:sz w:val="17"/>
                <w:szCs w:val="17"/>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We provide security-related services to help ensure the security, safety and health of our executives. The board believes</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protecting the safety and health of our executives is of critical importance to the company and supports these security-</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related services as a crucial component of our overall security program. In 2025, we obtained physical and online security</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assessments conducted by an independent security consultant for Messrs. Martin and Bird and Mss. Sedgwick and Winn.</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These assessments, which we periodically commission to support the company’s executive security programs, were more</w:t>
            </w:r>
          </w:p>
        </w:tc>
        <w:tc>
          <w:tcPr>
            <w:tcW w:w="0" w:type="dxa"/>
            <w:vAlign w:val="bottom"/>
          </w:tcPr>
          <w:p>
            <w:pPr>
              <w:spacing w:after="0"/>
              <w:rPr>
                <w:sz w:val="1"/>
                <w:szCs w:val="1"/>
                <w:color w:val="auto"/>
              </w:rPr>
            </w:pPr>
          </w:p>
        </w:tc>
      </w:tr>
      <w:tr>
        <w:trPr>
          <w:trHeight w:val="160"/>
        </w:trPr>
        <w:tc>
          <w:tcPr>
            <w:tcW w:w="2960" w:type="dxa"/>
            <w:vAlign w:val="bottom"/>
            <w:tcBorders>
              <w:right w:val="single" w:sz="8" w:color="7F7F7F"/>
            </w:tcBorders>
            <w:gridSpan w:val="2"/>
            <w:shd w:val="clear" w:color="auto" w:fill="F2F2F2"/>
          </w:tcPr>
          <w:p>
            <w:pPr>
              <w:ind w:left="80"/>
              <w:spacing w:after="0"/>
              <w:rPr>
                <w:sz w:val="20"/>
                <w:szCs w:val="20"/>
                <w:color w:val="auto"/>
              </w:rPr>
            </w:pPr>
            <w:r>
              <w:rPr>
                <w:rFonts w:ascii="Arial" w:cs="Arial" w:eastAsia="Arial" w:hAnsi="Arial"/>
                <w:sz w:val="14"/>
                <w:szCs w:val="14"/>
                <w:b w:val="1"/>
                <w:bCs w:val="1"/>
                <w:color w:val="auto"/>
              </w:rPr>
              <w:t>Other Reportable Items</w:t>
            </w:r>
          </w:p>
        </w:tc>
        <w:tc>
          <w:tcPr>
            <w:tcW w:w="7960" w:type="dxa"/>
            <w:vAlign w:val="bottom"/>
          </w:tcPr>
          <w:p>
            <w:pPr>
              <w:ind w:left="120"/>
              <w:spacing w:after="0"/>
              <w:rPr>
                <w:sz w:val="20"/>
                <w:szCs w:val="20"/>
                <w:color w:val="auto"/>
              </w:rPr>
            </w:pPr>
            <w:r>
              <w:rPr>
                <w:rFonts w:ascii="Arial" w:cs="Arial" w:eastAsia="Arial" w:hAnsi="Arial"/>
                <w:sz w:val="14"/>
                <w:szCs w:val="14"/>
                <w:color w:val="auto"/>
              </w:rPr>
              <w:t>robust in 2025 in light of the evolving security landscape for executives of large corporations. In line with these assessments,</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we provided enhanced residential security for Mr. Martin and Ms. Winn on a temporary basis in response to specific</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heightened security threats. Mr. Martin also has an executive security specialist for personal and business driving and Ms.</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Winn is provided with executive security support for business and some personal driving, each in the context of an overall</w:t>
            </w:r>
          </w:p>
        </w:tc>
        <w:tc>
          <w:tcPr>
            <w:tcW w:w="0" w:type="dxa"/>
            <w:vAlign w:val="bottom"/>
          </w:tcPr>
          <w:p>
            <w:pPr>
              <w:spacing w:after="0"/>
              <w:rPr>
                <w:sz w:val="1"/>
                <w:szCs w:val="1"/>
                <w:color w:val="auto"/>
              </w:rPr>
            </w:pPr>
          </w:p>
        </w:tc>
      </w:tr>
      <w:tr>
        <w:trPr>
          <w:trHeight w:val="160"/>
        </w:trPr>
        <w:tc>
          <w:tcPr>
            <w:tcW w:w="1440" w:type="dxa"/>
            <w:vAlign w:val="bottom"/>
            <w:tcBorders>
              <w:right w:val="single" w:sz="8" w:color="F2F2F2"/>
            </w:tcBorders>
            <w:shd w:val="clear" w:color="auto" w:fill="F2F2F2"/>
          </w:tcPr>
          <w:p>
            <w:pPr>
              <w:spacing w:after="0"/>
              <w:rPr>
                <w:sz w:val="13"/>
                <w:szCs w:val="13"/>
                <w:color w:val="auto"/>
              </w:rPr>
            </w:pPr>
          </w:p>
        </w:tc>
        <w:tc>
          <w:tcPr>
            <w:tcW w:w="1520" w:type="dxa"/>
            <w:vAlign w:val="bottom"/>
            <w:tcBorders>
              <w:right w:val="single" w:sz="8" w:color="7F7F7F"/>
            </w:tcBorders>
            <w:shd w:val="clear" w:color="auto" w:fill="F2F2F2"/>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security plan. Our board of directors also recommends Mr. Martin’s personal use of the company’s aircraft service for</w:t>
            </w:r>
          </w:p>
        </w:tc>
        <w:tc>
          <w:tcPr>
            <w:tcW w:w="0" w:type="dxa"/>
            <w:vAlign w:val="bottom"/>
          </w:tcPr>
          <w:p>
            <w:pPr>
              <w:spacing w:after="0"/>
              <w:rPr>
                <w:sz w:val="1"/>
                <w:szCs w:val="1"/>
                <w:color w:val="auto"/>
              </w:rPr>
            </w:pPr>
          </w:p>
        </w:tc>
      </w:tr>
      <w:tr>
        <w:trPr>
          <w:trHeight w:val="217"/>
        </w:trPr>
        <w:tc>
          <w:tcPr>
            <w:tcW w:w="1440" w:type="dxa"/>
            <w:vAlign w:val="bottom"/>
            <w:tcBorders>
              <w:bottom w:val="single" w:sz="8" w:color="F2F2F2"/>
              <w:right w:val="single" w:sz="8" w:color="F2F2F2"/>
            </w:tcBorders>
            <w:shd w:val="clear" w:color="auto" w:fill="F2F2F2"/>
          </w:tcPr>
          <w:p>
            <w:pPr>
              <w:spacing w:after="0"/>
              <w:rPr>
                <w:sz w:val="18"/>
                <w:szCs w:val="18"/>
                <w:color w:val="auto"/>
              </w:rPr>
            </w:pPr>
          </w:p>
        </w:tc>
        <w:tc>
          <w:tcPr>
            <w:tcW w:w="1520" w:type="dxa"/>
            <w:vAlign w:val="bottom"/>
            <w:tcBorders>
              <w:bottom w:val="single" w:sz="8" w:color="F2F2F2"/>
              <w:right w:val="single" w:sz="8" w:color="7F7F7F"/>
            </w:tcBorders>
            <w:shd w:val="clear" w:color="auto" w:fill="F2F2F2"/>
          </w:tcPr>
          <w:p>
            <w:pPr>
              <w:spacing w:after="0"/>
              <w:rPr>
                <w:sz w:val="18"/>
                <w:szCs w:val="18"/>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security, safety and health reasons.</w:t>
            </w:r>
          </w:p>
        </w:tc>
        <w:tc>
          <w:tcPr>
            <w:tcW w:w="0" w:type="dxa"/>
            <w:vAlign w:val="bottom"/>
          </w:tcPr>
          <w:p>
            <w:pPr>
              <w:spacing w:after="0"/>
              <w:rPr>
                <w:sz w:val="1"/>
                <w:szCs w:val="1"/>
                <w:color w:val="auto"/>
              </w:rPr>
            </w:pPr>
          </w:p>
        </w:tc>
      </w:tr>
      <w:tr>
        <w:trPr>
          <w:trHeight w:val="20"/>
        </w:trPr>
        <w:tc>
          <w:tcPr>
            <w:tcW w:w="1440" w:type="dxa"/>
            <w:vAlign w:val="bottom"/>
            <w:tcBorders>
              <w:right w:val="single" w:sz="8" w:color="7F7F7F"/>
            </w:tcBorders>
            <w:shd w:val="clear" w:color="auto" w:fill="7F7F7F"/>
          </w:tcPr>
          <w:p>
            <w:pPr>
              <w:spacing w:after="0" w:line="20" w:lineRule="exact"/>
              <w:rPr>
                <w:sz w:val="1"/>
                <w:szCs w:val="1"/>
                <w:color w:val="auto"/>
              </w:rPr>
            </w:pPr>
          </w:p>
        </w:tc>
        <w:tc>
          <w:tcPr>
            <w:tcW w:w="1520" w:type="dxa"/>
            <w:vAlign w:val="bottom"/>
            <w:tcBorders>
              <w:right w:val="single" w:sz="8" w:color="7F7F7F"/>
            </w:tcBorders>
            <w:shd w:val="clear" w:color="auto" w:fill="7F7F7F"/>
          </w:tcPr>
          <w:p>
            <w:pPr>
              <w:spacing w:after="0" w:line="20" w:lineRule="exact"/>
              <w:rPr>
                <w:sz w:val="1"/>
                <w:szCs w:val="1"/>
                <w:color w:val="auto"/>
              </w:rPr>
            </w:pPr>
          </w:p>
        </w:tc>
        <w:tc>
          <w:tcPr>
            <w:tcW w:w="796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238125</wp:posOffset>
            </wp:positionV>
            <wp:extent cx="739140" cy="153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77"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61</w:t>
      </w:r>
    </w:p>
    <w:p>
      <w:pPr>
        <w:sectPr>
          <w:pgSz w:w="11900" w:h="16838" w:orient="portrait"/>
          <w:cols w:equalWidth="0" w:num="1">
            <w:col w:w="11080"/>
          </w:cols>
          <w:pgMar w:left="320" w:top="478"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35" w:lineRule="exact"/>
        <w:rPr>
          <w:sz w:val="20"/>
          <w:szCs w:val="20"/>
          <w:color w:val="auto"/>
        </w:rPr>
      </w:pPr>
    </w:p>
    <w:p>
      <w:pPr>
        <w:ind w:left="160"/>
        <w:spacing w:after="0"/>
        <w:tabs>
          <w:tab w:leader="none" w:pos="520" w:val="left"/>
        </w:tabs>
        <w:rPr>
          <w:sz w:val="20"/>
          <w:szCs w:val="20"/>
          <w:color w:val="auto"/>
        </w:rPr>
      </w:pPr>
      <w:r>
        <w:rPr>
          <w:rFonts w:ascii="Arial" w:cs="Arial" w:eastAsia="Arial" w:hAnsi="Arial"/>
          <w:sz w:val="18"/>
          <w:szCs w:val="18"/>
          <w:b w:val="1"/>
          <w:bCs w:val="1"/>
          <w:color w:val="auto"/>
        </w:rPr>
        <w:t>2. </w:t>
      </w:r>
      <w:r>
        <w:rPr>
          <w:sz w:val="20"/>
          <w:szCs w:val="20"/>
          <w:color w:val="auto"/>
        </w:rPr>
        <w:tab/>
      </w:r>
      <w:r>
        <w:rPr>
          <w:rFonts w:ascii="Arial" w:cs="Arial" w:eastAsia="Arial" w:hAnsi="Arial"/>
          <w:sz w:val="17"/>
          <w:szCs w:val="17"/>
          <w:b w:val="1"/>
          <w:bCs w:val="1"/>
          <w:color w:val="auto"/>
        </w:rPr>
        <w:t>Savings and Retirement Plans</w:t>
      </w:r>
    </w:p>
    <w:p>
      <w:pPr>
        <w:spacing w:after="0" w:line="110" w:lineRule="exact"/>
        <w:rPr>
          <w:sz w:val="20"/>
          <w:szCs w:val="20"/>
          <w:color w:val="auto"/>
        </w:rPr>
      </w:pPr>
    </w:p>
    <w:p>
      <w:pPr>
        <w:ind w:left="160" w:right="420"/>
        <w:spacing w:after="0" w:line="281" w:lineRule="auto"/>
        <w:rPr>
          <w:sz w:val="20"/>
          <w:szCs w:val="20"/>
          <w:color w:val="auto"/>
        </w:rPr>
      </w:pPr>
      <w:r>
        <w:rPr>
          <w:rFonts w:ascii="Arial" w:cs="Arial" w:eastAsia="Arial" w:hAnsi="Arial"/>
          <w:sz w:val="14"/>
          <w:szCs w:val="14"/>
          <w:color w:val="auto"/>
        </w:rPr>
        <w:t>All of our named executive officers may elect to participate in our savings plans, consisting of a broad-based, tax-qualified 401(k) savings plan generally available to all employees and a deferred compensation plan available to officers and certain other key management employees.</w:t>
      </w:r>
    </w:p>
    <w:p>
      <w:pPr>
        <w:spacing w:after="0" w:line="51" w:lineRule="exact"/>
        <w:rPr>
          <w:sz w:val="20"/>
          <w:szCs w:val="20"/>
          <w:color w:val="auto"/>
        </w:rPr>
      </w:pPr>
    </w:p>
    <w:p>
      <w:pPr>
        <w:ind w:left="160" w:right="120"/>
        <w:spacing w:after="0" w:line="253" w:lineRule="auto"/>
        <w:rPr>
          <w:sz w:val="20"/>
          <w:szCs w:val="20"/>
          <w:color w:val="auto"/>
        </w:rPr>
      </w:pPr>
      <w:r>
        <w:rPr>
          <w:rFonts w:ascii="Arial" w:cs="Arial" w:eastAsia="Arial" w:hAnsi="Arial"/>
          <w:sz w:val="14"/>
          <w:szCs w:val="14"/>
          <w:color w:val="auto"/>
        </w:rPr>
        <w:t>Our named executive officers also participate in our pension plans, consisting of our Cash Balance Plan in which virtually all employees participate, a Supplemental Executive Retirement Plan in which Messrs. Martin and Bird and Mss. Sedgwick and Winn participate, and a Cash Balance Restoration Plan in which Ms. Day participates. Each of these plans use only base salary and performance-based annual bonuses in calculating benefits, and the value of long-term incentive plan awards and other equity awards is not included. These plans are further described in Tables 19 and 20 below.</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440" w:type="dxa"/>
            <w:vAlign w:val="bottom"/>
            <w:tcBorders>
              <w:right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Plan Type</w:t>
            </w:r>
          </w:p>
        </w:tc>
        <w:tc>
          <w:tcPr>
            <w:tcW w:w="1520" w:type="dxa"/>
            <w:vAlign w:val="bottom"/>
            <w:tcBorders>
              <w:right w:val="single" w:sz="8" w:color="005CB9"/>
            </w:tcBorders>
            <w:shd w:val="clear" w:color="auto" w:fill="005CB9"/>
          </w:tcPr>
          <w:p>
            <w:pPr>
              <w:ind w:left="660"/>
              <w:spacing w:after="0"/>
              <w:rPr>
                <w:sz w:val="20"/>
                <w:szCs w:val="20"/>
                <w:color w:val="auto"/>
              </w:rPr>
            </w:pPr>
            <w:r>
              <w:rPr>
                <w:rFonts w:ascii="Arial" w:cs="Arial" w:eastAsia="Arial" w:hAnsi="Arial"/>
                <w:sz w:val="14"/>
                <w:szCs w:val="14"/>
                <w:b w:val="1"/>
                <w:bCs w:val="1"/>
                <w:color w:val="FFFFFF"/>
              </w:rPr>
              <w:t>Plan</w:t>
            </w:r>
          </w:p>
        </w:tc>
        <w:tc>
          <w:tcPr>
            <w:tcW w:w="7960" w:type="dxa"/>
            <w:vAlign w:val="bottom"/>
            <w:shd w:val="clear" w:color="auto" w:fill="005CB9"/>
          </w:tcPr>
          <w:p>
            <w:pPr>
              <w:ind w:left="3640"/>
              <w:spacing w:after="0"/>
              <w:rPr>
                <w:sz w:val="20"/>
                <w:szCs w:val="20"/>
                <w:color w:val="auto"/>
              </w:rPr>
            </w:pPr>
            <w:r>
              <w:rPr>
                <w:rFonts w:ascii="Arial" w:cs="Arial" w:eastAsia="Arial" w:hAnsi="Arial"/>
                <w:sz w:val="14"/>
                <w:szCs w:val="14"/>
                <w:b w:val="1"/>
                <w:bCs w:val="1"/>
                <w:color w:val="FFFFFF"/>
              </w:rPr>
              <w:t>Description</w:t>
            </w:r>
          </w:p>
        </w:tc>
        <w:tc>
          <w:tcPr>
            <w:tcW w:w="0" w:type="dxa"/>
            <w:vAlign w:val="bottom"/>
          </w:tcPr>
          <w:p>
            <w:pPr>
              <w:spacing w:after="0"/>
              <w:rPr>
                <w:sz w:val="1"/>
                <w:szCs w:val="1"/>
                <w:color w:val="auto"/>
              </w:rPr>
            </w:pPr>
          </w:p>
        </w:tc>
      </w:tr>
      <w:tr>
        <w:trPr>
          <w:trHeight w:val="68"/>
        </w:trPr>
        <w:tc>
          <w:tcPr>
            <w:tcW w:w="1440" w:type="dxa"/>
            <w:vAlign w:val="bottom"/>
            <w:tcBorders>
              <w:right w:val="single" w:sz="8" w:color="005CB9"/>
            </w:tcBorders>
            <w:shd w:val="clear" w:color="auto" w:fill="005CB9"/>
          </w:tcPr>
          <w:p>
            <w:pPr>
              <w:spacing w:after="0"/>
              <w:rPr>
                <w:sz w:val="5"/>
                <w:szCs w:val="5"/>
                <w:color w:val="auto"/>
              </w:rPr>
            </w:pPr>
          </w:p>
        </w:tc>
        <w:tc>
          <w:tcPr>
            <w:tcW w:w="1520" w:type="dxa"/>
            <w:vAlign w:val="bottom"/>
            <w:tcBorders>
              <w:right w:val="single" w:sz="8" w:color="005CB9"/>
            </w:tcBorders>
            <w:shd w:val="clear" w:color="auto" w:fill="005CB9"/>
          </w:tcPr>
          <w:p>
            <w:pPr>
              <w:spacing w:after="0"/>
              <w:rPr>
                <w:sz w:val="5"/>
                <w:szCs w:val="5"/>
                <w:color w:val="auto"/>
              </w:rPr>
            </w:pPr>
          </w:p>
        </w:tc>
        <w:tc>
          <w:tcPr>
            <w:tcW w:w="7960" w:type="dxa"/>
            <w:vAlign w:val="bottom"/>
            <w:shd w:val="clear" w:color="auto" w:fill="005CB9"/>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440" w:type="dxa"/>
            <w:vAlign w:val="bottom"/>
            <w:tcBorders>
              <w:right w:val="single" w:sz="8" w:color="7F7F7F"/>
            </w:tcBorders>
            <w:shd w:val="clear" w:color="auto" w:fill="F2F2F2"/>
          </w:tcPr>
          <w:p>
            <w:pPr>
              <w:spacing w:after="0"/>
              <w:rPr>
                <w:sz w:val="17"/>
                <w:szCs w:val="17"/>
                <w:color w:val="auto"/>
              </w:rPr>
            </w:pPr>
          </w:p>
        </w:tc>
        <w:tc>
          <w:tcPr>
            <w:tcW w:w="1520" w:type="dxa"/>
            <w:vAlign w:val="bottom"/>
            <w:tcBorders>
              <w:right w:val="single" w:sz="8" w:color="7F7F7F"/>
            </w:tcBorders>
          </w:tcPr>
          <w:p>
            <w:pPr>
              <w:spacing w:after="0"/>
              <w:rPr>
                <w:sz w:val="17"/>
                <w:szCs w:val="17"/>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Employees may contribute a portion of their eligible pay to a tax-qualified 401(k) savings plan, the Sempra Savings Plan.</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Contributions to the plan may be invested on a tax-deferred or after-tax basis (including a Roth option). The Internal</w:t>
            </w:r>
          </w:p>
        </w:tc>
        <w:tc>
          <w:tcPr>
            <w:tcW w:w="0" w:type="dxa"/>
            <w:vAlign w:val="bottom"/>
          </w:tcPr>
          <w:p>
            <w:pPr>
              <w:spacing w:after="0"/>
              <w:rPr>
                <w:sz w:val="1"/>
                <w:szCs w:val="1"/>
                <w:color w:val="auto"/>
              </w:rPr>
            </w:pPr>
          </w:p>
        </w:tc>
      </w:tr>
      <w:tr>
        <w:trPr>
          <w:trHeight w:val="189"/>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Revenue Code limits the amount of compensation eligible for deferral under tax-qualified plans.</w:t>
            </w:r>
          </w:p>
        </w:tc>
        <w:tc>
          <w:tcPr>
            <w:tcW w:w="0" w:type="dxa"/>
            <w:vAlign w:val="bottom"/>
          </w:tcPr>
          <w:p>
            <w:pPr>
              <w:spacing w:after="0"/>
              <w:rPr>
                <w:sz w:val="1"/>
                <w:szCs w:val="1"/>
                <w:color w:val="auto"/>
              </w:rPr>
            </w:pPr>
          </w:p>
        </w:tc>
      </w:tr>
      <w:tr>
        <w:trPr>
          <w:trHeight w:val="212"/>
        </w:trPr>
        <w:tc>
          <w:tcPr>
            <w:tcW w:w="1440" w:type="dxa"/>
            <w:vAlign w:val="bottom"/>
            <w:tcBorders>
              <w:right w:val="single" w:sz="8" w:color="7F7F7F"/>
            </w:tcBorders>
            <w:shd w:val="clear" w:color="auto" w:fill="F2F2F2"/>
          </w:tcPr>
          <w:p>
            <w:pPr>
              <w:spacing w:after="0"/>
              <w:rPr>
                <w:sz w:val="18"/>
                <w:szCs w:val="18"/>
                <w:color w:val="auto"/>
              </w:rPr>
            </w:pPr>
          </w:p>
        </w:tc>
        <w:tc>
          <w:tcPr>
            <w:tcW w:w="1520" w:type="dxa"/>
            <w:vAlign w:val="bottom"/>
            <w:tcBorders>
              <w:right w:val="single" w:sz="8" w:color="7F7F7F"/>
            </w:tcBorders>
            <w:vMerge w:val="restart"/>
          </w:tcPr>
          <w:p>
            <w:pPr>
              <w:ind w:left="100"/>
              <w:spacing w:after="0"/>
              <w:rPr>
                <w:sz w:val="20"/>
                <w:szCs w:val="20"/>
                <w:color w:val="auto"/>
              </w:rPr>
            </w:pPr>
            <w:r>
              <w:rPr>
                <w:rFonts w:ascii="Arial" w:cs="Arial" w:eastAsia="Arial" w:hAnsi="Arial"/>
                <w:sz w:val="14"/>
                <w:szCs w:val="14"/>
                <w:b w:val="1"/>
                <w:bCs w:val="1"/>
                <w:color w:val="auto"/>
              </w:rPr>
              <w:t>Sempra Savings</w:t>
            </w:r>
          </w:p>
        </w:tc>
        <w:tc>
          <w:tcPr>
            <w:tcW w:w="7960" w:type="dxa"/>
            <w:vAlign w:val="bottom"/>
          </w:tcPr>
          <w:p>
            <w:pPr>
              <w:ind w:left="120"/>
              <w:spacing w:after="0"/>
              <w:rPr>
                <w:sz w:val="20"/>
                <w:szCs w:val="20"/>
                <w:color w:val="auto"/>
              </w:rPr>
            </w:pPr>
            <w:r>
              <w:rPr>
                <w:rFonts w:ascii="Arial" w:cs="Arial" w:eastAsia="Arial" w:hAnsi="Arial"/>
                <w:sz w:val="14"/>
                <w:szCs w:val="14"/>
                <w:color w:val="auto"/>
              </w:rPr>
              <w:t>Employees may receive company contributions of up to 4% of eligible pay. Eligible pay generally includes base salary and</w:t>
            </w:r>
          </w:p>
        </w:tc>
        <w:tc>
          <w:tcPr>
            <w:tcW w:w="0" w:type="dxa"/>
            <w:vAlign w:val="bottom"/>
          </w:tcPr>
          <w:p>
            <w:pPr>
              <w:spacing w:after="0"/>
              <w:rPr>
                <w:sz w:val="1"/>
                <w:szCs w:val="1"/>
                <w:color w:val="auto"/>
              </w:rPr>
            </w:pPr>
          </w:p>
        </w:tc>
      </w:tr>
      <w:tr>
        <w:trPr>
          <w:trHeight w:val="80"/>
        </w:trPr>
        <w:tc>
          <w:tcPr>
            <w:tcW w:w="1440" w:type="dxa"/>
            <w:vAlign w:val="bottom"/>
            <w:tcBorders>
              <w:right w:val="single" w:sz="8" w:color="7F7F7F"/>
            </w:tcBorders>
            <w:shd w:val="clear" w:color="auto" w:fill="F2F2F2"/>
          </w:tcPr>
          <w:p>
            <w:pPr>
              <w:spacing w:after="0"/>
              <w:rPr>
                <w:sz w:val="6"/>
                <w:szCs w:val="6"/>
                <w:color w:val="auto"/>
              </w:rPr>
            </w:pPr>
          </w:p>
        </w:tc>
        <w:tc>
          <w:tcPr>
            <w:tcW w:w="1520" w:type="dxa"/>
            <w:vAlign w:val="bottom"/>
            <w:tcBorders>
              <w:right w:val="single" w:sz="8" w:color="7F7F7F"/>
            </w:tcBorders>
            <w:vMerge w:val="continue"/>
          </w:tcPr>
          <w:p>
            <w:pPr>
              <w:spacing w:after="0"/>
              <w:rPr>
                <w:sz w:val="6"/>
                <w:szCs w:val="6"/>
                <w:color w:val="auto"/>
              </w:rPr>
            </w:pPr>
          </w:p>
        </w:tc>
        <w:tc>
          <w:tcPr>
            <w:tcW w:w="7960" w:type="dxa"/>
            <w:vAlign w:val="bottom"/>
            <w:vMerge w:val="restart"/>
          </w:tcPr>
          <w:p>
            <w:pPr>
              <w:ind w:left="120"/>
              <w:spacing w:after="0"/>
              <w:rPr>
                <w:sz w:val="20"/>
                <w:szCs w:val="20"/>
                <w:color w:val="auto"/>
              </w:rPr>
            </w:pPr>
            <w:r>
              <w:rPr>
                <w:rFonts w:ascii="Arial" w:cs="Arial" w:eastAsia="Arial" w:hAnsi="Arial"/>
                <w:sz w:val="14"/>
                <w:szCs w:val="14"/>
                <w:color w:val="auto"/>
              </w:rPr>
              <w:t>performance-based annual bonus, net of any amounts contributed under the deferred compensation plan. The basic</w:t>
            </w:r>
          </w:p>
        </w:tc>
        <w:tc>
          <w:tcPr>
            <w:tcW w:w="0" w:type="dxa"/>
            <w:vAlign w:val="bottom"/>
          </w:tcPr>
          <w:p>
            <w:pPr>
              <w:spacing w:after="0"/>
              <w:rPr>
                <w:sz w:val="1"/>
                <w:szCs w:val="1"/>
                <w:color w:val="auto"/>
              </w:rPr>
            </w:pPr>
          </w:p>
        </w:tc>
      </w:tr>
      <w:tr>
        <w:trPr>
          <w:trHeight w:val="80"/>
        </w:trPr>
        <w:tc>
          <w:tcPr>
            <w:tcW w:w="1440" w:type="dxa"/>
            <w:vAlign w:val="bottom"/>
            <w:tcBorders>
              <w:right w:val="single" w:sz="8" w:color="7F7F7F"/>
            </w:tcBorders>
            <w:shd w:val="clear" w:color="auto" w:fill="F2F2F2"/>
          </w:tcPr>
          <w:p>
            <w:pPr>
              <w:spacing w:after="0"/>
              <w:rPr>
                <w:sz w:val="6"/>
                <w:szCs w:val="6"/>
                <w:color w:val="auto"/>
              </w:rPr>
            </w:pPr>
          </w:p>
        </w:tc>
        <w:tc>
          <w:tcPr>
            <w:tcW w:w="1520" w:type="dxa"/>
            <w:vAlign w:val="bottom"/>
            <w:tcBorders>
              <w:right w:val="single" w:sz="8" w:color="7F7F7F"/>
            </w:tcBorders>
            <w:vMerge w:val="restart"/>
          </w:tcPr>
          <w:p>
            <w:pPr>
              <w:ind w:left="100"/>
              <w:spacing w:after="0"/>
              <w:rPr>
                <w:sz w:val="20"/>
                <w:szCs w:val="20"/>
                <w:color w:val="auto"/>
              </w:rPr>
            </w:pPr>
            <w:r>
              <w:rPr>
                <w:rFonts w:ascii="Arial" w:cs="Arial" w:eastAsia="Arial" w:hAnsi="Arial"/>
                <w:sz w:val="14"/>
                <w:szCs w:val="14"/>
                <w:b w:val="1"/>
                <w:bCs w:val="1"/>
                <w:color w:val="auto"/>
              </w:rPr>
              <w:t>Plan (401(k) savings</w:t>
            </w:r>
          </w:p>
        </w:tc>
        <w:tc>
          <w:tcPr>
            <w:tcW w:w="7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40" w:type="dxa"/>
            <w:vAlign w:val="bottom"/>
            <w:tcBorders>
              <w:right w:val="single" w:sz="8" w:color="7F7F7F"/>
            </w:tcBorders>
            <w:shd w:val="clear" w:color="auto" w:fill="F2F2F2"/>
          </w:tcPr>
          <w:p>
            <w:pPr>
              <w:spacing w:after="0"/>
              <w:rPr>
                <w:sz w:val="6"/>
                <w:szCs w:val="6"/>
                <w:color w:val="auto"/>
              </w:rPr>
            </w:pPr>
          </w:p>
        </w:tc>
        <w:tc>
          <w:tcPr>
            <w:tcW w:w="1520" w:type="dxa"/>
            <w:vAlign w:val="bottom"/>
            <w:tcBorders>
              <w:right w:val="single" w:sz="8" w:color="7F7F7F"/>
            </w:tcBorders>
            <w:vMerge w:val="continue"/>
          </w:tcPr>
          <w:p>
            <w:pPr>
              <w:spacing w:after="0"/>
              <w:rPr>
                <w:sz w:val="6"/>
                <w:szCs w:val="6"/>
                <w:color w:val="auto"/>
              </w:rPr>
            </w:pPr>
          </w:p>
        </w:tc>
        <w:tc>
          <w:tcPr>
            <w:tcW w:w="7960" w:type="dxa"/>
            <w:vAlign w:val="bottom"/>
            <w:vMerge w:val="restart"/>
          </w:tcPr>
          <w:p>
            <w:pPr>
              <w:ind w:left="120"/>
              <w:spacing w:after="0"/>
              <w:rPr>
                <w:sz w:val="20"/>
                <w:szCs w:val="20"/>
                <w:color w:val="auto"/>
              </w:rPr>
            </w:pPr>
            <w:r>
              <w:rPr>
                <w:rFonts w:ascii="Arial" w:cs="Arial" w:eastAsia="Arial" w:hAnsi="Arial"/>
                <w:sz w:val="14"/>
                <w:szCs w:val="14"/>
                <w:color w:val="auto"/>
              </w:rPr>
              <w:t>company matching contribution is equal to one-half of the first 6% of the employee’s contributions. In addition, employees</w:t>
            </w:r>
          </w:p>
        </w:tc>
        <w:tc>
          <w:tcPr>
            <w:tcW w:w="0" w:type="dxa"/>
            <w:vAlign w:val="bottom"/>
          </w:tcPr>
          <w:p>
            <w:pPr>
              <w:spacing w:after="0"/>
              <w:rPr>
                <w:sz w:val="1"/>
                <w:szCs w:val="1"/>
                <w:color w:val="auto"/>
              </w:rPr>
            </w:pPr>
          </w:p>
        </w:tc>
      </w:tr>
      <w:tr>
        <w:trPr>
          <w:trHeight w:val="80"/>
        </w:trPr>
        <w:tc>
          <w:tcPr>
            <w:tcW w:w="1440" w:type="dxa"/>
            <w:vAlign w:val="bottom"/>
            <w:tcBorders>
              <w:right w:val="single" w:sz="8" w:color="7F7F7F"/>
            </w:tcBorders>
            <w:shd w:val="clear" w:color="auto" w:fill="F2F2F2"/>
          </w:tcPr>
          <w:p>
            <w:pPr>
              <w:spacing w:after="0"/>
              <w:rPr>
                <w:sz w:val="6"/>
                <w:szCs w:val="6"/>
                <w:color w:val="auto"/>
              </w:rPr>
            </w:pPr>
          </w:p>
        </w:tc>
        <w:tc>
          <w:tcPr>
            <w:tcW w:w="1520" w:type="dxa"/>
            <w:vAlign w:val="bottom"/>
            <w:tcBorders>
              <w:right w:val="single" w:sz="8" w:color="7F7F7F"/>
            </w:tcBorders>
            <w:vMerge w:val="restart"/>
          </w:tcPr>
          <w:p>
            <w:pPr>
              <w:ind w:left="100"/>
              <w:spacing w:after="0"/>
              <w:rPr>
                <w:sz w:val="20"/>
                <w:szCs w:val="20"/>
                <w:color w:val="auto"/>
              </w:rPr>
            </w:pPr>
            <w:r>
              <w:rPr>
                <w:rFonts w:ascii="Arial" w:cs="Arial" w:eastAsia="Arial" w:hAnsi="Arial"/>
                <w:sz w:val="14"/>
                <w:szCs w:val="14"/>
                <w:b w:val="1"/>
                <w:bCs w:val="1"/>
                <w:color w:val="auto"/>
              </w:rPr>
              <w:t>plan)</w:t>
            </w:r>
          </w:p>
        </w:tc>
        <w:tc>
          <w:tcPr>
            <w:tcW w:w="7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440" w:type="dxa"/>
            <w:vAlign w:val="bottom"/>
            <w:tcBorders>
              <w:right w:val="single" w:sz="8" w:color="7F7F7F"/>
            </w:tcBorders>
            <w:shd w:val="clear" w:color="auto" w:fill="F2F2F2"/>
          </w:tcPr>
          <w:p>
            <w:pPr>
              <w:spacing w:after="0"/>
              <w:rPr>
                <w:sz w:val="9"/>
                <w:szCs w:val="9"/>
                <w:color w:val="auto"/>
              </w:rPr>
            </w:pPr>
          </w:p>
        </w:tc>
        <w:tc>
          <w:tcPr>
            <w:tcW w:w="1520" w:type="dxa"/>
            <w:vAlign w:val="bottom"/>
            <w:tcBorders>
              <w:right w:val="single" w:sz="8" w:color="7F7F7F"/>
            </w:tcBorders>
            <w:vMerge w:val="continue"/>
          </w:tcPr>
          <w:p>
            <w:pPr>
              <w:spacing w:after="0"/>
              <w:rPr>
                <w:sz w:val="9"/>
                <w:szCs w:val="9"/>
                <w:color w:val="auto"/>
              </w:rPr>
            </w:pPr>
          </w:p>
        </w:tc>
        <w:tc>
          <w:tcPr>
            <w:tcW w:w="7960" w:type="dxa"/>
            <w:vAlign w:val="bottom"/>
            <w:vMerge w:val="restart"/>
          </w:tcPr>
          <w:p>
            <w:pPr>
              <w:ind w:left="120"/>
              <w:spacing w:after="0"/>
              <w:rPr>
                <w:sz w:val="20"/>
                <w:szCs w:val="20"/>
                <w:color w:val="auto"/>
              </w:rPr>
            </w:pPr>
            <w:r>
              <w:rPr>
                <w:rFonts w:ascii="Arial" w:cs="Arial" w:eastAsia="Arial" w:hAnsi="Arial"/>
                <w:sz w:val="14"/>
                <w:szCs w:val="14"/>
                <w:color w:val="auto"/>
              </w:rPr>
              <w:t>receive a “stretch match” equal to one-fifth of the next 5% of the employee’s contributions.</w:t>
            </w:r>
          </w:p>
        </w:tc>
        <w:tc>
          <w:tcPr>
            <w:tcW w:w="0" w:type="dxa"/>
            <w:vAlign w:val="bottom"/>
          </w:tcPr>
          <w:p>
            <w:pPr>
              <w:spacing w:after="0"/>
              <w:rPr>
                <w:sz w:val="1"/>
                <w:szCs w:val="1"/>
                <w:color w:val="auto"/>
              </w:rPr>
            </w:pPr>
          </w:p>
        </w:tc>
      </w:tr>
      <w:tr>
        <w:trPr>
          <w:trHeight w:val="74"/>
        </w:trPr>
        <w:tc>
          <w:tcPr>
            <w:tcW w:w="1440" w:type="dxa"/>
            <w:vAlign w:val="bottom"/>
            <w:tcBorders>
              <w:right w:val="single" w:sz="8" w:color="7F7F7F"/>
            </w:tcBorders>
            <w:shd w:val="clear" w:color="auto" w:fill="F2F2F2"/>
          </w:tcPr>
          <w:p>
            <w:pPr>
              <w:spacing w:after="0"/>
              <w:rPr>
                <w:sz w:val="6"/>
                <w:szCs w:val="6"/>
                <w:color w:val="auto"/>
              </w:rPr>
            </w:pPr>
          </w:p>
        </w:tc>
        <w:tc>
          <w:tcPr>
            <w:tcW w:w="1520" w:type="dxa"/>
            <w:vAlign w:val="bottom"/>
            <w:tcBorders>
              <w:right w:val="single" w:sz="8" w:color="7F7F7F"/>
            </w:tcBorders>
          </w:tcPr>
          <w:p>
            <w:pPr>
              <w:spacing w:after="0"/>
              <w:rPr>
                <w:sz w:val="6"/>
                <w:szCs w:val="6"/>
                <w:color w:val="auto"/>
              </w:rPr>
            </w:pPr>
          </w:p>
        </w:tc>
        <w:tc>
          <w:tcPr>
            <w:tcW w:w="7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440" w:type="dxa"/>
            <w:vAlign w:val="bottom"/>
            <w:tcBorders>
              <w:right w:val="single" w:sz="8" w:color="7F7F7F"/>
            </w:tcBorders>
            <w:shd w:val="clear" w:color="auto" w:fill="F2F2F2"/>
          </w:tcPr>
          <w:p>
            <w:pPr>
              <w:spacing w:after="0"/>
              <w:rPr>
                <w:sz w:val="18"/>
                <w:szCs w:val="18"/>
                <w:color w:val="auto"/>
              </w:rPr>
            </w:pPr>
          </w:p>
        </w:tc>
        <w:tc>
          <w:tcPr>
            <w:tcW w:w="1520" w:type="dxa"/>
            <w:vAlign w:val="bottom"/>
            <w:tcBorders>
              <w:right w:val="single" w:sz="8" w:color="7F7F7F"/>
            </w:tcBorders>
          </w:tcPr>
          <w:p>
            <w:pPr>
              <w:spacing w:after="0"/>
              <w:rPr>
                <w:sz w:val="18"/>
                <w:szCs w:val="18"/>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All employee contributions and related investment earnings in the 401(k) savings plan vest immediately. Employees are</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eligible to participate in the plan and receive company matching contributions upon hire. Company matching contributions</w:t>
            </w:r>
          </w:p>
        </w:tc>
        <w:tc>
          <w:tcPr>
            <w:tcW w:w="0" w:type="dxa"/>
            <w:vAlign w:val="bottom"/>
          </w:tcPr>
          <w:p>
            <w:pPr>
              <w:spacing w:after="0"/>
              <w:rPr>
                <w:sz w:val="1"/>
                <w:szCs w:val="1"/>
                <w:color w:val="auto"/>
              </w:rPr>
            </w:pPr>
          </w:p>
        </w:tc>
      </w:tr>
      <w:tr>
        <w:trPr>
          <w:trHeight w:val="189"/>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(including related earnings) vest after one year of service.</w:t>
            </w:r>
          </w:p>
        </w:tc>
        <w:tc>
          <w:tcPr>
            <w:tcW w:w="0" w:type="dxa"/>
            <w:vAlign w:val="bottom"/>
          </w:tcPr>
          <w:p>
            <w:pPr>
              <w:spacing w:after="0"/>
              <w:rPr>
                <w:sz w:val="1"/>
                <w:szCs w:val="1"/>
                <w:color w:val="auto"/>
              </w:rPr>
            </w:pPr>
          </w:p>
        </w:tc>
      </w:tr>
      <w:tr>
        <w:trPr>
          <w:trHeight w:val="61"/>
        </w:trPr>
        <w:tc>
          <w:tcPr>
            <w:tcW w:w="1440" w:type="dxa"/>
            <w:vAlign w:val="bottom"/>
            <w:tcBorders>
              <w:bottom w:val="single" w:sz="8" w:color="F2F2F2"/>
              <w:right w:val="single" w:sz="8" w:color="7F7F7F"/>
            </w:tcBorders>
            <w:shd w:val="clear" w:color="auto" w:fill="F2F2F2"/>
          </w:tcPr>
          <w:p>
            <w:pPr>
              <w:spacing w:after="0"/>
              <w:rPr>
                <w:sz w:val="5"/>
                <w:szCs w:val="5"/>
                <w:color w:val="auto"/>
              </w:rPr>
            </w:pPr>
          </w:p>
        </w:tc>
        <w:tc>
          <w:tcPr>
            <w:tcW w:w="1520" w:type="dxa"/>
            <w:vAlign w:val="bottom"/>
            <w:tcBorders>
              <w:bottom w:val="single" w:sz="8" w:color="7F7F7F"/>
              <w:right w:val="single" w:sz="8" w:color="7F7F7F"/>
            </w:tcBorders>
          </w:tcPr>
          <w:p>
            <w:pPr>
              <w:spacing w:after="0"/>
              <w:rPr>
                <w:sz w:val="5"/>
                <w:szCs w:val="5"/>
                <w:color w:val="auto"/>
              </w:rPr>
            </w:pPr>
          </w:p>
        </w:tc>
        <w:tc>
          <w:tcPr>
            <w:tcW w:w="79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1440" w:type="dxa"/>
            <w:vAlign w:val="bottom"/>
            <w:tcBorders>
              <w:right w:val="single" w:sz="8" w:color="7F7F7F"/>
            </w:tcBorders>
            <w:shd w:val="clear" w:color="auto" w:fill="F2F2F2"/>
          </w:tcPr>
          <w:p>
            <w:pPr>
              <w:spacing w:after="0"/>
              <w:rPr>
                <w:sz w:val="12"/>
                <w:szCs w:val="12"/>
                <w:color w:val="auto"/>
              </w:rPr>
            </w:pPr>
          </w:p>
        </w:tc>
        <w:tc>
          <w:tcPr>
            <w:tcW w:w="1520" w:type="dxa"/>
            <w:vAlign w:val="bottom"/>
            <w:tcBorders>
              <w:right w:val="single" w:sz="8" w:color="7F7F7F"/>
            </w:tcBorders>
          </w:tcPr>
          <w:p>
            <w:pPr>
              <w:spacing w:after="0"/>
              <w:rPr>
                <w:sz w:val="12"/>
                <w:szCs w:val="12"/>
                <w:color w:val="auto"/>
              </w:rPr>
            </w:pPr>
          </w:p>
        </w:tc>
        <w:tc>
          <w:tcPr>
            <w:tcW w:w="7960" w:type="dxa"/>
            <w:vAlign w:val="bottom"/>
          </w:tcPr>
          <w:p>
            <w:pPr>
              <w:ind w:left="120"/>
              <w:spacing w:after="0" w:line="145" w:lineRule="exact"/>
              <w:rPr>
                <w:sz w:val="20"/>
                <w:szCs w:val="20"/>
                <w:color w:val="auto"/>
              </w:rPr>
            </w:pPr>
            <w:r>
              <w:rPr>
                <w:rFonts w:ascii="Arial" w:cs="Arial" w:eastAsia="Arial" w:hAnsi="Arial"/>
                <w:sz w:val="14"/>
                <w:szCs w:val="14"/>
                <w:color w:val="auto"/>
              </w:rPr>
              <w:t>Our executive officers and other key management employees also may defer up to 85% of their base salary and</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performance-based annual bonus under a nonqualified deferred compensation plan, the Employee and Director Savings</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Plan. Executive officers also may defer all or a portion of certain performance-based restricted stock unit awards upon</w:t>
            </w:r>
          </w:p>
        </w:tc>
        <w:tc>
          <w:tcPr>
            <w:tcW w:w="0" w:type="dxa"/>
            <w:vAlign w:val="bottom"/>
          </w:tcPr>
          <w:p>
            <w:pPr>
              <w:spacing w:after="0"/>
              <w:rPr>
                <w:sz w:val="1"/>
                <w:szCs w:val="1"/>
                <w:color w:val="auto"/>
              </w:rPr>
            </w:pPr>
          </w:p>
        </w:tc>
      </w:tr>
      <w:tr>
        <w:trPr>
          <w:trHeight w:val="189"/>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vesting.</w:t>
            </w:r>
          </w:p>
        </w:tc>
        <w:tc>
          <w:tcPr>
            <w:tcW w:w="0" w:type="dxa"/>
            <w:vAlign w:val="bottom"/>
          </w:tcPr>
          <w:p>
            <w:pPr>
              <w:spacing w:after="0"/>
              <w:rPr>
                <w:sz w:val="1"/>
                <w:szCs w:val="1"/>
                <w:color w:val="auto"/>
              </w:rPr>
            </w:pPr>
          </w:p>
        </w:tc>
      </w:tr>
      <w:tr>
        <w:trPr>
          <w:trHeight w:val="241"/>
        </w:trPr>
        <w:tc>
          <w:tcPr>
            <w:tcW w:w="1440" w:type="dxa"/>
            <w:vAlign w:val="bottom"/>
            <w:tcBorders>
              <w:right w:val="single" w:sz="8" w:color="7F7F7F"/>
            </w:tcBorders>
            <w:shd w:val="clear" w:color="auto" w:fill="F2F2F2"/>
          </w:tcPr>
          <w:p>
            <w:pPr>
              <w:spacing w:after="0"/>
              <w:rPr>
                <w:sz w:val="20"/>
                <w:szCs w:val="20"/>
                <w:color w:val="auto"/>
              </w:rPr>
            </w:pPr>
          </w:p>
        </w:tc>
        <w:tc>
          <w:tcPr>
            <w:tcW w:w="1520" w:type="dxa"/>
            <w:vAlign w:val="bottom"/>
            <w:tcBorders>
              <w:right w:val="single" w:sz="8" w:color="7F7F7F"/>
            </w:tcBorders>
          </w:tcPr>
          <w:p>
            <w:pPr>
              <w:spacing w:after="0"/>
              <w:rPr>
                <w:sz w:val="20"/>
                <w:szCs w:val="20"/>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Participants can direct these deferrals into:</w:t>
            </w:r>
          </w:p>
        </w:tc>
        <w:tc>
          <w:tcPr>
            <w:tcW w:w="0" w:type="dxa"/>
            <w:vAlign w:val="bottom"/>
          </w:tcPr>
          <w:p>
            <w:pPr>
              <w:spacing w:after="0"/>
              <w:rPr>
                <w:sz w:val="1"/>
                <w:szCs w:val="1"/>
                <w:color w:val="auto"/>
              </w:rPr>
            </w:pPr>
          </w:p>
        </w:tc>
      </w:tr>
      <w:tr>
        <w:trPr>
          <w:trHeight w:val="212"/>
        </w:trPr>
        <w:tc>
          <w:tcPr>
            <w:tcW w:w="1440" w:type="dxa"/>
            <w:vAlign w:val="bottom"/>
            <w:tcBorders>
              <w:right w:val="single" w:sz="8" w:color="7F7F7F"/>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Savings Plans</w:t>
            </w:r>
          </w:p>
        </w:tc>
        <w:tc>
          <w:tcPr>
            <w:tcW w:w="1520" w:type="dxa"/>
            <w:vAlign w:val="bottom"/>
            <w:tcBorders>
              <w:right w:val="single" w:sz="8" w:color="7F7F7F"/>
            </w:tcBorders>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Funds that mirror the investments available under our 401(k) savings plan, including a Sempra phantom stock</w:t>
            </w:r>
          </w:p>
        </w:tc>
        <w:tc>
          <w:tcPr>
            <w:tcW w:w="0" w:type="dxa"/>
            <w:vAlign w:val="bottom"/>
          </w:tcPr>
          <w:p>
            <w:pPr>
              <w:spacing w:after="0"/>
              <w:rPr>
                <w:sz w:val="1"/>
                <w:szCs w:val="1"/>
                <w:color w:val="auto"/>
              </w:rPr>
            </w:pPr>
          </w:p>
        </w:tc>
      </w:tr>
      <w:tr>
        <w:trPr>
          <w:trHeight w:val="189"/>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spacing w:after="0"/>
              <w:rPr>
                <w:sz w:val="16"/>
                <w:szCs w:val="16"/>
                <w:color w:val="auto"/>
              </w:rPr>
            </w:pPr>
          </w:p>
        </w:tc>
        <w:tc>
          <w:tcPr>
            <w:tcW w:w="7960" w:type="dxa"/>
            <w:vAlign w:val="bottom"/>
          </w:tcPr>
          <w:p>
            <w:pPr>
              <w:ind w:left="560"/>
              <w:spacing w:after="0"/>
              <w:rPr>
                <w:sz w:val="20"/>
                <w:szCs w:val="20"/>
                <w:color w:val="auto"/>
              </w:rPr>
            </w:pPr>
            <w:r>
              <w:rPr>
                <w:rFonts w:ascii="Arial" w:cs="Arial" w:eastAsia="Arial" w:hAnsi="Arial"/>
                <w:sz w:val="14"/>
                <w:szCs w:val="14"/>
                <w:color w:val="auto"/>
              </w:rPr>
              <w:t>account, or</w:t>
            </w:r>
          </w:p>
        </w:tc>
        <w:tc>
          <w:tcPr>
            <w:tcW w:w="0" w:type="dxa"/>
            <w:vAlign w:val="bottom"/>
          </w:tcPr>
          <w:p>
            <w:pPr>
              <w:spacing w:after="0"/>
              <w:rPr>
                <w:sz w:val="1"/>
                <w:szCs w:val="1"/>
                <w:color w:val="auto"/>
              </w:rPr>
            </w:pPr>
          </w:p>
        </w:tc>
      </w:tr>
      <w:tr>
        <w:trPr>
          <w:trHeight w:val="212"/>
        </w:trPr>
        <w:tc>
          <w:tcPr>
            <w:tcW w:w="1440" w:type="dxa"/>
            <w:vAlign w:val="bottom"/>
            <w:tcBorders>
              <w:right w:val="single" w:sz="8" w:color="7F7F7F"/>
            </w:tcBorders>
            <w:shd w:val="clear" w:color="auto" w:fill="F2F2F2"/>
          </w:tcPr>
          <w:p>
            <w:pPr>
              <w:spacing w:after="0"/>
              <w:rPr>
                <w:sz w:val="18"/>
                <w:szCs w:val="18"/>
                <w:color w:val="auto"/>
              </w:rPr>
            </w:pPr>
          </w:p>
        </w:tc>
        <w:tc>
          <w:tcPr>
            <w:tcW w:w="1520" w:type="dxa"/>
            <w:vAlign w:val="bottom"/>
            <w:tcBorders>
              <w:right w:val="single" w:sz="8" w:color="7F7F7F"/>
            </w:tcBorders>
          </w:tcPr>
          <w:p>
            <w:pPr>
              <w:spacing w:after="0"/>
              <w:rPr>
                <w:sz w:val="18"/>
                <w:szCs w:val="18"/>
                <w:color w:val="auto"/>
              </w:rPr>
            </w:pPr>
          </w:p>
        </w:tc>
        <w:tc>
          <w:tcPr>
            <w:tcW w:w="7960" w:type="dxa"/>
            <w:vAlign w:val="bottom"/>
          </w:tcPr>
          <w:p>
            <w:pPr>
              <w:ind w:left="32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A fund providing interest at the greater of 110% of the Moody’s Corporate Bond Yield or the Moody’s Corporate Bond</w:t>
            </w:r>
          </w:p>
        </w:tc>
        <w:tc>
          <w:tcPr>
            <w:tcW w:w="0" w:type="dxa"/>
            <w:vAlign w:val="bottom"/>
          </w:tcPr>
          <w:p>
            <w:pPr>
              <w:spacing w:after="0"/>
              <w:rPr>
                <w:sz w:val="1"/>
                <w:szCs w:val="1"/>
                <w:color w:val="auto"/>
              </w:rPr>
            </w:pPr>
          </w:p>
        </w:tc>
      </w:tr>
      <w:tr>
        <w:trPr>
          <w:trHeight w:val="189"/>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vMerge w:val="restart"/>
          </w:tcPr>
          <w:p>
            <w:pPr>
              <w:ind w:left="100"/>
              <w:spacing w:after="0"/>
              <w:rPr>
                <w:sz w:val="20"/>
                <w:szCs w:val="20"/>
                <w:color w:val="auto"/>
              </w:rPr>
            </w:pPr>
            <w:r>
              <w:rPr>
                <w:rFonts w:ascii="Arial" w:cs="Arial" w:eastAsia="Arial" w:hAnsi="Arial"/>
                <w:sz w:val="14"/>
                <w:szCs w:val="14"/>
                <w:b w:val="1"/>
                <w:bCs w:val="1"/>
                <w:color w:val="auto"/>
              </w:rPr>
              <w:t>Employee and</w:t>
            </w:r>
          </w:p>
        </w:tc>
        <w:tc>
          <w:tcPr>
            <w:tcW w:w="7960" w:type="dxa"/>
            <w:vAlign w:val="bottom"/>
          </w:tcPr>
          <w:p>
            <w:pPr>
              <w:ind w:left="560"/>
              <w:spacing w:after="0"/>
              <w:rPr>
                <w:sz w:val="20"/>
                <w:szCs w:val="20"/>
                <w:color w:val="auto"/>
              </w:rPr>
            </w:pPr>
            <w:r>
              <w:rPr>
                <w:rFonts w:ascii="Arial" w:cs="Arial" w:eastAsia="Arial" w:hAnsi="Arial"/>
                <w:sz w:val="14"/>
                <w:szCs w:val="14"/>
                <w:color w:val="auto"/>
              </w:rPr>
              <w:t>Yield plus 1%</w:t>
            </w:r>
          </w:p>
        </w:tc>
        <w:tc>
          <w:tcPr>
            <w:tcW w:w="0" w:type="dxa"/>
            <w:vAlign w:val="bottom"/>
          </w:tcPr>
          <w:p>
            <w:pPr>
              <w:spacing w:after="0"/>
              <w:rPr>
                <w:sz w:val="1"/>
                <w:szCs w:val="1"/>
                <w:color w:val="auto"/>
              </w:rPr>
            </w:pPr>
          </w:p>
        </w:tc>
      </w:tr>
      <w:tr>
        <w:trPr>
          <w:trHeight w:val="52"/>
        </w:trPr>
        <w:tc>
          <w:tcPr>
            <w:tcW w:w="1440" w:type="dxa"/>
            <w:vAlign w:val="bottom"/>
            <w:tcBorders>
              <w:right w:val="single" w:sz="8" w:color="7F7F7F"/>
            </w:tcBorders>
            <w:shd w:val="clear" w:color="auto" w:fill="F2F2F2"/>
          </w:tcPr>
          <w:p>
            <w:pPr>
              <w:spacing w:after="0"/>
              <w:rPr>
                <w:sz w:val="4"/>
                <w:szCs w:val="4"/>
                <w:color w:val="auto"/>
              </w:rPr>
            </w:pPr>
          </w:p>
        </w:tc>
        <w:tc>
          <w:tcPr>
            <w:tcW w:w="1520" w:type="dxa"/>
            <w:vAlign w:val="bottom"/>
            <w:tcBorders>
              <w:right w:val="single" w:sz="8" w:color="7F7F7F"/>
            </w:tcBorders>
            <w:vMerge w:val="continue"/>
          </w:tcPr>
          <w:p>
            <w:pPr>
              <w:spacing w:after="0"/>
              <w:rPr>
                <w:sz w:val="4"/>
                <w:szCs w:val="4"/>
                <w:color w:val="auto"/>
              </w:rPr>
            </w:pPr>
          </w:p>
        </w:tc>
        <w:tc>
          <w:tcPr>
            <w:tcW w:w="7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Director Savings</w:t>
            </w:r>
          </w:p>
        </w:tc>
        <w:tc>
          <w:tcPr>
            <w:tcW w:w="7960" w:type="dxa"/>
            <w:vAlign w:val="bottom"/>
          </w:tcPr>
          <w:p>
            <w:pPr>
              <w:ind w:left="120"/>
              <w:spacing w:after="0"/>
              <w:rPr>
                <w:sz w:val="20"/>
                <w:szCs w:val="20"/>
                <w:color w:val="auto"/>
              </w:rPr>
            </w:pPr>
            <w:r>
              <w:rPr>
                <w:rFonts w:ascii="Arial" w:cs="Arial" w:eastAsia="Arial" w:hAnsi="Arial"/>
                <w:sz w:val="14"/>
                <w:szCs w:val="14"/>
                <w:color w:val="auto"/>
              </w:rPr>
              <w:t>Deferrals of performance-based restricted stock unit awards must be directed into the Sempra phantom stock account and</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Plan (deferred</w:t>
            </w:r>
          </w:p>
        </w:tc>
        <w:tc>
          <w:tcPr>
            <w:tcW w:w="7960" w:type="dxa"/>
            <w:vAlign w:val="bottom"/>
          </w:tcPr>
          <w:p>
            <w:pPr>
              <w:ind w:left="120"/>
              <w:spacing w:after="0"/>
              <w:rPr>
                <w:sz w:val="20"/>
                <w:szCs w:val="20"/>
                <w:color w:val="auto"/>
              </w:rPr>
            </w:pPr>
            <w:r>
              <w:rPr>
                <w:rFonts w:ascii="Arial" w:cs="Arial" w:eastAsia="Arial" w:hAnsi="Arial"/>
                <w:sz w:val="14"/>
                <w:szCs w:val="14"/>
                <w:color w:val="auto"/>
              </w:rPr>
              <w:t>cannot be transferred into other investments and are paid out in shares of common stock after separation of employment in</w:t>
            </w:r>
          </w:p>
        </w:tc>
        <w:tc>
          <w:tcPr>
            <w:tcW w:w="0" w:type="dxa"/>
            <w:vAlign w:val="bottom"/>
          </w:tcPr>
          <w:p>
            <w:pPr>
              <w:spacing w:after="0"/>
              <w:rPr>
                <w:sz w:val="1"/>
                <w:szCs w:val="1"/>
                <w:color w:val="auto"/>
              </w:rPr>
            </w:pPr>
          </w:p>
        </w:tc>
      </w:tr>
      <w:tr>
        <w:trPr>
          <w:trHeight w:val="195"/>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compensation plan)</w:t>
            </w:r>
          </w:p>
        </w:tc>
        <w:tc>
          <w:tcPr>
            <w:tcW w:w="7960" w:type="dxa"/>
            <w:vAlign w:val="bottom"/>
          </w:tcPr>
          <w:p>
            <w:pPr>
              <w:ind w:left="120"/>
              <w:spacing w:after="0"/>
              <w:rPr>
                <w:sz w:val="20"/>
                <w:szCs w:val="20"/>
                <w:color w:val="auto"/>
              </w:rPr>
            </w:pPr>
            <w:r>
              <w:rPr>
                <w:rFonts w:ascii="Arial" w:cs="Arial" w:eastAsia="Arial" w:hAnsi="Arial"/>
                <w:sz w:val="14"/>
                <w:szCs w:val="14"/>
                <w:color w:val="auto"/>
              </w:rPr>
              <w:t>accordance with the participant’s payout elections.</w:t>
            </w:r>
          </w:p>
        </w:tc>
        <w:tc>
          <w:tcPr>
            <w:tcW w:w="0" w:type="dxa"/>
            <w:vAlign w:val="bottom"/>
          </w:tcPr>
          <w:p>
            <w:pPr>
              <w:spacing w:after="0"/>
              <w:rPr>
                <w:sz w:val="1"/>
                <w:szCs w:val="1"/>
                <w:color w:val="auto"/>
              </w:rPr>
            </w:pPr>
          </w:p>
        </w:tc>
      </w:tr>
      <w:tr>
        <w:trPr>
          <w:trHeight w:val="206"/>
        </w:trPr>
        <w:tc>
          <w:tcPr>
            <w:tcW w:w="1440" w:type="dxa"/>
            <w:vAlign w:val="bottom"/>
            <w:tcBorders>
              <w:right w:val="single" w:sz="8" w:color="7F7F7F"/>
            </w:tcBorders>
            <w:shd w:val="clear" w:color="auto" w:fill="F2F2F2"/>
          </w:tcPr>
          <w:p>
            <w:pPr>
              <w:spacing w:after="0"/>
              <w:rPr>
                <w:sz w:val="17"/>
                <w:szCs w:val="17"/>
                <w:color w:val="auto"/>
              </w:rPr>
            </w:pPr>
          </w:p>
        </w:tc>
        <w:tc>
          <w:tcPr>
            <w:tcW w:w="1520" w:type="dxa"/>
            <w:vAlign w:val="bottom"/>
            <w:tcBorders>
              <w:right w:val="single" w:sz="8" w:color="7F7F7F"/>
            </w:tcBorders>
          </w:tcPr>
          <w:p>
            <w:pPr>
              <w:spacing w:after="0"/>
              <w:rPr>
                <w:sz w:val="17"/>
                <w:szCs w:val="17"/>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The Internal Revenue Code places annual limits on the amounts that employees and employers can defer into a 401(k)</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savings plan. Because of these limits, the company makes matching contributions for deferred compensation plan</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participants through the deferred compensation plan. The deferred compensation matching contribution is equal to one-half</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of the first 6% of the employee’s contributions plus one-fifth of the next 5% of the employee’s contributions less an offset for</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401(k) savings plan matching contributions. There are no company matching contributions on deferrals of performance-</w:t>
            </w:r>
          </w:p>
        </w:tc>
        <w:tc>
          <w:tcPr>
            <w:tcW w:w="0" w:type="dxa"/>
            <w:vAlign w:val="bottom"/>
          </w:tcPr>
          <w:p>
            <w:pPr>
              <w:spacing w:after="0"/>
              <w:rPr>
                <w:sz w:val="1"/>
                <w:szCs w:val="1"/>
                <w:color w:val="auto"/>
              </w:rPr>
            </w:pPr>
          </w:p>
        </w:tc>
      </w:tr>
      <w:tr>
        <w:trPr>
          <w:trHeight w:val="189"/>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based restricted stock unit awards.</w:t>
            </w:r>
          </w:p>
        </w:tc>
        <w:tc>
          <w:tcPr>
            <w:tcW w:w="0" w:type="dxa"/>
            <w:vAlign w:val="bottom"/>
          </w:tcPr>
          <w:p>
            <w:pPr>
              <w:spacing w:after="0"/>
              <w:rPr>
                <w:sz w:val="1"/>
                <w:szCs w:val="1"/>
                <w:color w:val="auto"/>
              </w:rPr>
            </w:pPr>
          </w:p>
        </w:tc>
      </w:tr>
      <w:tr>
        <w:trPr>
          <w:trHeight w:val="212"/>
        </w:trPr>
        <w:tc>
          <w:tcPr>
            <w:tcW w:w="1440" w:type="dxa"/>
            <w:vAlign w:val="bottom"/>
            <w:tcBorders>
              <w:right w:val="single" w:sz="8" w:color="7F7F7F"/>
            </w:tcBorders>
            <w:shd w:val="clear" w:color="auto" w:fill="F2F2F2"/>
          </w:tcPr>
          <w:p>
            <w:pPr>
              <w:spacing w:after="0"/>
              <w:rPr>
                <w:sz w:val="18"/>
                <w:szCs w:val="18"/>
                <w:color w:val="auto"/>
              </w:rPr>
            </w:pPr>
          </w:p>
        </w:tc>
        <w:tc>
          <w:tcPr>
            <w:tcW w:w="1520" w:type="dxa"/>
            <w:vAlign w:val="bottom"/>
            <w:tcBorders>
              <w:right w:val="single" w:sz="8" w:color="7F7F7F"/>
            </w:tcBorders>
          </w:tcPr>
          <w:p>
            <w:pPr>
              <w:spacing w:after="0"/>
              <w:rPr>
                <w:sz w:val="18"/>
                <w:szCs w:val="18"/>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All employee contributions and related earnings in the deferred compensation plan vest immediately. New participants are</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immediately eligible for company matching contributions and company matching contributions (including related earnings)</w:t>
            </w:r>
          </w:p>
        </w:tc>
        <w:tc>
          <w:tcPr>
            <w:tcW w:w="0" w:type="dxa"/>
            <w:vAlign w:val="bottom"/>
          </w:tcPr>
          <w:p>
            <w:pPr>
              <w:spacing w:after="0"/>
              <w:rPr>
                <w:sz w:val="1"/>
                <w:szCs w:val="1"/>
                <w:color w:val="auto"/>
              </w:rPr>
            </w:pPr>
          </w:p>
        </w:tc>
      </w:tr>
      <w:tr>
        <w:trPr>
          <w:trHeight w:val="189"/>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spacing w:after="0"/>
              <w:rPr>
                <w:sz w:val="16"/>
                <w:szCs w:val="16"/>
                <w:color w:val="auto"/>
              </w:rPr>
            </w:pPr>
          </w:p>
        </w:tc>
        <w:tc>
          <w:tcPr>
            <w:tcW w:w="7960" w:type="dxa"/>
            <w:vAlign w:val="bottom"/>
          </w:tcPr>
          <w:p>
            <w:pPr>
              <w:ind w:left="120"/>
              <w:spacing w:after="0"/>
              <w:rPr>
                <w:sz w:val="20"/>
                <w:szCs w:val="20"/>
                <w:color w:val="auto"/>
              </w:rPr>
            </w:pPr>
            <w:r>
              <w:rPr>
                <w:rFonts w:ascii="Arial" w:cs="Arial" w:eastAsia="Arial" w:hAnsi="Arial"/>
                <w:sz w:val="14"/>
                <w:szCs w:val="14"/>
                <w:color w:val="auto"/>
              </w:rPr>
              <w:t>vest after one year of service.</w:t>
            </w:r>
          </w:p>
        </w:tc>
        <w:tc>
          <w:tcPr>
            <w:tcW w:w="0" w:type="dxa"/>
            <w:vAlign w:val="bottom"/>
          </w:tcPr>
          <w:p>
            <w:pPr>
              <w:spacing w:after="0"/>
              <w:rPr>
                <w:sz w:val="1"/>
                <w:szCs w:val="1"/>
                <w:color w:val="auto"/>
              </w:rPr>
            </w:pPr>
          </w:p>
        </w:tc>
      </w:tr>
      <w:tr>
        <w:trPr>
          <w:trHeight w:val="61"/>
        </w:trPr>
        <w:tc>
          <w:tcPr>
            <w:tcW w:w="1440" w:type="dxa"/>
            <w:vAlign w:val="bottom"/>
            <w:tcBorders>
              <w:bottom w:val="single" w:sz="8" w:color="auto"/>
              <w:right w:val="single" w:sz="8" w:color="7F7F7F"/>
            </w:tcBorders>
            <w:shd w:val="clear" w:color="auto" w:fill="F2F2F2"/>
          </w:tcPr>
          <w:p>
            <w:pPr>
              <w:spacing w:after="0"/>
              <w:rPr>
                <w:sz w:val="5"/>
                <w:szCs w:val="5"/>
                <w:color w:val="auto"/>
              </w:rPr>
            </w:pPr>
          </w:p>
        </w:tc>
        <w:tc>
          <w:tcPr>
            <w:tcW w:w="1520" w:type="dxa"/>
            <w:vAlign w:val="bottom"/>
            <w:tcBorders>
              <w:bottom w:val="single" w:sz="8" w:color="auto"/>
              <w:right w:val="single" w:sz="8" w:color="7F7F7F"/>
            </w:tcBorders>
          </w:tcPr>
          <w:p>
            <w:pPr>
              <w:spacing w:after="0"/>
              <w:rPr>
                <w:sz w:val="5"/>
                <w:szCs w:val="5"/>
                <w:color w:val="auto"/>
              </w:rPr>
            </w:pPr>
          </w:p>
        </w:tc>
        <w:tc>
          <w:tcPr>
            <w:tcW w:w="7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Table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62               </w:t>
      </w:r>
      <w:r>
        <w:rPr>
          <w:sz w:val="1"/>
          <w:szCs w:val="1"/>
          <w:color w:val="auto"/>
        </w:rPr>
        <w:drawing>
          <wp:inline distT="0" distB="0" distL="0" distR="0">
            <wp:extent cx="739140" cy="153035"/>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60" w:type="dxa"/>
        <w:tblCellMar>
          <w:top w:w="0" w:type="dxa"/>
          <w:left w:w="0" w:type="dxa"/>
          <w:bottom w:w="0" w:type="dxa"/>
          <w:right w:w="0" w:type="dxa"/>
        </w:tblCellMar>
      </w:tblPr>
      <w:tr>
        <w:trPr>
          <w:trHeight w:val="147"/>
        </w:trPr>
        <w:tc>
          <w:tcPr>
            <w:tcW w:w="1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520" w:type="dxa"/>
            <w:vAlign w:val="bottom"/>
            <w:gridSpan w:val="2"/>
          </w:tcPr>
          <w:p>
            <w:pPr>
              <w:ind w:left="6220"/>
              <w:spacing w:after="0"/>
              <w:rPr>
                <w:sz w:val="20"/>
                <w:szCs w:val="20"/>
                <w:color w:val="auto"/>
              </w:rPr>
            </w:pPr>
            <w:r>
              <w:rPr>
                <w:rFonts w:ascii="Arial" w:cs="Arial" w:eastAsia="Arial" w:hAnsi="Arial"/>
                <w:sz w:val="11"/>
                <w:szCs w:val="11"/>
                <w:b w:val="1"/>
                <w:bCs w:val="1"/>
                <w:color w:val="7F7F7F"/>
                <w:w w:val="97"/>
              </w:rPr>
              <w:t>Executive Compensation</w:t>
            </w:r>
          </w:p>
        </w:tc>
        <w:tc>
          <w:tcPr>
            <w:tcW w:w="0" w:type="dxa"/>
            <w:vAlign w:val="bottom"/>
          </w:tcPr>
          <w:p>
            <w:pPr>
              <w:spacing w:after="0"/>
              <w:rPr>
                <w:sz w:val="1"/>
                <w:szCs w:val="1"/>
                <w:color w:val="auto"/>
              </w:rPr>
            </w:pPr>
          </w:p>
        </w:tc>
      </w:tr>
      <w:tr>
        <w:trPr>
          <w:trHeight w:val="134"/>
        </w:trPr>
        <w:tc>
          <w:tcPr>
            <w:tcW w:w="1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5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1440" w:type="dxa"/>
            <w:vAlign w:val="bottom"/>
            <w:tcBorders>
              <w:right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Plan Type</w:t>
            </w:r>
          </w:p>
        </w:tc>
        <w:tc>
          <w:tcPr>
            <w:tcW w:w="1520" w:type="dxa"/>
            <w:vAlign w:val="bottom"/>
            <w:tcBorders>
              <w:right w:val="single" w:sz="8" w:color="005CB9"/>
            </w:tcBorders>
            <w:shd w:val="clear" w:color="auto" w:fill="005CB9"/>
          </w:tcPr>
          <w:p>
            <w:pPr>
              <w:ind w:left="660"/>
              <w:spacing w:after="0"/>
              <w:rPr>
                <w:sz w:val="20"/>
                <w:szCs w:val="20"/>
                <w:color w:val="auto"/>
              </w:rPr>
            </w:pPr>
            <w:r>
              <w:rPr>
                <w:rFonts w:ascii="Arial" w:cs="Arial" w:eastAsia="Arial" w:hAnsi="Arial"/>
                <w:sz w:val="14"/>
                <w:szCs w:val="14"/>
                <w:b w:val="1"/>
                <w:bCs w:val="1"/>
                <w:color w:val="FFFFFF"/>
              </w:rPr>
              <w:t>Plan</w:t>
            </w:r>
          </w:p>
        </w:tc>
        <w:tc>
          <w:tcPr>
            <w:tcW w:w="460" w:type="dxa"/>
            <w:vAlign w:val="bottom"/>
            <w:shd w:val="clear" w:color="auto" w:fill="005CB9"/>
          </w:tcPr>
          <w:p>
            <w:pPr>
              <w:spacing w:after="0"/>
              <w:rPr>
                <w:sz w:val="21"/>
                <w:szCs w:val="21"/>
                <w:color w:val="auto"/>
              </w:rPr>
            </w:pPr>
          </w:p>
        </w:tc>
        <w:tc>
          <w:tcPr>
            <w:tcW w:w="7500" w:type="dxa"/>
            <w:vAlign w:val="bottom"/>
            <w:shd w:val="clear" w:color="auto" w:fill="005CB9"/>
          </w:tcPr>
          <w:p>
            <w:pPr>
              <w:ind w:left="3180"/>
              <w:spacing w:after="0"/>
              <w:rPr>
                <w:sz w:val="20"/>
                <w:szCs w:val="20"/>
                <w:color w:val="auto"/>
              </w:rPr>
            </w:pPr>
            <w:r>
              <w:rPr>
                <w:rFonts w:ascii="Arial" w:cs="Arial" w:eastAsia="Arial" w:hAnsi="Arial"/>
                <w:sz w:val="14"/>
                <w:szCs w:val="14"/>
                <w:b w:val="1"/>
                <w:bCs w:val="1"/>
                <w:color w:val="FFFFFF"/>
              </w:rPr>
              <w:t>Description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1440" w:type="dxa"/>
            <w:vAlign w:val="bottom"/>
            <w:tcBorders>
              <w:right w:val="single" w:sz="8" w:color="005CB9"/>
            </w:tcBorders>
            <w:shd w:val="clear" w:color="auto" w:fill="005CB9"/>
          </w:tcPr>
          <w:p>
            <w:pPr>
              <w:spacing w:after="0"/>
              <w:rPr>
                <w:sz w:val="5"/>
                <w:szCs w:val="5"/>
                <w:color w:val="auto"/>
              </w:rPr>
            </w:pPr>
          </w:p>
        </w:tc>
        <w:tc>
          <w:tcPr>
            <w:tcW w:w="1520" w:type="dxa"/>
            <w:vAlign w:val="bottom"/>
            <w:tcBorders>
              <w:right w:val="single" w:sz="8" w:color="005CB9"/>
            </w:tcBorders>
            <w:shd w:val="clear" w:color="auto" w:fill="005CB9"/>
          </w:tcPr>
          <w:p>
            <w:pPr>
              <w:spacing w:after="0"/>
              <w:rPr>
                <w:sz w:val="5"/>
                <w:szCs w:val="5"/>
                <w:color w:val="auto"/>
              </w:rPr>
            </w:pPr>
          </w:p>
        </w:tc>
        <w:tc>
          <w:tcPr>
            <w:tcW w:w="7960" w:type="dxa"/>
            <w:vAlign w:val="bottom"/>
            <w:gridSpan w:val="2"/>
            <w:shd w:val="clear" w:color="auto" w:fill="005CB9"/>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440" w:type="dxa"/>
            <w:vAlign w:val="bottom"/>
            <w:tcBorders>
              <w:right w:val="single" w:sz="8" w:color="7F7F7F"/>
            </w:tcBorders>
            <w:shd w:val="clear" w:color="auto" w:fill="F2F2F2"/>
          </w:tcPr>
          <w:p>
            <w:pPr>
              <w:spacing w:after="0"/>
              <w:rPr>
                <w:sz w:val="20"/>
                <w:szCs w:val="20"/>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Cash Balance Plan</w:t>
            </w:r>
          </w:p>
        </w:tc>
        <w:tc>
          <w:tcPr>
            <w:tcW w:w="7980" w:type="dxa"/>
            <w:vAlign w:val="bottom"/>
            <w:gridSpan w:val="3"/>
          </w:tcPr>
          <w:p>
            <w:pPr>
              <w:ind w:left="120"/>
              <w:spacing w:after="0"/>
              <w:rPr>
                <w:sz w:val="20"/>
                <w:szCs w:val="20"/>
                <w:color w:val="auto"/>
              </w:rPr>
            </w:pPr>
            <w:r>
              <w:rPr>
                <w:rFonts w:ascii="Arial" w:cs="Arial" w:eastAsia="Arial" w:hAnsi="Arial"/>
                <w:sz w:val="14"/>
                <w:szCs w:val="14"/>
                <w:color w:val="auto"/>
              </w:rPr>
              <w:t>The Cash Balance Plan is a tax-qualified pension plan generally available to all U.S.-based company employees.</w:t>
            </w:r>
          </w:p>
        </w:tc>
        <w:tc>
          <w:tcPr>
            <w:tcW w:w="0" w:type="dxa"/>
            <w:vAlign w:val="bottom"/>
          </w:tcPr>
          <w:p>
            <w:pPr>
              <w:spacing w:after="0"/>
              <w:rPr>
                <w:sz w:val="1"/>
                <w:szCs w:val="1"/>
                <w:color w:val="auto"/>
              </w:rPr>
            </w:pPr>
          </w:p>
        </w:tc>
      </w:tr>
      <w:tr>
        <w:trPr>
          <w:trHeight w:val="42"/>
        </w:trPr>
        <w:tc>
          <w:tcPr>
            <w:tcW w:w="1440" w:type="dxa"/>
            <w:vAlign w:val="bottom"/>
            <w:tcBorders>
              <w:right w:val="single" w:sz="8" w:color="7F7F7F"/>
            </w:tcBorders>
            <w:shd w:val="clear" w:color="auto" w:fill="F2F2F2"/>
          </w:tcPr>
          <w:p>
            <w:pPr>
              <w:spacing w:after="0"/>
              <w:rPr>
                <w:sz w:val="3"/>
                <w:szCs w:val="3"/>
                <w:color w:val="auto"/>
              </w:rPr>
            </w:pPr>
          </w:p>
        </w:tc>
        <w:tc>
          <w:tcPr>
            <w:tcW w:w="1520" w:type="dxa"/>
            <w:vAlign w:val="bottom"/>
            <w:tcBorders>
              <w:right w:val="single" w:sz="8" w:color="7F7F7F"/>
            </w:tcBorders>
          </w:tcPr>
          <w:p>
            <w:pPr>
              <w:spacing w:after="0"/>
              <w:rPr>
                <w:sz w:val="3"/>
                <w:szCs w:val="3"/>
                <w:color w:val="auto"/>
              </w:rPr>
            </w:pPr>
          </w:p>
        </w:tc>
        <w:tc>
          <w:tcPr>
            <w:tcW w:w="798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440" w:type="dxa"/>
            <w:vAlign w:val="bottom"/>
            <w:tcBorders>
              <w:top w:val="single" w:sz="8" w:color="F2F2F2"/>
              <w:right w:val="single" w:sz="8" w:color="7F7F7F"/>
            </w:tcBorders>
            <w:shd w:val="clear" w:color="auto" w:fill="F2F2F2"/>
          </w:tcPr>
          <w:p>
            <w:pPr>
              <w:spacing w:after="0"/>
              <w:rPr>
                <w:sz w:val="12"/>
                <w:szCs w:val="12"/>
                <w:color w:val="auto"/>
              </w:rPr>
            </w:pPr>
          </w:p>
        </w:tc>
        <w:tc>
          <w:tcPr>
            <w:tcW w:w="1520" w:type="dxa"/>
            <w:vAlign w:val="bottom"/>
            <w:tcBorders>
              <w:top w:val="single" w:sz="8" w:color="7F7F7F"/>
              <w:right w:val="single" w:sz="8" w:color="7F7F7F"/>
            </w:tcBorders>
          </w:tcPr>
          <w:p>
            <w:pPr>
              <w:ind w:left="100"/>
              <w:spacing w:after="0" w:line="145" w:lineRule="exact"/>
              <w:rPr>
                <w:sz w:val="20"/>
                <w:szCs w:val="20"/>
                <w:color w:val="auto"/>
              </w:rPr>
            </w:pPr>
            <w:r>
              <w:rPr>
                <w:rFonts w:ascii="Arial" w:cs="Arial" w:eastAsia="Arial" w:hAnsi="Arial"/>
                <w:sz w:val="14"/>
                <w:szCs w:val="14"/>
                <w:b w:val="1"/>
                <w:bCs w:val="1"/>
                <w:color w:val="auto"/>
              </w:rPr>
              <w:t>Cash Balance</w:t>
            </w:r>
          </w:p>
        </w:tc>
        <w:tc>
          <w:tcPr>
            <w:tcW w:w="7960" w:type="dxa"/>
            <w:vAlign w:val="bottom"/>
            <w:tcBorders>
              <w:top w:val="single" w:sz="8" w:color="7F7F7F"/>
            </w:tcBorders>
            <w:gridSpan w:val="2"/>
          </w:tcPr>
          <w:p>
            <w:pPr>
              <w:ind w:left="120"/>
              <w:spacing w:after="0" w:line="145" w:lineRule="exact"/>
              <w:rPr>
                <w:sz w:val="20"/>
                <w:szCs w:val="20"/>
                <w:color w:val="auto"/>
              </w:rPr>
            </w:pPr>
            <w:r>
              <w:rPr>
                <w:rFonts w:ascii="Arial" w:cs="Arial" w:eastAsia="Arial" w:hAnsi="Arial"/>
                <w:sz w:val="14"/>
                <w:szCs w:val="14"/>
                <w:color w:val="auto"/>
              </w:rPr>
              <w:t>The Cash Balance Restoration Plan restores the benefits that would otherwise be provided under the Cash Balance Plan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Restoration Plan</w:t>
            </w:r>
          </w:p>
        </w:tc>
        <w:tc>
          <w:tcPr>
            <w:tcW w:w="7980" w:type="dxa"/>
            <w:vAlign w:val="bottom"/>
            <w:gridSpan w:val="3"/>
          </w:tcPr>
          <w:p>
            <w:pPr>
              <w:ind w:left="120"/>
              <w:spacing w:after="0"/>
              <w:rPr>
                <w:sz w:val="20"/>
                <w:szCs w:val="20"/>
                <w:color w:val="auto"/>
              </w:rPr>
            </w:pPr>
            <w:r>
              <w:rPr>
                <w:rFonts w:ascii="Arial" w:cs="Arial" w:eastAsia="Arial" w:hAnsi="Arial"/>
                <w:sz w:val="14"/>
                <w:szCs w:val="14"/>
                <w:color w:val="auto"/>
              </w:rPr>
              <w:t>but for Internal Revenue Service limits applicable to tax-qualified pension plans.</w:t>
            </w:r>
          </w:p>
        </w:tc>
        <w:tc>
          <w:tcPr>
            <w:tcW w:w="0" w:type="dxa"/>
            <w:vAlign w:val="bottom"/>
          </w:tcPr>
          <w:p>
            <w:pPr>
              <w:spacing w:after="0"/>
              <w:rPr>
                <w:sz w:val="1"/>
                <w:szCs w:val="1"/>
                <w:color w:val="auto"/>
              </w:rPr>
            </w:pPr>
          </w:p>
        </w:tc>
      </w:tr>
      <w:tr>
        <w:trPr>
          <w:trHeight w:val="42"/>
        </w:trPr>
        <w:tc>
          <w:tcPr>
            <w:tcW w:w="1440" w:type="dxa"/>
            <w:vAlign w:val="bottom"/>
            <w:tcBorders>
              <w:right w:val="single" w:sz="8" w:color="7F7F7F"/>
            </w:tcBorders>
            <w:shd w:val="clear" w:color="auto" w:fill="F2F2F2"/>
          </w:tcPr>
          <w:p>
            <w:pPr>
              <w:spacing w:after="0"/>
              <w:rPr>
                <w:sz w:val="3"/>
                <w:szCs w:val="3"/>
                <w:color w:val="auto"/>
              </w:rPr>
            </w:pPr>
          </w:p>
        </w:tc>
        <w:tc>
          <w:tcPr>
            <w:tcW w:w="1520" w:type="dxa"/>
            <w:vAlign w:val="bottom"/>
            <w:tcBorders>
              <w:right w:val="single" w:sz="8" w:color="7F7F7F"/>
            </w:tcBorders>
          </w:tcPr>
          <w:p>
            <w:pPr>
              <w:spacing w:after="0"/>
              <w:rPr>
                <w:sz w:val="3"/>
                <w:szCs w:val="3"/>
                <w:color w:val="auto"/>
              </w:rPr>
            </w:pPr>
          </w:p>
        </w:tc>
        <w:tc>
          <w:tcPr>
            <w:tcW w:w="798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1440" w:type="dxa"/>
            <w:vAlign w:val="bottom"/>
            <w:tcBorders>
              <w:top w:val="single" w:sz="8" w:color="F2F2F2"/>
              <w:right w:val="single" w:sz="8" w:color="7F7F7F"/>
            </w:tcBorders>
            <w:shd w:val="clear" w:color="auto" w:fill="F2F2F2"/>
          </w:tcPr>
          <w:p>
            <w:pPr>
              <w:spacing w:after="0"/>
              <w:rPr>
                <w:sz w:val="12"/>
                <w:szCs w:val="12"/>
                <w:color w:val="auto"/>
              </w:rPr>
            </w:pPr>
          </w:p>
        </w:tc>
        <w:tc>
          <w:tcPr>
            <w:tcW w:w="1520" w:type="dxa"/>
            <w:vAlign w:val="bottom"/>
            <w:tcBorders>
              <w:top w:val="single" w:sz="8" w:color="7F7F7F"/>
              <w:right w:val="single" w:sz="8" w:color="7F7F7F"/>
            </w:tcBorders>
          </w:tcPr>
          <w:p>
            <w:pPr>
              <w:spacing w:after="0"/>
              <w:rPr>
                <w:sz w:val="12"/>
                <w:szCs w:val="12"/>
                <w:color w:val="auto"/>
              </w:rPr>
            </w:pPr>
          </w:p>
        </w:tc>
        <w:tc>
          <w:tcPr>
            <w:tcW w:w="7960" w:type="dxa"/>
            <w:vAlign w:val="bottom"/>
            <w:tcBorders>
              <w:top w:val="single" w:sz="8" w:color="7F7F7F"/>
            </w:tcBorders>
            <w:gridSpan w:val="2"/>
          </w:tcPr>
          <w:p>
            <w:pPr>
              <w:ind w:left="120"/>
              <w:spacing w:after="0" w:line="145" w:lineRule="exact"/>
              <w:rPr>
                <w:sz w:val="20"/>
                <w:szCs w:val="20"/>
                <w:color w:val="auto"/>
              </w:rPr>
            </w:pPr>
            <w:r>
              <w:rPr>
                <w:rFonts w:ascii="Arial" w:cs="Arial" w:eastAsia="Arial" w:hAnsi="Arial"/>
                <w:sz w:val="14"/>
                <w:szCs w:val="14"/>
                <w:color w:val="auto"/>
              </w:rPr>
              <w:t>The Compensation and Talent Development Committee believes that retirement, 401(k) savings and deferred compensation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80" w:type="dxa"/>
            <w:vAlign w:val="bottom"/>
            <w:gridSpan w:val="3"/>
          </w:tcPr>
          <w:p>
            <w:pPr>
              <w:ind w:left="120"/>
              <w:spacing w:after="0"/>
              <w:rPr>
                <w:sz w:val="20"/>
                <w:szCs w:val="20"/>
                <w:color w:val="auto"/>
              </w:rPr>
            </w:pPr>
            <w:r>
              <w:rPr>
                <w:rFonts w:ascii="Arial" w:cs="Arial" w:eastAsia="Arial" w:hAnsi="Arial"/>
                <w:sz w:val="14"/>
                <w:szCs w:val="14"/>
                <w:color w:val="auto"/>
              </w:rPr>
              <w:t>plans, in general, and the SERP, in particular, are important elements of an overall compensation package. This package is</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spacing w:after="0"/>
              <w:rPr>
                <w:sz w:val="13"/>
                <w:szCs w:val="13"/>
                <w:color w:val="auto"/>
              </w:rPr>
            </w:pPr>
          </w:p>
        </w:tc>
        <w:tc>
          <w:tcPr>
            <w:tcW w:w="7980" w:type="dxa"/>
            <w:vAlign w:val="bottom"/>
            <w:gridSpan w:val="3"/>
          </w:tcPr>
          <w:p>
            <w:pPr>
              <w:ind w:left="120"/>
              <w:spacing w:after="0"/>
              <w:rPr>
                <w:sz w:val="20"/>
                <w:szCs w:val="20"/>
                <w:color w:val="auto"/>
              </w:rPr>
            </w:pPr>
            <w:r>
              <w:rPr>
                <w:rFonts w:ascii="Arial" w:cs="Arial" w:eastAsia="Arial" w:hAnsi="Arial"/>
                <w:sz w:val="14"/>
                <w:szCs w:val="14"/>
                <w:color w:val="auto"/>
              </w:rPr>
              <w:t>designed to recruit and retain executive talent, especially mid-career executives, and to retain longer-term executive</w:t>
            </w:r>
          </w:p>
        </w:tc>
        <w:tc>
          <w:tcPr>
            <w:tcW w:w="0" w:type="dxa"/>
            <w:vAlign w:val="bottom"/>
          </w:tcPr>
          <w:p>
            <w:pPr>
              <w:spacing w:after="0"/>
              <w:rPr>
                <w:sz w:val="1"/>
                <w:szCs w:val="1"/>
                <w:color w:val="auto"/>
              </w:rPr>
            </w:pPr>
          </w:p>
        </w:tc>
      </w:tr>
      <w:tr>
        <w:trPr>
          <w:trHeight w:val="235"/>
        </w:trPr>
        <w:tc>
          <w:tcPr>
            <w:tcW w:w="1440" w:type="dxa"/>
            <w:vAlign w:val="bottom"/>
            <w:tcBorders>
              <w:right w:val="single" w:sz="8" w:color="7F7F7F"/>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Pension</w:t>
            </w:r>
          </w:p>
        </w:tc>
        <w:tc>
          <w:tcPr>
            <w:tcW w:w="1520" w:type="dxa"/>
            <w:vAlign w:val="bottom"/>
            <w:tcBorders>
              <w:right w:val="single" w:sz="8" w:color="7F7F7F"/>
            </w:tcBorders>
            <w:vMerge w:val="restart"/>
          </w:tcPr>
          <w:p>
            <w:pPr>
              <w:ind w:left="100"/>
              <w:spacing w:after="0"/>
              <w:rPr>
                <w:sz w:val="20"/>
                <w:szCs w:val="20"/>
                <w:color w:val="auto"/>
              </w:rPr>
            </w:pPr>
            <w:r>
              <w:rPr>
                <w:rFonts w:ascii="Arial" w:cs="Arial" w:eastAsia="Arial" w:hAnsi="Arial"/>
                <w:sz w:val="14"/>
                <w:szCs w:val="14"/>
                <w:b w:val="1"/>
                <w:bCs w:val="1"/>
                <w:color w:val="auto"/>
              </w:rPr>
              <w:t>Supplemental</w:t>
            </w:r>
          </w:p>
        </w:tc>
        <w:tc>
          <w:tcPr>
            <w:tcW w:w="7980" w:type="dxa"/>
            <w:vAlign w:val="bottom"/>
            <w:gridSpan w:val="3"/>
          </w:tcPr>
          <w:p>
            <w:pPr>
              <w:ind w:left="120"/>
              <w:spacing w:after="0"/>
              <w:rPr>
                <w:sz w:val="20"/>
                <w:szCs w:val="20"/>
                <w:color w:val="auto"/>
              </w:rPr>
            </w:pPr>
            <w:r>
              <w:rPr>
                <w:rFonts w:ascii="Arial" w:cs="Arial" w:eastAsia="Arial" w:hAnsi="Arial"/>
                <w:sz w:val="14"/>
                <w:szCs w:val="14"/>
                <w:color w:val="auto"/>
              </w:rPr>
              <w:t>participants.</w:t>
            </w:r>
          </w:p>
        </w:tc>
        <w:tc>
          <w:tcPr>
            <w:tcW w:w="0" w:type="dxa"/>
            <w:vAlign w:val="bottom"/>
          </w:tcPr>
          <w:p>
            <w:pPr>
              <w:spacing w:after="0"/>
              <w:rPr>
                <w:sz w:val="1"/>
                <w:szCs w:val="1"/>
                <w:color w:val="auto"/>
              </w:rPr>
            </w:pPr>
          </w:p>
        </w:tc>
      </w:tr>
      <w:tr>
        <w:trPr>
          <w:trHeight w:val="46"/>
        </w:trPr>
        <w:tc>
          <w:tcPr>
            <w:tcW w:w="1440" w:type="dxa"/>
            <w:vAlign w:val="bottom"/>
            <w:tcBorders>
              <w:right w:val="single" w:sz="8" w:color="7F7F7F"/>
            </w:tcBorders>
            <w:shd w:val="clear" w:color="auto" w:fill="F2F2F2"/>
          </w:tcPr>
          <w:p>
            <w:pPr>
              <w:spacing w:after="0"/>
              <w:rPr>
                <w:sz w:val="3"/>
                <w:szCs w:val="3"/>
                <w:color w:val="auto"/>
              </w:rPr>
            </w:pPr>
          </w:p>
        </w:tc>
        <w:tc>
          <w:tcPr>
            <w:tcW w:w="1520" w:type="dxa"/>
            <w:vAlign w:val="bottom"/>
            <w:tcBorders>
              <w:right w:val="single" w:sz="8" w:color="7F7F7F"/>
            </w:tcBorders>
            <w:vMerge w:val="continue"/>
          </w:tcPr>
          <w:p>
            <w:pPr>
              <w:spacing w:after="0"/>
              <w:rPr>
                <w:sz w:val="3"/>
                <w:szCs w:val="3"/>
                <w:color w:val="auto"/>
              </w:rPr>
            </w:pPr>
          </w:p>
        </w:tc>
        <w:tc>
          <w:tcPr>
            <w:tcW w:w="7980" w:type="dxa"/>
            <w:vAlign w:val="bottom"/>
            <w:gridSpan w:val="3"/>
            <w:vMerge w:val="restart"/>
          </w:tcPr>
          <w:p>
            <w:pPr>
              <w:ind w:left="120"/>
              <w:spacing w:after="0"/>
              <w:rPr>
                <w:sz w:val="20"/>
                <w:szCs w:val="20"/>
                <w:color w:val="auto"/>
              </w:rPr>
            </w:pPr>
            <w:r>
              <w:rPr>
                <w:rFonts w:ascii="Arial" w:cs="Arial" w:eastAsia="Arial" w:hAnsi="Arial"/>
                <w:sz w:val="14"/>
                <w:szCs w:val="14"/>
                <w:color w:val="auto"/>
              </w:rPr>
              <w:t>The SERP provides a participating named executive officer with retirement benefits based on the executive’s:</w:t>
            </w:r>
          </w:p>
        </w:tc>
        <w:tc>
          <w:tcPr>
            <w:tcW w:w="0" w:type="dxa"/>
            <w:vAlign w:val="bottom"/>
          </w:tcPr>
          <w:p>
            <w:pPr>
              <w:spacing w:after="0"/>
              <w:rPr>
                <w:sz w:val="1"/>
                <w:szCs w:val="1"/>
                <w:color w:val="auto"/>
              </w:rPr>
            </w:pPr>
          </w:p>
        </w:tc>
      </w:tr>
      <w:tr>
        <w:trPr>
          <w:trHeight w:val="160"/>
        </w:trPr>
        <w:tc>
          <w:tcPr>
            <w:tcW w:w="1440" w:type="dxa"/>
            <w:vAlign w:val="bottom"/>
            <w:tcBorders>
              <w:right w:val="single" w:sz="8" w:color="7F7F7F"/>
            </w:tcBorders>
            <w:shd w:val="clear" w:color="auto" w:fill="F2F2F2"/>
          </w:tcPr>
          <w:p>
            <w:pPr>
              <w:spacing w:after="0"/>
              <w:rPr>
                <w:sz w:val="13"/>
                <w:szCs w:val="13"/>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Executive</w:t>
            </w:r>
          </w:p>
        </w:tc>
        <w:tc>
          <w:tcPr>
            <w:tcW w:w="7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440" w:type="dxa"/>
            <w:vAlign w:val="bottom"/>
            <w:tcBorders>
              <w:right w:val="single" w:sz="8" w:color="7F7F7F"/>
            </w:tcBorders>
            <w:shd w:val="clear" w:color="auto" w:fill="F2F2F2"/>
          </w:tcPr>
          <w:p>
            <w:pPr>
              <w:spacing w:after="0"/>
              <w:rPr>
                <w:sz w:val="15"/>
                <w:szCs w:val="15"/>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Retirement Plan</w:t>
            </w:r>
          </w:p>
        </w:tc>
        <w:tc>
          <w:tcPr>
            <w:tcW w:w="460" w:type="dxa"/>
            <w:vAlign w:val="bottom"/>
          </w:tcPr>
          <w:p>
            <w:pPr>
              <w:ind w:left="320"/>
              <w:spacing w:after="0"/>
              <w:rPr>
                <w:sz w:val="20"/>
                <w:szCs w:val="20"/>
                <w:color w:val="auto"/>
              </w:rPr>
            </w:pPr>
            <w:r>
              <w:rPr>
                <w:rFonts w:ascii="Times New Roman" w:cs="Times New Roman" w:eastAsia="Times New Roman" w:hAnsi="Times New Roman"/>
                <w:sz w:val="14"/>
                <w:szCs w:val="14"/>
                <w:color w:val="005CB9"/>
              </w:rPr>
              <w:t>•</w:t>
            </w:r>
          </w:p>
        </w:tc>
        <w:tc>
          <w:tcPr>
            <w:tcW w:w="7520" w:type="dxa"/>
            <w:vAlign w:val="bottom"/>
            <w:gridSpan w:val="2"/>
          </w:tcPr>
          <w:p>
            <w:pPr>
              <w:ind w:left="100"/>
              <w:spacing w:after="0" w:line="184" w:lineRule="exact"/>
              <w:rPr>
                <w:sz w:val="20"/>
                <w:szCs w:val="20"/>
                <w:color w:val="auto"/>
              </w:rPr>
            </w:pPr>
            <w:r>
              <w:rPr>
                <w:rFonts w:ascii="Arial" w:cs="Arial" w:eastAsia="Arial" w:hAnsi="Arial"/>
                <w:sz w:val="14"/>
                <w:szCs w:val="14"/>
                <w:color w:val="auto"/>
              </w:rPr>
              <w:t>Final average pay</w:t>
            </w:r>
            <w:r>
              <w:rPr>
                <w:rFonts w:ascii="Arial" w:cs="Arial" w:eastAsia="Arial" w:hAnsi="Arial"/>
                <w:sz w:val="21"/>
                <w:szCs w:val="21"/>
                <w:color w:val="auto"/>
                <w:vertAlign w:val="superscript"/>
              </w:rPr>
              <w:t>(1)</w:t>
            </w:r>
          </w:p>
        </w:tc>
        <w:tc>
          <w:tcPr>
            <w:tcW w:w="0" w:type="dxa"/>
            <w:vAlign w:val="bottom"/>
          </w:tcPr>
          <w:p>
            <w:pPr>
              <w:spacing w:after="0"/>
              <w:rPr>
                <w:sz w:val="1"/>
                <w:szCs w:val="1"/>
                <w:color w:val="auto"/>
              </w:rPr>
            </w:pPr>
          </w:p>
        </w:tc>
      </w:tr>
      <w:tr>
        <w:trPr>
          <w:trHeight w:val="195"/>
        </w:trPr>
        <w:tc>
          <w:tcPr>
            <w:tcW w:w="1440" w:type="dxa"/>
            <w:vAlign w:val="bottom"/>
            <w:tcBorders>
              <w:right w:val="single" w:sz="8" w:color="7F7F7F"/>
            </w:tcBorders>
            <w:shd w:val="clear" w:color="auto" w:fill="F2F2F2"/>
          </w:tcPr>
          <w:p>
            <w:pPr>
              <w:spacing w:after="0"/>
              <w:rPr>
                <w:sz w:val="16"/>
                <w:szCs w:val="16"/>
                <w:color w:val="auto"/>
              </w:rPr>
            </w:pPr>
          </w:p>
        </w:tc>
        <w:tc>
          <w:tcPr>
            <w:tcW w:w="1520" w:type="dxa"/>
            <w:vAlign w:val="bottom"/>
            <w:tcBorders>
              <w:right w:val="single" w:sz="8" w:color="7F7F7F"/>
            </w:tcBorders>
          </w:tcPr>
          <w:p>
            <w:pPr>
              <w:ind w:left="100"/>
              <w:spacing w:after="0"/>
              <w:rPr>
                <w:sz w:val="20"/>
                <w:szCs w:val="20"/>
                <w:color w:val="auto"/>
              </w:rPr>
            </w:pPr>
            <w:r>
              <w:rPr>
                <w:rFonts w:ascii="Arial" w:cs="Arial" w:eastAsia="Arial" w:hAnsi="Arial"/>
                <w:sz w:val="14"/>
                <w:szCs w:val="14"/>
                <w:b w:val="1"/>
                <w:bCs w:val="1"/>
                <w:color w:val="auto"/>
              </w:rPr>
              <w:t>(SERP)</w:t>
            </w:r>
          </w:p>
        </w:tc>
        <w:tc>
          <w:tcPr>
            <w:tcW w:w="79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color w:val="005CB9"/>
              </w:rPr>
              <w:t xml:space="preserve">•   </w:t>
            </w:r>
            <w:r>
              <w:rPr>
                <w:rFonts w:ascii="Arial" w:cs="Arial" w:eastAsia="Arial" w:hAnsi="Arial"/>
                <w:sz w:val="14"/>
                <w:szCs w:val="14"/>
                <w:color w:val="000000"/>
              </w:rPr>
              <w:t>Actual years of service</w:t>
            </w:r>
          </w:p>
        </w:tc>
        <w:tc>
          <w:tcPr>
            <w:tcW w:w="0" w:type="dxa"/>
            <w:vAlign w:val="bottom"/>
          </w:tcPr>
          <w:p>
            <w:pPr>
              <w:spacing w:after="0"/>
              <w:rPr>
                <w:sz w:val="1"/>
                <w:szCs w:val="1"/>
                <w:color w:val="auto"/>
              </w:rPr>
            </w:pPr>
          </w:p>
        </w:tc>
      </w:tr>
      <w:tr>
        <w:trPr>
          <w:trHeight w:val="92"/>
        </w:trPr>
        <w:tc>
          <w:tcPr>
            <w:tcW w:w="1440" w:type="dxa"/>
            <w:vAlign w:val="bottom"/>
            <w:tcBorders>
              <w:right w:val="single" w:sz="8" w:color="7F7F7F"/>
            </w:tcBorders>
            <w:shd w:val="clear" w:color="auto" w:fill="F2F2F2"/>
          </w:tcPr>
          <w:p>
            <w:pPr>
              <w:spacing w:after="0"/>
              <w:rPr>
                <w:sz w:val="7"/>
                <w:szCs w:val="7"/>
                <w:color w:val="auto"/>
              </w:rPr>
            </w:pPr>
          </w:p>
        </w:tc>
        <w:tc>
          <w:tcPr>
            <w:tcW w:w="1520" w:type="dxa"/>
            <w:vAlign w:val="bottom"/>
            <w:tcBorders>
              <w:right w:val="single" w:sz="8" w:color="7F7F7F"/>
            </w:tcBorders>
          </w:tcPr>
          <w:p>
            <w:pPr>
              <w:spacing w:after="0"/>
              <w:rPr>
                <w:sz w:val="7"/>
                <w:szCs w:val="7"/>
                <w:color w:val="auto"/>
              </w:rPr>
            </w:pPr>
          </w:p>
        </w:tc>
        <w:tc>
          <w:tcPr>
            <w:tcW w:w="79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440" w:type="dxa"/>
            <w:vAlign w:val="bottom"/>
            <w:tcBorders>
              <w:right w:val="single" w:sz="8" w:color="7F7F7F"/>
            </w:tcBorders>
            <w:shd w:val="clear" w:color="auto" w:fill="F2F2F2"/>
          </w:tcPr>
          <w:p>
            <w:pPr>
              <w:spacing w:after="0"/>
              <w:rPr>
                <w:sz w:val="20"/>
                <w:szCs w:val="20"/>
                <w:color w:val="auto"/>
              </w:rPr>
            </w:pPr>
          </w:p>
        </w:tc>
        <w:tc>
          <w:tcPr>
            <w:tcW w:w="1520" w:type="dxa"/>
            <w:vAlign w:val="bottom"/>
            <w:tcBorders>
              <w:right w:val="single" w:sz="8" w:color="7F7F7F"/>
            </w:tcBorders>
          </w:tcPr>
          <w:p>
            <w:pPr>
              <w:spacing w:after="0"/>
              <w:rPr>
                <w:sz w:val="20"/>
                <w:szCs w:val="20"/>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4"/>
                <w:szCs w:val="14"/>
                <w:color w:val="005CB9"/>
              </w:rPr>
              <w:t>•</w:t>
            </w:r>
          </w:p>
        </w:tc>
        <w:tc>
          <w:tcPr>
            <w:tcW w:w="7520" w:type="dxa"/>
            <w:vAlign w:val="bottom"/>
            <w:gridSpan w:val="2"/>
          </w:tcPr>
          <w:p>
            <w:pPr>
              <w:ind w:left="100"/>
              <w:spacing w:after="0"/>
              <w:rPr>
                <w:sz w:val="20"/>
                <w:szCs w:val="20"/>
                <w:color w:val="auto"/>
              </w:rPr>
            </w:pPr>
            <w:r>
              <w:rPr>
                <w:rFonts w:ascii="Arial" w:cs="Arial" w:eastAsia="Arial" w:hAnsi="Arial"/>
                <w:sz w:val="14"/>
                <w:szCs w:val="14"/>
                <w:color w:val="auto"/>
              </w:rPr>
              <w:t>Age at retirement</w:t>
            </w:r>
          </w:p>
        </w:tc>
        <w:tc>
          <w:tcPr>
            <w:tcW w:w="0" w:type="dxa"/>
            <w:vAlign w:val="bottom"/>
          </w:tcPr>
          <w:p>
            <w:pPr>
              <w:spacing w:after="0"/>
              <w:rPr>
                <w:sz w:val="1"/>
                <w:szCs w:val="1"/>
                <w:color w:val="auto"/>
              </w:rPr>
            </w:pPr>
          </w:p>
        </w:tc>
      </w:tr>
      <w:tr>
        <w:trPr>
          <w:trHeight w:val="241"/>
        </w:trPr>
        <w:tc>
          <w:tcPr>
            <w:tcW w:w="1440" w:type="dxa"/>
            <w:vAlign w:val="bottom"/>
            <w:tcBorders>
              <w:right w:val="single" w:sz="8" w:color="7F7F7F"/>
            </w:tcBorders>
            <w:shd w:val="clear" w:color="auto" w:fill="F2F2F2"/>
          </w:tcPr>
          <w:p>
            <w:pPr>
              <w:spacing w:after="0"/>
              <w:rPr>
                <w:sz w:val="20"/>
                <w:szCs w:val="20"/>
                <w:color w:val="auto"/>
              </w:rPr>
            </w:pPr>
          </w:p>
        </w:tc>
        <w:tc>
          <w:tcPr>
            <w:tcW w:w="1520" w:type="dxa"/>
            <w:vAlign w:val="bottom"/>
            <w:tcBorders>
              <w:right w:val="single" w:sz="8" w:color="7F7F7F"/>
            </w:tcBorders>
          </w:tcPr>
          <w:p>
            <w:pPr>
              <w:spacing w:after="0"/>
              <w:rPr>
                <w:sz w:val="20"/>
                <w:szCs w:val="20"/>
                <w:color w:val="auto"/>
              </w:rPr>
            </w:pPr>
          </w:p>
        </w:tc>
        <w:tc>
          <w:tcPr>
            <w:tcW w:w="7980" w:type="dxa"/>
            <w:vAlign w:val="bottom"/>
            <w:gridSpan w:val="3"/>
          </w:tcPr>
          <w:p>
            <w:pPr>
              <w:ind w:left="120"/>
              <w:spacing w:after="0"/>
              <w:rPr>
                <w:sz w:val="20"/>
                <w:szCs w:val="20"/>
                <w:color w:val="auto"/>
              </w:rPr>
            </w:pPr>
            <w:r>
              <w:rPr>
                <w:rFonts w:ascii="Arial" w:cs="Arial" w:eastAsia="Arial" w:hAnsi="Arial"/>
                <w:sz w:val="14"/>
                <w:szCs w:val="14"/>
                <w:color w:val="auto"/>
              </w:rPr>
              <w:t>SERP benefits are reduced by benefits payable under the broad-based Cash Balance Plan.</w:t>
            </w:r>
          </w:p>
        </w:tc>
        <w:tc>
          <w:tcPr>
            <w:tcW w:w="0" w:type="dxa"/>
            <w:vAlign w:val="bottom"/>
          </w:tcPr>
          <w:p>
            <w:pPr>
              <w:spacing w:after="0"/>
              <w:rPr>
                <w:sz w:val="1"/>
                <w:szCs w:val="1"/>
                <w:color w:val="auto"/>
              </w:rPr>
            </w:pPr>
          </w:p>
        </w:tc>
      </w:tr>
      <w:tr>
        <w:trPr>
          <w:trHeight w:val="61"/>
        </w:trPr>
        <w:tc>
          <w:tcPr>
            <w:tcW w:w="1440" w:type="dxa"/>
            <w:vAlign w:val="bottom"/>
            <w:tcBorders>
              <w:bottom w:val="single" w:sz="8" w:color="auto"/>
              <w:right w:val="single" w:sz="8" w:color="7F7F7F"/>
            </w:tcBorders>
            <w:shd w:val="clear" w:color="auto" w:fill="F2F2F2"/>
          </w:tcPr>
          <w:p>
            <w:pPr>
              <w:spacing w:after="0"/>
              <w:rPr>
                <w:sz w:val="5"/>
                <w:szCs w:val="5"/>
                <w:color w:val="auto"/>
              </w:rPr>
            </w:pPr>
          </w:p>
        </w:tc>
        <w:tc>
          <w:tcPr>
            <w:tcW w:w="1520" w:type="dxa"/>
            <w:vAlign w:val="bottom"/>
            <w:tcBorders>
              <w:bottom w:val="single" w:sz="8" w:color="auto"/>
              <w:right w:val="single" w:sz="8" w:color="7F7F7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75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20"/>
                <w:szCs w:val="20"/>
                <w:color w:val="auto"/>
              </w:rPr>
            </w:pPr>
            <w:r>
              <w:rPr>
                <w:rFonts w:ascii="Arial" w:cs="Arial" w:eastAsia="Arial" w:hAnsi="Arial"/>
                <w:sz w:val="12"/>
                <w:szCs w:val="12"/>
                <w:color w:val="auto"/>
              </w:rPr>
              <w:t>Table 20</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80" w:right="120" w:hanging="313"/>
        <w:spacing w:after="0" w:line="279" w:lineRule="auto"/>
        <w:tabs>
          <w:tab w:leader="none" w:pos="480" w:val="left"/>
        </w:tabs>
        <w:numPr>
          <w:ilvl w:val="0"/>
          <w:numId w:val="78"/>
        </w:numPr>
        <w:rPr>
          <w:rFonts w:ascii="Arial" w:cs="Arial" w:eastAsia="Arial" w:hAnsi="Arial"/>
          <w:sz w:val="12"/>
          <w:szCs w:val="12"/>
          <w:color w:val="auto"/>
        </w:rPr>
      </w:pPr>
      <w:r>
        <w:rPr>
          <w:rFonts w:ascii="Arial" w:cs="Arial" w:eastAsia="Arial" w:hAnsi="Arial"/>
          <w:sz w:val="12"/>
          <w:szCs w:val="12"/>
          <w:color w:val="auto"/>
        </w:rPr>
        <w:t>Final average pay is the average base salary for the two consecutive years of highest base salary prior to retirement plus the average of the three highest annual bonuses during the 10 years prior to retirement.</w:t>
      </w:r>
    </w:p>
    <w:p>
      <w:pPr>
        <w:spacing w:after="0" w:line="150" w:lineRule="exact"/>
        <w:rPr>
          <w:sz w:val="20"/>
          <w:szCs w:val="20"/>
          <w:color w:val="auto"/>
        </w:rPr>
      </w:pPr>
    </w:p>
    <w:p>
      <w:pPr>
        <w:ind w:left="160"/>
        <w:spacing w:after="0"/>
        <w:tabs>
          <w:tab w:leader="none" w:pos="600" w:val="left"/>
        </w:tabs>
        <w:rPr>
          <w:sz w:val="20"/>
          <w:szCs w:val="20"/>
          <w:color w:val="auto"/>
        </w:rPr>
      </w:pPr>
      <w:r>
        <w:rPr>
          <w:rFonts w:ascii="Arial" w:cs="Arial" w:eastAsia="Arial" w:hAnsi="Arial"/>
          <w:sz w:val="21"/>
          <w:szCs w:val="21"/>
          <w:b w:val="1"/>
          <w:bCs w:val="1"/>
          <w:color w:val="auto"/>
        </w:rPr>
        <w:t>5. </w:t>
        <w:tab/>
        <w:t>Severance and Change in Control Arrangements</w:t>
      </w:r>
    </w:p>
    <w:p>
      <w:pPr>
        <w:spacing w:after="0" w:line="125" w:lineRule="exact"/>
        <w:rPr>
          <w:sz w:val="20"/>
          <w:szCs w:val="20"/>
          <w:color w:val="auto"/>
        </w:rPr>
      </w:pPr>
    </w:p>
    <w:p>
      <w:pPr>
        <w:ind w:left="160" w:right="340"/>
        <w:spacing w:after="0" w:line="281" w:lineRule="auto"/>
        <w:rPr>
          <w:sz w:val="20"/>
          <w:szCs w:val="20"/>
          <w:color w:val="auto"/>
        </w:rPr>
      </w:pPr>
      <w:r>
        <w:rPr>
          <w:rFonts w:ascii="Arial" w:cs="Arial" w:eastAsia="Arial" w:hAnsi="Arial"/>
          <w:sz w:val="14"/>
          <w:szCs w:val="14"/>
          <w:color w:val="auto"/>
        </w:rPr>
        <w:t>None of our executive officers has an employment agreement, but each of our named executive officers has a severance pay agreement that includes change in control features.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Rationale for Providing Severance Pay Agreements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Compensation and Talent Development Committee believes severance pay agreements, which are a prevalent market practice, are effective in:</w:t>
      </w:r>
    </w:p>
    <w:p>
      <w:pPr>
        <w:spacing w:after="0" w:line="120" w:lineRule="exact"/>
        <w:rPr>
          <w:sz w:val="20"/>
          <w:szCs w:val="20"/>
          <w:color w:val="auto"/>
        </w:rPr>
      </w:pPr>
    </w:p>
    <w:p>
      <w:pPr>
        <w:ind w:left="800" w:hanging="312"/>
        <w:spacing w:after="0"/>
        <w:tabs>
          <w:tab w:leader="none" w:pos="800" w:val="left"/>
        </w:tabs>
        <w:numPr>
          <w:ilvl w:val="0"/>
          <w:numId w:val="79"/>
        </w:numPr>
        <w:rPr>
          <w:rFonts w:ascii="Times New Roman" w:cs="Times New Roman" w:eastAsia="Times New Roman" w:hAnsi="Times New Roman"/>
          <w:sz w:val="14"/>
          <w:szCs w:val="14"/>
          <w:color w:val="005CB9"/>
        </w:rPr>
      </w:pPr>
      <w:r>
        <w:rPr>
          <w:rFonts w:ascii="Arial" w:cs="Arial" w:eastAsia="Arial" w:hAnsi="Arial"/>
          <w:sz w:val="14"/>
          <w:szCs w:val="14"/>
          <w:color w:val="auto"/>
        </w:rPr>
        <w:t>Attracting executives who are leaving an existing employer</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79"/>
        </w:numPr>
        <w:rPr>
          <w:rFonts w:ascii="Times New Roman" w:cs="Times New Roman" w:eastAsia="Times New Roman" w:hAnsi="Times New Roman"/>
          <w:sz w:val="14"/>
          <w:szCs w:val="14"/>
          <w:color w:val="005CB9"/>
        </w:rPr>
      </w:pPr>
      <w:r>
        <w:rPr>
          <w:rFonts w:ascii="Arial" w:cs="Arial" w:eastAsia="Arial" w:hAnsi="Arial"/>
          <w:sz w:val="14"/>
          <w:szCs w:val="14"/>
          <w:color w:val="auto"/>
        </w:rPr>
        <w:t>Mitigating legal issues upon an employment separation</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79"/>
        </w:numPr>
        <w:rPr>
          <w:rFonts w:ascii="Times New Roman" w:cs="Times New Roman" w:eastAsia="Times New Roman" w:hAnsi="Times New Roman"/>
          <w:sz w:val="14"/>
          <w:szCs w:val="14"/>
          <w:color w:val="005CB9"/>
        </w:rPr>
      </w:pPr>
      <w:r>
        <w:rPr>
          <w:rFonts w:ascii="Arial" w:cs="Arial" w:eastAsia="Arial" w:hAnsi="Arial"/>
          <w:sz w:val="14"/>
          <w:szCs w:val="14"/>
          <w:color w:val="auto"/>
        </w:rPr>
        <w:t>Retaining talent during uncertain times</w:t>
      </w:r>
    </w:p>
    <w:p>
      <w:pPr>
        <w:spacing w:after="0" w:line="106" w:lineRule="exact"/>
        <w:rPr>
          <w:sz w:val="20"/>
          <w:szCs w:val="20"/>
          <w:color w:val="auto"/>
        </w:rPr>
      </w:pPr>
    </w:p>
    <w:p>
      <w:pPr>
        <w:ind w:left="160" w:right="160"/>
        <w:spacing w:after="0" w:line="281" w:lineRule="auto"/>
        <w:rPr>
          <w:sz w:val="20"/>
          <w:szCs w:val="20"/>
          <w:color w:val="auto"/>
        </w:rPr>
      </w:pPr>
      <w:r>
        <w:rPr>
          <w:rFonts w:ascii="Arial" w:cs="Arial" w:eastAsia="Arial" w:hAnsi="Arial"/>
          <w:sz w:val="14"/>
          <w:szCs w:val="14"/>
          <w:color w:val="auto"/>
        </w:rPr>
        <w:t>By mitigating the risks associated with potential job loss, severance pay agreements can reinforce management continuity, objectivity and focus on shareholder value. This can be particularly critical in actual or potential change in control situations.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Severance Pay Agreement Benefits</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severance pay agreements provide for cash payments and the continuation of certain other benefits for a limited period when:</w:t>
      </w:r>
    </w:p>
    <w:p>
      <w:pPr>
        <w:spacing w:after="0" w:line="120" w:lineRule="exact"/>
        <w:rPr>
          <w:sz w:val="20"/>
          <w:szCs w:val="20"/>
          <w:color w:val="auto"/>
        </w:rPr>
      </w:pPr>
    </w:p>
    <w:p>
      <w:pPr>
        <w:ind w:left="800" w:hanging="312"/>
        <w:spacing w:after="0"/>
        <w:tabs>
          <w:tab w:leader="none" w:pos="800" w:val="left"/>
        </w:tabs>
        <w:numPr>
          <w:ilvl w:val="0"/>
          <w:numId w:val="80"/>
        </w:numPr>
        <w:rPr>
          <w:rFonts w:ascii="Times New Roman" w:cs="Times New Roman" w:eastAsia="Times New Roman" w:hAnsi="Times New Roman"/>
          <w:sz w:val="14"/>
          <w:szCs w:val="14"/>
          <w:color w:val="005CB9"/>
        </w:rPr>
      </w:pPr>
      <w:r>
        <w:rPr>
          <w:rFonts w:ascii="Arial" w:cs="Arial" w:eastAsia="Arial" w:hAnsi="Arial"/>
          <w:sz w:val="14"/>
          <w:szCs w:val="14"/>
          <w:color w:val="auto"/>
        </w:rPr>
        <w:t>The company terminates an executive’s employment for reasons other than cause, or</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0"/>
        </w:numPr>
        <w:rPr>
          <w:rFonts w:ascii="Times New Roman" w:cs="Times New Roman" w:eastAsia="Times New Roman" w:hAnsi="Times New Roman"/>
          <w:sz w:val="14"/>
          <w:szCs w:val="14"/>
          <w:color w:val="005CB9"/>
        </w:rPr>
      </w:pPr>
      <w:r>
        <w:rPr>
          <w:rFonts w:ascii="Arial" w:cs="Arial" w:eastAsia="Arial" w:hAnsi="Arial"/>
          <w:sz w:val="14"/>
          <w:szCs w:val="14"/>
          <w:color w:val="auto"/>
        </w:rPr>
        <w:t>The executive resigns for “good reason.”</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Payments are not required under the terms of the severance pay agreements when:</w:t>
      </w:r>
    </w:p>
    <w:p>
      <w:pPr>
        <w:spacing w:after="0" w:line="120" w:lineRule="exact"/>
        <w:rPr>
          <w:sz w:val="20"/>
          <w:szCs w:val="20"/>
          <w:color w:val="auto"/>
        </w:rPr>
      </w:pPr>
    </w:p>
    <w:p>
      <w:pPr>
        <w:ind w:left="800" w:hanging="312"/>
        <w:spacing w:after="0"/>
        <w:tabs>
          <w:tab w:leader="none" w:pos="800" w:val="left"/>
        </w:tabs>
        <w:numPr>
          <w:ilvl w:val="0"/>
          <w:numId w:val="81"/>
        </w:numPr>
        <w:rPr>
          <w:rFonts w:ascii="Times New Roman" w:cs="Times New Roman" w:eastAsia="Times New Roman" w:hAnsi="Times New Roman"/>
          <w:sz w:val="14"/>
          <w:szCs w:val="14"/>
          <w:color w:val="005CB9"/>
        </w:rPr>
      </w:pPr>
      <w:r>
        <w:rPr>
          <w:rFonts w:ascii="Arial" w:cs="Arial" w:eastAsia="Arial" w:hAnsi="Arial"/>
          <w:sz w:val="14"/>
          <w:szCs w:val="14"/>
          <w:color w:val="auto"/>
        </w:rPr>
        <w:t>A termination is for cause, or</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1"/>
        </w:numPr>
        <w:rPr>
          <w:rFonts w:ascii="Times New Roman" w:cs="Times New Roman" w:eastAsia="Times New Roman" w:hAnsi="Times New Roman"/>
          <w:sz w:val="14"/>
          <w:szCs w:val="14"/>
          <w:color w:val="005CB9"/>
        </w:rPr>
      </w:pPr>
      <w:r>
        <w:rPr>
          <w:rFonts w:ascii="Arial" w:cs="Arial" w:eastAsia="Arial" w:hAnsi="Arial"/>
          <w:sz w:val="14"/>
          <w:szCs w:val="14"/>
          <w:color w:val="auto"/>
        </w:rPr>
        <w:t>The executive voluntarily resigns other than for “good reason.”</w:t>
      </w:r>
    </w:p>
    <w:p>
      <w:pPr>
        <w:spacing w:after="0" w:line="106" w:lineRule="exact"/>
        <w:rPr>
          <w:sz w:val="20"/>
          <w:szCs w:val="20"/>
          <w:color w:val="auto"/>
        </w:rPr>
      </w:pPr>
    </w:p>
    <w:p>
      <w:pPr>
        <w:ind w:left="160" w:right="80"/>
        <w:spacing w:after="0" w:line="260" w:lineRule="auto"/>
        <w:rPr>
          <w:sz w:val="20"/>
          <w:szCs w:val="20"/>
          <w:color w:val="auto"/>
        </w:rPr>
      </w:pPr>
      <w:r>
        <w:rPr>
          <w:rFonts w:ascii="Arial" w:cs="Arial" w:eastAsia="Arial" w:hAnsi="Arial"/>
          <w:sz w:val="14"/>
          <w:szCs w:val="14"/>
          <w:color w:val="auto"/>
        </w:rPr>
        <w:t>A termination for reasons other than cause generally does not include terminations based on willful and continued failure by the executive to perform his or her duties for the company. These provisions are intended to provide for benefits upon the company’s unilateral decision to terminate employment for reasons unrelated to the executive’s performance of his or her job functions.</w:t>
      </w:r>
    </w:p>
    <w:p>
      <w:pPr>
        <w:spacing w:after="0" w:line="65" w:lineRule="exact"/>
        <w:rPr>
          <w:sz w:val="20"/>
          <w:szCs w:val="20"/>
          <w:color w:val="auto"/>
        </w:rPr>
      </w:pPr>
    </w:p>
    <w:p>
      <w:pPr>
        <w:ind w:left="160" w:right="200"/>
        <w:spacing w:after="0" w:line="281" w:lineRule="auto"/>
        <w:rPr>
          <w:sz w:val="20"/>
          <w:szCs w:val="20"/>
          <w:color w:val="auto"/>
        </w:rPr>
      </w:pPr>
      <w:r>
        <w:rPr>
          <w:rFonts w:ascii="Arial" w:cs="Arial" w:eastAsia="Arial" w:hAnsi="Arial"/>
          <w:sz w:val="14"/>
          <w:szCs w:val="14"/>
          <w:color w:val="auto"/>
        </w:rPr>
        <w:t>A resignation for “good reason” may occur if there is an adverse change in scope of duties or in compensation and benefit opportunities and, following a change in control, changes in employment location. These provisions are intended to provide safeguards against arbitrary actions that may effectively force an executive to resign.</w:t>
      </w:r>
    </w:p>
    <w:p>
      <w:pPr>
        <w:spacing w:after="0" w:line="51" w:lineRule="exact"/>
        <w:rPr>
          <w:sz w:val="20"/>
          <w:szCs w:val="20"/>
          <w:color w:val="auto"/>
        </w:rPr>
      </w:pPr>
    </w:p>
    <w:p>
      <w:pPr>
        <w:ind w:left="160" w:right="40"/>
        <w:spacing w:after="0" w:line="281" w:lineRule="auto"/>
        <w:rPr>
          <w:sz w:val="20"/>
          <w:szCs w:val="20"/>
          <w:color w:val="auto"/>
        </w:rPr>
      </w:pPr>
      <w:r>
        <w:rPr>
          <w:rFonts w:ascii="Arial" w:cs="Arial" w:eastAsia="Arial" w:hAnsi="Arial"/>
          <w:sz w:val="14"/>
          <w:szCs w:val="14"/>
          <w:color w:val="auto"/>
        </w:rPr>
        <w:t>The agreements provide for additional benefits if a termination of employment were to occur within two years following (or such termination was deemed to have occurred, in cases of certain involuntary terminations, in connection with or in anticipation of) a change in control of the company.</w:t>
      </w:r>
    </w:p>
    <w:p>
      <w:pPr>
        <w:spacing w:after="0" w:line="51"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The agreements do not contain excise tax gross-up provisions. In addition, in order to receive additional benefits provided by these agreements, the applicable executive must, upon termination, enter into a general release in favor of the company, provide consulting services for the company for two years following the date of termination if requested, and agree to abide by certain contractual confidentiality and non-solicitation obligations. See “Compensation Tables—Severance and Change in Control Benefits” below for additional information about the terms of each named executive officer’s severance pay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212090</wp:posOffset>
            </wp:positionV>
            <wp:extent cx="739140" cy="153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63</w:t>
      </w:r>
    </w:p>
    <w:p>
      <w:pPr>
        <w:sectPr>
          <w:pgSz w:w="11900" w:h="16838" w:orient="portrait"/>
          <w:cols w:equalWidth="0" w:num="1">
            <w:col w:w="11080"/>
          </w:cols>
          <w:pgMar w:left="320" w:top="478"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Severance Payments Policy</w:t>
      </w:r>
    </w:p>
    <w:p>
      <w:pPr>
        <w:spacing w:after="0" w:line="110" w:lineRule="exact"/>
        <w:rPr>
          <w:sz w:val="20"/>
          <w:szCs w:val="20"/>
          <w:color w:val="auto"/>
        </w:rPr>
      </w:pPr>
    </w:p>
    <w:p>
      <w:pPr>
        <w:ind w:left="160" w:right="40"/>
        <w:spacing w:after="0" w:line="247" w:lineRule="auto"/>
        <w:rPr>
          <w:sz w:val="20"/>
          <w:szCs w:val="20"/>
          <w:color w:val="auto"/>
        </w:rPr>
      </w:pPr>
      <w:r>
        <w:rPr>
          <w:rFonts w:ascii="Arial" w:cs="Arial" w:eastAsia="Arial" w:hAnsi="Arial"/>
          <w:sz w:val="14"/>
          <w:szCs w:val="14"/>
          <w:color w:val="auto"/>
        </w:rPr>
        <w:t>In 2024, the Compensation and Talent Development Committee adopted a policy that requires shareholder approval or ratification of any new severance arrangement providing for severance benefits to a Sempra executive officer in excess of 2.99 times the sum of the executive officer’s annual base salary and target performance-based annual bonus, subject to exclusions for certain types of benefits such as, among others, acceleration of equity awards, retirement benefits, deferred compensation and post-termination consulting payments. The Compensation and Talent Development Committee believes this is an important additional feature of our executive compensation program that places meaningful limits on the amount of severance benefits our executives are eligible to receive and empowers shareholders with respect to the severance benefits we offer.</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Equity Award Treatment Upon Certain Terminations or a Change in Control</w:t>
      </w:r>
    </w:p>
    <w:p>
      <w:pPr>
        <w:spacing w:after="0" w:line="110" w:lineRule="exact"/>
        <w:rPr>
          <w:sz w:val="20"/>
          <w:szCs w:val="20"/>
          <w:color w:val="auto"/>
        </w:rPr>
      </w:pPr>
    </w:p>
    <w:p>
      <w:pPr>
        <w:ind w:left="160" w:right="80"/>
        <w:spacing w:after="0" w:line="249" w:lineRule="auto"/>
        <w:rPr>
          <w:sz w:val="20"/>
          <w:szCs w:val="20"/>
          <w:color w:val="auto"/>
        </w:rPr>
      </w:pPr>
      <w:r>
        <w:rPr>
          <w:rFonts w:ascii="Arial" w:cs="Arial" w:eastAsia="Arial" w:hAnsi="Arial"/>
          <w:sz w:val="14"/>
          <w:szCs w:val="14"/>
          <w:color w:val="auto"/>
        </w:rPr>
        <w:t>All long-term equity incentive awards are subject to double-trigger change in control vesting provisions. This means that awards do not automatically vest upon a change in control. Rather, except under limited circumstances, vesting is only accelerated upon a termination of employment that meets certain criteria in connection with a change in control. In the event of a termination of employment other than in connection with a change in control, equity awards are generally forfeited to the extent they are not vested at the time of termination, subject to accelerated vesting or non-forfeiture upon termination in certain specific circumstances. See “Compensation Tables—Severance and Change in Control Benefits” below for additional information.</w:t>
      </w:r>
    </w:p>
    <w:p>
      <w:pPr>
        <w:spacing w:after="0" w:line="74" w:lineRule="exact"/>
        <w:rPr>
          <w:sz w:val="20"/>
          <w:szCs w:val="20"/>
          <w:color w:val="auto"/>
        </w:rPr>
      </w:pPr>
    </w:p>
    <w:p>
      <w:pPr>
        <w:ind w:left="160" w:right="200"/>
        <w:spacing w:after="0" w:line="281" w:lineRule="auto"/>
        <w:rPr>
          <w:sz w:val="20"/>
          <w:szCs w:val="20"/>
          <w:color w:val="auto"/>
        </w:rPr>
      </w:pPr>
      <w:r>
        <w:rPr>
          <w:rFonts w:ascii="Arial" w:cs="Arial" w:eastAsia="Arial" w:hAnsi="Arial"/>
          <w:sz w:val="14"/>
          <w:szCs w:val="14"/>
          <w:color w:val="auto"/>
        </w:rPr>
        <w:t>The Compensation and Talent Development Committee utilizes double-trigger vesting provisions in connection with a change in control because it believes double-trigger vesting aligns with current market practices while still providing appropriate benefits to executives in the event of a termination in connection with a change in control.</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Compensation and Talent Development Committee Roles and Responsibilities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Overview</w:t>
      </w:r>
    </w:p>
    <w:p>
      <w:pPr>
        <w:spacing w:after="0" w:line="125" w:lineRule="exact"/>
        <w:rPr>
          <w:sz w:val="20"/>
          <w:szCs w:val="20"/>
          <w:color w:val="auto"/>
        </w:rPr>
      </w:pPr>
    </w:p>
    <w:p>
      <w:pPr>
        <w:ind w:left="160"/>
        <w:spacing w:after="0" w:line="260" w:lineRule="auto"/>
        <w:rPr>
          <w:sz w:val="20"/>
          <w:szCs w:val="20"/>
          <w:color w:val="auto"/>
        </w:rPr>
      </w:pPr>
      <w:r>
        <w:rPr>
          <w:rFonts w:ascii="Arial" w:cs="Arial" w:eastAsia="Arial" w:hAnsi="Arial"/>
          <w:sz w:val="14"/>
          <w:szCs w:val="14"/>
          <w:color w:val="auto"/>
        </w:rPr>
        <w:t>One of the Compensation and Talent Development Committee’s primary functions is to establish our compensation principles and policies and design and oversee our executive compensation program. The Compensation and Talent Development Committee reviews, determines and approves the compensation levels, including base salary and performance standards and levels of awards under annual and long-term incentive plans, for our Chief Executive Officer and other executive officers.</w:t>
      </w:r>
    </w:p>
    <w:p>
      <w:pPr>
        <w:spacing w:after="0" w:line="65" w:lineRule="exact"/>
        <w:rPr>
          <w:sz w:val="20"/>
          <w:szCs w:val="20"/>
          <w:color w:val="auto"/>
        </w:rPr>
      </w:pPr>
    </w:p>
    <w:p>
      <w:pPr>
        <w:ind w:left="160" w:right="740"/>
        <w:spacing w:after="0" w:line="281" w:lineRule="auto"/>
        <w:rPr>
          <w:sz w:val="20"/>
          <w:szCs w:val="20"/>
          <w:color w:val="auto"/>
        </w:rPr>
      </w:pPr>
      <w:r>
        <w:rPr>
          <w:rFonts w:ascii="Arial" w:cs="Arial" w:eastAsia="Arial" w:hAnsi="Arial"/>
          <w:sz w:val="14"/>
          <w:szCs w:val="14"/>
          <w:color w:val="auto"/>
        </w:rPr>
        <w:t>The Compensation and Talent Development Committee typically holds three regularly scheduled meetings each year and additional meetings when needed. The committee’s Chair approves the agenda prior to each meeting. Each member of the committee is required to be:</w:t>
      </w:r>
    </w:p>
    <w:p>
      <w:pPr>
        <w:spacing w:after="0" w:line="64" w:lineRule="exact"/>
        <w:rPr>
          <w:sz w:val="20"/>
          <w:szCs w:val="20"/>
          <w:color w:val="auto"/>
        </w:rPr>
      </w:pPr>
    </w:p>
    <w:p>
      <w:pPr>
        <w:ind w:left="800" w:hanging="312"/>
        <w:spacing w:after="0"/>
        <w:tabs>
          <w:tab w:leader="none" w:pos="800" w:val="left"/>
        </w:tabs>
        <w:numPr>
          <w:ilvl w:val="0"/>
          <w:numId w:val="82"/>
        </w:numPr>
        <w:rPr>
          <w:rFonts w:ascii="Times New Roman" w:cs="Times New Roman" w:eastAsia="Times New Roman" w:hAnsi="Times New Roman"/>
          <w:sz w:val="14"/>
          <w:szCs w:val="14"/>
          <w:color w:val="005CB9"/>
        </w:rPr>
      </w:pPr>
      <w:r>
        <w:rPr>
          <w:rFonts w:ascii="Arial" w:cs="Arial" w:eastAsia="Arial" w:hAnsi="Arial"/>
          <w:sz w:val="14"/>
          <w:szCs w:val="14"/>
          <w:color w:val="auto"/>
        </w:rPr>
        <w:t>An independent director under NYSE’s independence standards and applicable SEC rules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2"/>
        </w:numPr>
        <w:rPr>
          <w:rFonts w:ascii="Times New Roman" w:cs="Times New Roman" w:eastAsia="Times New Roman" w:hAnsi="Times New Roman"/>
          <w:sz w:val="14"/>
          <w:szCs w:val="14"/>
          <w:color w:val="005CB9"/>
        </w:rPr>
      </w:pPr>
      <w:r>
        <w:rPr>
          <w:rFonts w:ascii="Arial" w:cs="Arial" w:eastAsia="Arial" w:hAnsi="Arial"/>
          <w:sz w:val="14"/>
          <w:szCs w:val="14"/>
          <w:color w:val="auto"/>
        </w:rPr>
        <w:t>A non-employee director under Rule 16b-3 under the Exchange Act</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Compensation and Talent Development Committee:</w:t>
      </w:r>
    </w:p>
    <w:p>
      <w:pPr>
        <w:spacing w:after="0" w:line="120" w:lineRule="exact"/>
        <w:rPr>
          <w:sz w:val="20"/>
          <w:szCs w:val="20"/>
          <w:color w:val="auto"/>
        </w:rPr>
      </w:pPr>
    </w:p>
    <w:p>
      <w:pPr>
        <w:ind w:left="800" w:hanging="312"/>
        <w:spacing w:after="0"/>
        <w:tabs>
          <w:tab w:leader="none" w:pos="800" w:val="left"/>
        </w:tabs>
        <w:numPr>
          <w:ilvl w:val="0"/>
          <w:numId w:val="83"/>
        </w:numPr>
        <w:rPr>
          <w:rFonts w:ascii="Times New Roman" w:cs="Times New Roman" w:eastAsia="Times New Roman" w:hAnsi="Times New Roman"/>
          <w:sz w:val="14"/>
          <w:szCs w:val="14"/>
          <w:color w:val="005CB9"/>
        </w:rPr>
      </w:pPr>
      <w:r>
        <w:rPr>
          <w:rFonts w:ascii="Arial" w:cs="Arial" w:eastAsia="Arial" w:hAnsi="Arial"/>
          <w:sz w:val="14"/>
          <w:szCs w:val="14"/>
          <w:color w:val="auto"/>
        </w:rPr>
        <w:t>Sets its regular meeting dates and standing agenda items annually</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3"/>
        </w:numPr>
        <w:rPr>
          <w:rFonts w:ascii="Times New Roman" w:cs="Times New Roman" w:eastAsia="Times New Roman" w:hAnsi="Times New Roman"/>
          <w:sz w:val="14"/>
          <w:szCs w:val="14"/>
          <w:color w:val="005CB9"/>
        </w:rPr>
      </w:pPr>
      <w:r>
        <w:rPr>
          <w:rFonts w:ascii="Arial" w:cs="Arial" w:eastAsia="Arial" w:hAnsi="Arial"/>
          <w:sz w:val="14"/>
          <w:szCs w:val="14"/>
          <w:color w:val="auto"/>
        </w:rPr>
        <w:t>Considers standing agenda items and other topics at each meeting</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3"/>
        </w:numPr>
        <w:rPr>
          <w:rFonts w:ascii="Times New Roman" w:cs="Times New Roman" w:eastAsia="Times New Roman" w:hAnsi="Times New Roman"/>
          <w:sz w:val="14"/>
          <w:szCs w:val="14"/>
          <w:color w:val="005CB9"/>
        </w:rPr>
      </w:pPr>
      <w:r>
        <w:rPr>
          <w:rFonts w:ascii="Arial" w:cs="Arial" w:eastAsia="Arial" w:hAnsi="Arial"/>
          <w:sz w:val="14"/>
          <w:szCs w:val="14"/>
          <w:color w:val="auto"/>
        </w:rPr>
        <w:t>Holds an executive session without management present at each regular meeting</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3"/>
        </w:numPr>
        <w:rPr>
          <w:rFonts w:ascii="Times New Roman" w:cs="Times New Roman" w:eastAsia="Times New Roman" w:hAnsi="Times New Roman"/>
          <w:sz w:val="14"/>
          <w:szCs w:val="14"/>
          <w:color w:val="005CB9"/>
        </w:rPr>
      </w:pPr>
      <w:r>
        <w:rPr>
          <w:rFonts w:ascii="Arial" w:cs="Arial" w:eastAsia="Arial" w:hAnsi="Arial"/>
          <w:sz w:val="14"/>
          <w:szCs w:val="14"/>
          <w:color w:val="auto"/>
        </w:rPr>
        <w:t>Retains its own independent compensation advisor</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3"/>
        </w:numPr>
        <w:rPr>
          <w:rFonts w:ascii="Times New Roman" w:cs="Times New Roman" w:eastAsia="Times New Roman" w:hAnsi="Times New Roman"/>
          <w:sz w:val="14"/>
          <w:szCs w:val="14"/>
          <w:color w:val="005CB9"/>
        </w:rPr>
      </w:pPr>
      <w:r>
        <w:rPr>
          <w:rFonts w:ascii="Arial" w:cs="Arial" w:eastAsia="Arial" w:hAnsi="Arial"/>
          <w:sz w:val="14"/>
          <w:szCs w:val="14"/>
          <w:color w:val="auto"/>
        </w:rPr>
        <w:t>Recommends changes to its charter for approval by the board as needed</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3"/>
        </w:numPr>
        <w:rPr>
          <w:rFonts w:ascii="Times New Roman" w:cs="Times New Roman" w:eastAsia="Times New Roman" w:hAnsi="Times New Roman"/>
          <w:sz w:val="14"/>
          <w:szCs w:val="14"/>
          <w:color w:val="005CB9"/>
        </w:rPr>
      </w:pPr>
      <w:r>
        <w:rPr>
          <w:rFonts w:ascii="Arial" w:cs="Arial" w:eastAsia="Arial" w:hAnsi="Arial"/>
          <w:sz w:val="14"/>
          <w:szCs w:val="14"/>
          <w:color w:val="auto"/>
        </w:rPr>
        <w:t>Conducts an annual self-assessment of its effectiveness in compliance with its charter</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3"/>
        </w:numPr>
        <w:rPr>
          <w:rFonts w:ascii="Times New Roman" w:cs="Times New Roman" w:eastAsia="Times New Roman" w:hAnsi="Times New Roman"/>
          <w:sz w:val="14"/>
          <w:szCs w:val="14"/>
          <w:color w:val="005CB9"/>
        </w:rPr>
      </w:pPr>
      <w:r>
        <w:rPr>
          <w:rFonts w:ascii="Arial" w:cs="Arial" w:eastAsia="Arial" w:hAnsi="Arial"/>
          <w:sz w:val="14"/>
          <w:szCs w:val="14"/>
          <w:color w:val="auto"/>
        </w:rPr>
        <w:t>Provides regular updates to the full board regarding its proceedings, recommendations and decisions</w:t>
      </w:r>
    </w:p>
    <w:p>
      <w:pPr>
        <w:spacing w:after="0" w:line="106" w:lineRule="exact"/>
        <w:rPr>
          <w:sz w:val="20"/>
          <w:szCs w:val="20"/>
          <w:color w:val="auto"/>
        </w:rPr>
      </w:pPr>
    </w:p>
    <w:p>
      <w:pPr>
        <w:ind w:left="160" w:right="100"/>
        <w:spacing w:after="0" w:line="260" w:lineRule="auto"/>
        <w:rPr>
          <w:sz w:val="20"/>
          <w:szCs w:val="20"/>
          <w:color w:val="auto"/>
        </w:rPr>
      </w:pPr>
      <w:r>
        <w:rPr>
          <w:rFonts w:ascii="Arial" w:cs="Arial" w:eastAsia="Arial" w:hAnsi="Arial"/>
          <w:sz w:val="14"/>
          <w:szCs w:val="14"/>
          <w:color w:val="auto"/>
        </w:rPr>
        <w:t>The Compensation and Talent Development Committee’s charter is available on our website at www.sempra.com under the “Corporate governance” tab of the “Investors” tab. The Compensation and Talent Development Committee’s major responsibilities are discussed under “Corporate Governance—Board Committees—Compensation and Talent Development Committee” above.</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The Compensation and Talent Development Committee’s Advisors</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Compensation and Talent Development Committee retains an independent advisor to assist with executive compensation matters.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committee has the sole authority to select, compensate and terminate its external advisors and is directly responsible for the oversight of the work of any such advisors.</w:t>
      </w:r>
    </w:p>
    <w:p>
      <w:pPr>
        <w:spacing w:after="0" w:line="106" w:lineRule="exact"/>
        <w:rPr>
          <w:sz w:val="20"/>
          <w:szCs w:val="20"/>
          <w:color w:val="auto"/>
        </w:rPr>
      </w:pPr>
    </w:p>
    <w:p>
      <w:pPr>
        <w:jc w:val="both"/>
        <w:ind w:left="160" w:right="120"/>
        <w:spacing w:after="0" w:line="260" w:lineRule="auto"/>
        <w:rPr>
          <w:sz w:val="20"/>
          <w:szCs w:val="20"/>
          <w:color w:val="auto"/>
        </w:rPr>
      </w:pPr>
      <w:r>
        <w:rPr>
          <w:rFonts w:ascii="Arial" w:cs="Arial" w:eastAsia="Arial" w:hAnsi="Arial"/>
          <w:sz w:val="14"/>
          <w:szCs w:val="14"/>
          <w:color w:val="auto"/>
        </w:rPr>
        <w:t>In 2025, the committee retained Exequity as its independent compensation consultant. The committee has assessed Exequity’s independence pursuant to NYSE and SEC rules and concluded that there are no conflicts of interest. Exequity is a nationally recognized independent provider of executive compensation advisory services and is not affiliated with any of the company’s other service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69297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64               </w:t>
      </w:r>
      <w:r>
        <w:rPr>
          <w:sz w:val="1"/>
          <w:szCs w:val="1"/>
          <w:color w:val="auto"/>
        </w:rPr>
        <w:drawing>
          <wp:inline distT="0" distB="0" distL="0" distR="0">
            <wp:extent cx="739140" cy="144145"/>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40"/>
          </w:cols>
          <w:pgMar w:left="320" w:top="478" w:right="5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56" w:lineRule="exact"/>
        <w:rPr>
          <w:sz w:val="20"/>
          <w:szCs w:val="20"/>
          <w:color w:val="auto"/>
        </w:rPr>
      </w:pPr>
    </w:p>
    <w:p>
      <w:pPr>
        <w:ind w:left="160" w:right="880"/>
        <w:spacing w:after="0" w:line="281" w:lineRule="auto"/>
        <w:rPr>
          <w:sz w:val="20"/>
          <w:szCs w:val="20"/>
          <w:color w:val="auto"/>
        </w:rPr>
      </w:pPr>
      <w:r>
        <w:rPr>
          <w:rFonts w:ascii="Arial" w:cs="Arial" w:eastAsia="Arial" w:hAnsi="Arial"/>
          <w:sz w:val="14"/>
          <w:szCs w:val="14"/>
          <w:color w:val="auto"/>
        </w:rPr>
        <w:t>An Exequity representative attended and met in executive session with committee members at all of the 2025 regular meetings of the Compensation and Talent Development Committee. Exequity’s role and responsibilities in assisting the committee in 2025 were as follows:</w:t>
      </w:r>
    </w:p>
    <w:p>
      <w:pPr>
        <w:spacing w:after="0" w:line="64" w:lineRule="exact"/>
        <w:rPr>
          <w:sz w:val="20"/>
          <w:szCs w:val="20"/>
          <w:color w:val="auto"/>
        </w:rPr>
      </w:pPr>
    </w:p>
    <w:p>
      <w:pPr>
        <w:ind w:left="800" w:hanging="312"/>
        <w:spacing w:after="0"/>
        <w:tabs>
          <w:tab w:leader="none" w:pos="800" w:val="left"/>
        </w:tabs>
        <w:numPr>
          <w:ilvl w:val="0"/>
          <w:numId w:val="84"/>
        </w:numPr>
        <w:rPr>
          <w:rFonts w:ascii="Times New Roman" w:cs="Times New Roman" w:eastAsia="Times New Roman" w:hAnsi="Times New Roman"/>
          <w:sz w:val="14"/>
          <w:szCs w:val="14"/>
          <w:color w:val="005CB9"/>
        </w:rPr>
      </w:pPr>
      <w:r>
        <w:rPr>
          <w:rFonts w:ascii="Arial" w:cs="Arial" w:eastAsia="Arial" w:hAnsi="Arial"/>
          <w:sz w:val="14"/>
          <w:szCs w:val="14"/>
          <w:color w:val="auto"/>
        </w:rPr>
        <w:t>Providing competitive data on compensation and relative performance of peer group companies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4"/>
        </w:numPr>
        <w:rPr>
          <w:rFonts w:ascii="Times New Roman" w:cs="Times New Roman" w:eastAsia="Times New Roman" w:hAnsi="Times New Roman"/>
          <w:sz w:val="14"/>
          <w:szCs w:val="14"/>
          <w:color w:val="005CB9"/>
        </w:rPr>
      </w:pPr>
      <w:r>
        <w:rPr>
          <w:rFonts w:ascii="Arial" w:cs="Arial" w:eastAsia="Arial" w:hAnsi="Arial"/>
          <w:sz w:val="14"/>
          <w:szCs w:val="14"/>
          <w:color w:val="auto"/>
        </w:rPr>
        <w:t>Recommending pay programs and salary increase budgets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4"/>
        </w:numPr>
        <w:rPr>
          <w:rFonts w:ascii="Times New Roman" w:cs="Times New Roman" w:eastAsia="Times New Roman" w:hAnsi="Times New Roman"/>
          <w:sz w:val="14"/>
          <w:szCs w:val="14"/>
          <w:color w:val="005CB9"/>
        </w:rPr>
      </w:pPr>
      <w:r>
        <w:rPr>
          <w:rFonts w:ascii="Arial" w:cs="Arial" w:eastAsia="Arial" w:hAnsi="Arial"/>
          <w:sz w:val="14"/>
          <w:szCs w:val="14"/>
          <w:color w:val="auto"/>
        </w:rPr>
        <w:t>Conducting a risk assessment of incentive programs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4"/>
        </w:numPr>
        <w:rPr>
          <w:rFonts w:ascii="Times New Roman" w:cs="Times New Roman" w:eastAsia="Times New Roman" w:hAnsi="Times New Roman"/>
          <w:sz w:val="14"/>
          <w:szCs w:val="14"/>
          <w:color w:val="005CB9"/>
        </w:rPr>
      </w:pPr>
      <w:r>
        <w:rPr>
          <w:rFonts w:ascii="Arial" w:cs="Arial" w:eastAsia="Arial" w:hAnsi="Arial"/>
          <w:sz w:val="14"/>
          <w:szCs w:val="14"/>
          <w:color w:val="auto"/>
        </w:rPr>
        <w:t>Making presentations on regulatory and legislative matters affecting executive compensation</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4"/>
        </w:numPr>
        <w:rPr>
          <w:rFonts w:ascii="Times New Roman" w:cs="Times New Roman" w:eastAsia="Times New Roman" w:hAnsi="Times New Roman"/>
          <w:sz w:val="14"/>
          <w:szCs w:val="14"/>
          <w:color w:val="005CB9"/>
        </w:rPr>
      </w:pPr>
      <w:r>
        <w:rPr>
          <w:rFonts w:ascii="Arial" w:cs="Arial" w:eastAsia="Arial" w:hAnsi="Arial"/>
          <w:sz w:val="14"/>
          <w:szCs w:val="14"/>
          <w:color w:val="auto"/>
        </w:rPr>
        <w:t>Providing opinions on the reasonableness of compensation</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4"/>
        </w:numPr>
        <w:rPr>
          <w:rFonts w:ascii="Times New Roman" w:cs="Times New Roman" w:eastAsia="Times New Roman" w:hAnsi="Times New Roman"/>
          <w:sz w:val="14"/>
          <w:szCs w:val="14"/>
          <w:color w:val="005CB9"/>
        </w:rPr>
      </w:pPr>
      <w:r>
        <w:rPr>
          <w:rFonts w:ascii="Arial" w:cs="Arial" w:eastAsia="Arial" w:hAnsi="Arial"/>
          <w:sz w:val="14"/>
          <w:szCs w:val="14"/>
          <w:color w:val="auto"/>
        </w:rPr>
        <w:t>Consulting on other related matters as needed</w:t>
      </w:r>
    </w:p>
    <w:p>
      <w:pPr>
        <w:spacing w:after="0" w:line="106" w:lineRule="exact"/>
        <w:rPr>
          <w:sz w:val="20"/>
          <w:szCs w:val="20"/>
          <w:color w:val="auto"/>
        </w:rPr>
      </w:pPr>
    </w:p>
    <w:p>
      <w:pPr>
        <w:ind w:left="160" w:right="220"/>
        <w:spacing w:after="0" w:line="281" w:lineRule="auto"/>
        <w:rPr>
          <w:sz w:val="20"/>
          <w:szCs w:val="20"/>
          <w:color w:val="auto"/>
        </w:rPr>
      </w:pPr>
      <w:r>
        <w:rPr>
          <w:rFonts w:ascii="Arial" w:cs="Arial" w:eastAsia="Arial" w:hAnsi="Arial"/>
          <w:sz w:val="14"/>
          <w:szCs w:val="14"/>
          <w:color w:val="auto"/>
        </w:rPr>
        <w:t>Exequity and its affiliates do not perform any work for the company outside of its advisory role to the Compensation and Talent Development Committee. The total amount paid to Exequity in 2025 was $327,184.</w:t>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Management’s Role in Compensation Matters</w:t>
      </w:r>
    </w:p>
    <w:p>
      <w:pPr>
        <w:spacing w:after="0" w:line="129" w:lineRule="exact"/>
        <w:rPr>
          <w:sz w:val="20"/>
          <w:szCs w:val="20"/>
          <w:color w:val="auto"/>
        </w:rPr>
      </w:pPr>
    </w:p>
    <w:p>
      <w:pPr>
        <w:ind w:left="160"/>
        <w:spacing w:after="0" w:line="249" w:lineRule="auto"/>
        <w:rPr>
          <w:sz w:val="20"/>
          <w:szCs w:val="20"/>
          <w:color w:val="auto"/>
        </w:rPr>
      </w:pPr>
      <w:r>
        <w:rPr>
          <w:rFonts w:ascii="Arial" w:cs="Arial" w:eastAsia="Arial" w:hAnsi="Arial"/>
          <w:sz w:val="14"/>
          <w:szCs w:val="14"/>
          <w:color w:val="auto"/>
        </w:rPr>
        <w:t>Our Chief Executive Officer and/or most senior human resources officer attend the non-executive session of each Compensation and Talent Development Committee meeting. Our human resources department assists the committee by preparing tally sheets and other compensation information and analyses for its consideration. Our accounting, finance and law departments also support the committee with respect to compensation-related matters, including issues related to broad-based benefit plans and regulatory reporting and compliance. The committee members and their independent compensation consultant, Exequity, generally receive presentation materials in advance of committee meetings.</w:t>
      </w:r>
    </w:p>
    <w:p>
      <w:pPr>
        <w:spacing w:after="0" w:line="74" w:lineRule="exact"/>
        <w:rPr>
          <w:sz w:val="20"/>
          <w:szCs w:val="20"/>
          <w:color w:val="auto"/>
        </w:rPr>
      </w:pPr>
    </w:p>
    <w:p>
      <w:pPr>
        <w:ind w:left="160" w:right="200"/>
        <w:spacing w:after="0" w:line="260" w:lineRule="auto"/>
        <w:rPr>
          <w:sz w:val="20"/>
          <w:szCs w:val="20"/>
          <w:color w:val="auto"/>
        </w:rPr>
      </w:pPr>
      <w:r>
        <w:rPr>
          <w:rFonts w:ascii="Arial" w:cs="Arial" w:eastAsia="Arial" w:hAnsi="Arial"/>
          <w:sz w:val="14"/>
          <w:szCs w:val="14"/>
          <w:color w:val="auto"/>
        </w:rPr>
        <w:t>Our executive officers do not determine or approve any element or component of their own compensation, nor are they present during the committee’s deliberations regarding their own compensation. This includes base salary, performance-based annual bonus, long-term equity-based incentives and all other aspects of compensation. Our Chief Executive Officer does not meet separately with the committee’s independent compensation consultant.</w:t>
      </w:r>
    </w:p>
    <w:p>
      <w:pPr>
        <w:spacing w:after="0" w:line="65" w:lineRule="exact"/>
        <w:rPr>
          <w:sz w:val="20"/>
          <w:szCs w:val="20"/>
          <w:color w:val="auto"/>
        </w:rPr>
      </w:pPr>
    </w:p>
    <w:p>
      <w:pPr>
        <w:ind w:left="160" w:right="20"/>
        <w:spacing w:after="0" w:line="253" w:lineRule="auto"/>
        <w:rPr>
          <w:sz w:val="20"/>
          <w:szCs w:val="20"/>
          <w:color w:val="auto"/>
        </w:rPr>
      </w:pPr>
      <w:r>
        <w:rPr>
          <w:rFonts w:ascii="Arial" w:cs="Arial" w:eastAsia="Arial" w:hAnsi="Arial"/>
          <w:sz w:val="14"/>
          <w:szCs w:val="14"/>
          <w:color w:val="auto"/>
        </w:rPr>
        <w:t>The Compensation and Talent Development Committee seeks our Chief Executive Officer’s views on the performance of our other executive officers, and the Chief Executive Officer makes pay recommendations for these officers. In addition, the committee frequently requests input from the Chief Executive Officer on what compensation programs and goals he believes might be most appropriate given the company’s strategic direction. The committee considers this input in addition to input received from its independent compensation consultant in setting goals, pay levels and program design.</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Managing Risk in Compensation Programs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Managing Risk</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Compensation and Talent Development Committee seeks to mitigate risk in our executive compensation program through the following policies and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156210</wp:posOffset>
            </wp:positionV>
            <wp:extent cx="6934200" cy="19742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34200" cy="197421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005CB9"/>
        </w:rPr>
        <w:t>Compensation Program Risk Mitigation</w:t>
      </w:r>
    </w:p>
    <w:p>
      <w:pPr>
        <w:spacing w:after="0" w:line="200" w:lineRule="exact"/>
        <w:rPr>
          <w:sz w:val="20"/>
          <w:szCs w:val="20"/>
          <w:color w:val="auto"/>
        </w:rPr>
      </w:pPr>
    </w:p>
    <w:p>
      <w:pPr>
        <w:spacing w:after="0" w:line="306" w:lineRule="exact"/>
        <w:rPr>
          <w:sz w:val="20"/>
          <w:szCs w:val="20"/>
          <w:color w:val="auto"/>
        </w:rPr>
      </w:pPr>
    </w:p>
    <w:tbl>
      <w:tblPr>
        <w:tblLayout w:type="fixed"/>
        <w:tblInd w:w="180" w:type="dxa"/>
        <w:tblCellMar>
          <w:top w:w="0" w:type="dxa"/>
          <w:left w:w="0" w:type="dxa"/>
          <w:bottom w:w="0" w:type="dxa"/>
          <w:right w:w="0" w:type="dxa"/>
        </w:tblCellMar>
      </w:tblPr>
      <w:tr>
        <w:trPr>
          <w:trHeight w:val="323"/>
        </w:trPr>
        <w:tc>
          <w:tcPr>
            <w:tcW w:w="760" w:type="dxa"/>
            <w:vAlign w:val="bottom"/>
          </w:tcPr>
          <w:p>
            <w:pPr>
              <w:jc w:val="right"/>
              <w:spacing w:after="0"/>
              <w:rPr>
                <w:sz w:val="20"/>
                <w:szCs w:val="20"/>
                <w:color w:val="auto"/>
              </w:rPr>
            </w:pPr>
            <w:r>
              <w:rPr>
                <w:rFonts w:ascii="Arial" w:cs="Arial" w:eastAsia="Arial" w:hAnsi="Arial"/>
                <w:sz w:val="28"/>
                <w:szCs w:val="28"/>
                <w:color w:val="auto"/>
                <w:vertAlign w:val="superscript"/>
              </w:rPr>
              <w:t xml:space="preserve">       </w:t>
            </w:r>
            <w:r>
              <w:rPr>
                <w:rFonts w:ascii="Times New Roman" w:cs="Times New Roman" w:eastAsia="Times New Roman" w:hAnsi="Times New Roman"/>
                <w:sz w:val="14"/>
                <w:szCs w:val="14"/>
                <w:color w:val="auto"/>
              </w:rPr>
              <w:t xml:space="preserve">    </w:t>
            </w:r>
          </w:p>
        </w:tc>
        <w:tc>
          <w:tcPr>
            <w:tcW w:w="3940" w:type="dxa"/>
            <w:vAlign w:val="bottom"/>
          </w:tcPr>
          <w:p>
            <w:pPr>
              <w:ind w:left="40"/>
              <w:spacing w:after="0"/>
              <w:rPr>
                <w:sz w:val="20"/>
                <w:szCs w:val="20"/>
                <w:color w:val="auto"/>
              </w:rPr>
            </w:pPr>
            <w:r>
              <w:rPr>
                <w:rFonts w:ascii="Arial" w:cs="Arial" w:eastAsia="Arial" w:hAnsi="Arial"/>
                <w:sz w:val="14"/>
                <w:szCs w:val="14"/>
                <w:color w:val="auto"/>
              </w:rPr>
              <w:t>Balance of short-term and long-term incentives</w:t>
            </w:r>
          </w:p>
        </w:tc>
        <w:tc>
          <w:tcPr>
            <w:tcW w:w="1620" w:type="dxa"/>
            <w:vAlign w:val="bottom"/>
          </w:tcPr>
          <w:p>
            <w:pPr>
              <w:jc w:val="right"/>
              <w:spacing w:after="0"/>
              <w:rPr>
                <w:sz w:val="20"/>
                <w:szCs w:val="20"/>
                <w:color w:val="auto"/>
              </w:rPr>
            </w:pPr>
            <w:r>
              <w:rPr>
                <w:rFonts w:ascii="Arial" w:cs="Arial" w:eastAsia="Arial" w:hAnsi="Arial"/>
                <w:sz w:val="28"/>
                <w:szCs w:val="28"/>
                <w:color w:val="auto"/>
                <w:vertAlign w:val="superscript"/>
              </w:rPr>
              <w:t xml:space="preserve">       </w:t>
            </w:r>
            <w:r>
              <w:rPr>
                <w:rFonts w:ascii="Times New Roman" w:cs="Times New Roman" w:eastAsia="Times New Roman" w:hAnsi="Times New Roman"/>
                <w:sz w:val="14"/>
                <w:szCs w:val="14"/>
                <w:color w:val="auto"/>
              </w:rPr>
              <w:t xml:space="preserve">    </w:t>
            </w:r>
          </w:p>
        </w:tc>
        <w:tc>
          <w:tcPr>
            <w:tcW w:w="4260" w:type="dxa"/>
            <w:vAlign w:val="bottom"/>
          </w:tcPr>
          <w:p>
            <w:pPr>
              <w:ind w:left="40"/>
              <w:spacing w:after="0"/>
              <w:rPr>
                <w:sz w:val="20"/>
                <w:szCs w:val="20"/>
                <w:color w:val="auto"/>
              </w:rPr>
            </w:pPr>
            <w:r>
              <w:rPr>
                <w:rFonts w:ascii="Arial" w:cs="Arial" w:eastAsia="Arial" w:hAnsi="Arial"/>
                <w:sz w:val="14"/>
                <w:szCs w:val="14"/>
                <w:color w:val="auto"/>
              </w:rPr>
              <w:t>Cash severance payments policy</w:t>
            </w:r>
          </w:p>
        </w:tc>
        <w:tc>
          <w:tcPr>
            <w:tcW w:w="0" w:type="dxa"/>
            <w:vAlign w:val="bottom"/>
          </w:tcPr>
          <w:p>
            <w:pPr>
              <w:spacing w:after="0"/>
              <w:rPr>
                <w:sz w:val="1"/>
                <w:szCs w:val="1"/>
                <w:color w:val="auto"/>
              </w:rPr>
            </w:pPr>
          </w:p>
        </w:tc>
      </w:tr>
      <w:tr>
        <w:trPr>
          <w:trHeight w:val="170"/>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3940" w:type="dxa"/>
            <w:vAlign w:val="bottom"/>
          </w:tcPr>
          <w:p>
            <w:pPr>
              <w:ind w:left="40"/>
              <w:spacing w:after="0"/>
              <w:rPr>
                <w:sz w:val="20"/>
                <w:szCs w:val="20"/>
                <w:color w:val="auto"/>
              </w:rPr>
            </w:pPr>
            <w:r>
              <w:rPr>
                <w:rFonts w:ascii="Arial" w:cs="Arial" w:eastAsia="Arial" w:hAnsi="Arial"/>
                <w:sz w:val="14"/>
                <w:szCs w:val="14"/>
                <w:color w:val="auto"/>
              </w:rPr>
              <w:t>Higher proportion of total compensation linked to</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4260" w:type="dxa"/>
            <w:vAlign w:val="bottom"/>
          </w:tcPr>
          <w:p>
            <w:pPr>
              <w:ind w:left="40"/>
              <w:spacing w:after="0"/>
              <w:rPr>
                <w:sz w:val="20"/>
                <w:szCs w:val="20"/>
                <w:color w:val="auto"/>
              </w:rPr>
            </w:pPr>
            <w:r>
              <w:rPr>
                <w:rFonts w:ascii="Arial" w:cs="Arial" w:eastAsia="Arial" w:hAnsi="Arial"/>
                <w:sz w:val="14"/>
                <w:szCs w:val="14"/>
                <w:color w:val="auto"/>
              </w:rPr>
              <w:t>Clawback policy</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long-term incentives</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4260" w:type="dxa"/>
            <w:vAlign w:val="bottom"/>
            <w:vMerge w:val="restart"/>
          </w:tcPr>
          <w:p>
            <w:pPr>
              <w:ind w:left="40"/>
              <w:spacing w:after="0"/>
              <w:rPr>
                <w:sz w:val="20"/>
                <w:szCs w:val="20"/>
                <w:color w:val="auto"/>
              </w:rPr>
            </w:pPr>
            <w:r>
              <w:rPr>
                <w:rFonts w:ascii="Arial" w:cs="Arial" w:eastAsia="Arial" w:hAnsi="Arial"/>
                <w:sz w:val="14"/>
                <w:szCs w:val="14"/>
                <w:color w:val="auto"/>
              </w:rPr>
              <w:t>Anti-hedging and anti-pledging policies</w:t>
            </w:r>
          </w:p>
        </w:tc>
        <w:tc>
          <w:tcPr>
            <w:tcW w:w="0" w:type="dxa"/>
            <w:vAlign w:val="bottom"/>
          </w:tcPr>
          <w:p>
            <w:pPr>
              <w:spacing w:after="0"/>
              <w:rPr>
                <w:sz w:val="1"/>
                <w:szCs w:val="1"/>
                <w:color w:val="auto"/>
              </w:rPr>
            </w:pPr>
          </w:p>
        </w:tc>
      </w:tr>
      <w:tr>
        <w:trPr>
          <w:trHeight w:val="147"/>
        </w:trPr>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3940" w:type="dxa"/>
            <w:vAlign w:val="bottom"/>
            <w:vMerge w:val="restart"/>
          </w:tcPr>
          <w:p>
            <w:pPr>
              <w:ind w:left="40"/>
              <w:spacing w:after="0"/>
              <w:rPr>
                <w:sz w:val="20"/>
                <w:szCs w:val="20"/>
                <w:color w:val="auto"/>
              </w:rPr>
            </w:pPr>
            <w:r>
              <w:rPr>
                <w:rFonts w:ascii="Arial" w:cs="Arial" w:eastAsia="Arial" w:hAnsi="Arial"/>
                <w:sz w:val="14"/>
                <w:szCs w:val="14"/>
                <w:color w:val="auto"/>
              </w:rPr>
              <w:t>Other elements of our incentive plan design and</w:t>
            </w:r>
          </w:p>
        </w:tc>
        <w:tc>
          <w:tcPr>
            <w:tcW w:w="1620" w:type="dxa"/>
            <w:vAlign w:val="bottom"/>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760" w:type="dxa"/>
            <w:vAlign w:val="bottom"/>
            <w:vMerge w:val="continue"/>
          </w:tcPr>
          <w:p>
            <w:pPr>
              <w:spacing w:after="0"/>
              <w:rPr>
                <w:sz w:val="9"/>
                <w:szCs w:val="9"/>
                <w:color w:val="auto"/>
              </w:rPr>
            </w:pPr>
          </w:p>
        </w:tc>
        <w:tc>
          <w:tcPr>
            <w:tcW w:w="3940" w:type="dxa"/>
            <w:vAlign w:val="bottom"/>
            <w:vMerge w:val="continue"/>
          </w:tcPr>
          <w:p>
            <w:pPr>
              <w:spacing w:after="0"/>
              <w:rPr>
                <w:sz w:val="9"/>
                <w:szCs w:val="9"/>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4260" w:type="dxa"/>
            <w:vAlign w:val="bottom"/>
            <w:vMerge w:val="restart"/>
          </w:tcPr>
          <w:p>
            <w:pPr>
              <w:ind w:left="40"/>
              <w:spacing w:after="0"/>
              <w:rPr>
                <w:sz w:val="20"/>
                <w:szCs w:val="20"/>
                <w:color w:val="auto"/>
              </w:rPr>
            </w:pPr>
            <w:r>
              <w:rPr>
                <w:rFonts w:ascii="Arial" w:cs="Arial" w:eastAsia="Arial" w:hAnsi="Arial"/>
                <w:sz w:val="14"/>
                <w:szCs w:val="14"/>
                <w:color w:val="auto"/>
              </w:rPr>
              <w:t>Independent third-party risk assessment</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performance measure selection</w:t>
            </w:r>
          </w:p>
        </w:tc>
        <w:tc>
          <w:tcPr>
            <w:tcW w:w="1620" w:type="dxa"/>
            <w:vAlign w:val="bottom"/>
            <w:vMerge w:val="continue"/>
          </w:tcPr>
          <w:p>
            <w:pPr>
              <w:spacing w:after="0"/>
              <w:rPr>
                <w:sz w:val="16"/>
                <w:szCs w:val="16"/>
                <w:color w:val="auto"/>
              </w:rPr>
            </w:pPr>
          </w:p>
        </w:tc>
        <w:tc>
          <w:tcPr>
            <w:tcW w:w="4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3940" w:type="dxa"/>
            <w:vAlign w:val="bottom"/>
          </w:tcPr>
          <w:p>
            <w:pPr>
              <w:ind w:left="40"/>
              <w:spacing w:after="0"/>
              <w:rPr>
                <w:sz w:val="20"/>
                <w:szCs w:val="20"/>
                <w:color w:val="auto"/>
              </w:rPr>
            </w:pPr>
            <w:r>
              <w:rPr>
                <w:rFonts w:ascii="Arial" w:cs="Arial" w:eastAsia="Arial" w:hAnsi="Arial"/>
                <w:sz w:val="14"/>
                <w:szCs w:val="14"/>
                <w:color w:val="auto"/>
              </w:rPr>
              <w:t>Share ownership guidelines</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4260" w:type="dxa"/>
            <w:vAlign w:val="bottom"/>
          </w:tcPr>
          <w:p>
            <w:pPr>
              <w:ind w:left="40"/>
              <w:spacing w:after="0"/>
              <w:rPr>
                <w:sz w:val="20"/>
                <w:szCs w:val="20"/>
                <w:color w:val="auto"/>
              </w:rPr>
            </w:pPr>
            <w:r>
              <w:rPr>
                <w:rFonts w:ascii="Arial" w:cs="Arial" w:eastAsia="Arial" w:hAnsi="Arial"/>
                <w:sz w:val="14"/>
                <w:szCs w:val="14"/>
                <w:color w:val="auto"/>
              </w:rPr>
              <w:t>Strong link between pay and performance to align with shareholder</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260" w:type="dxa"/>
            <w:vAlign w:val="bottom"/>
          </w:tcPr>
          <w:p>
            <w:pPr>
              <w:ind w:left="40"/>
              <w:spacing w:after="0"/>
              <w:rPr>
                <w:sz w:val="20"/>
                <w:szCs w:val="20"/>
                <w:color w:val="auto"/>
              </w:rPr>
            </w:pPr>
            <w:r>
              <w:rPr>
                <w:rFonts w:ascii="Arial" w:cs="Arial" w:eastAsia="Arial" w:hAnsi="Arial"/>
                <w:sz w:val="14"/>
                <w:szCs w:val="14"/>
                <w:color w:val="auto"/>
              </w:rPr>
              <w:t>interests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Risk Mitigation Features in Our Incentive Plan Design and Performance Measure Selection</w:t>
      </w:r>
    </w:p>
    <w:p>
      <w:pPr>
        <w:spacing w:after="0" w:line="12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Our 2025 performance-based annual bonus plan includes the following risk mitigation features:</w:t>
      </w:r>
    </w:p>
    <w:p>
      <w:pPr>
        <w:spacing w:after="0" w:line="120" w:lineRule="exact"/>
        <w:rPr>
          <w:sz w:val="20"/>
          <w:szCs w:val="20"/>
          <w:color w:val="auto"/>
        </w:rPr>
      </w:pPr>
    </w:p>
    <w:p>
      <w:pPr>
        <w:ind w:left="800" w:hanging="312"/>
        <w:spacing w:after="0"/>
        <w:tabs>
          <w:tab w:leader="none" w:pos="800" w:val="left"/>
        </w:tabs>
        <w:numPr>
          <w:ilvl w:val="0"/>
          <w:numId w:val="85"/>
        </w:numPr>
        <w:rPr>
          <w:rFonts w:ascii="Times New Roman" w:cs="Times New Roman" w:eastAsia="Times New Roman" w:hAnsi="Times New Roman"/>
          <w:sz w:val="14"/>
          <w:szCs w:val="14"/>
          <w:color w:val="005CB9"/>
        </w:rPr>
      </w:pPr>
      <w:r>
        <w:rPr>
          <w:rFonts w:ascii="Arial" w:cs="Arial" w:eastAsia="Arial" w:hAnsi="Arial"/>
          <w:sz w:val="14"/>
          <w:szCs w:val="14"/>
          <w:color w:val="auto"/>
        </w:rPr>
        <w:t>Limiting the payout at the maximum performance level to 200% of target</w:t>
      </w:r>
    </w:p>
    <w:p>
      <w:pPr>
        <w:spacing w:after="0" w:line="119" w:lineRule="exact"/>
        <w:rPr>
          <w:rFonts w:ascii="Times New Roman" w:cs="Times New Roman" w:eastAsia="Times New Roman" w:hAnsi="Times New Roman"/>
          <w:sz w:val="14"/>
          <w:szCs w:val="14"/>
          <w:color w:val="005CB9"/>
        </w:rPr>
      </w:pPr>
    </w:p>
    <w:p>
      <w:pPr>
        <w:ind w:left="800" w:right="180" w:hanging="312"/>
        <w:spacing w:after="0" w:line="259" w:lineRule="auto"/>
        <w:tabs>
          <w:tab w:leader="none" w:pos="800" w:val="left"/>
        </w:tabs>
        <w:numPr>
          <w:ilvl w:val="0"/>
          <w:numId w:val="85"/>
        </w:numPr>
        <w:rPr>
          <w:rFonts w:ascii="Times New Roman" w:cs="Times New Roman" w:eastAsia="Times New Roman" w:hAnsi="Times New Roman"/>
          <w:sz w:val="14"/>
          <w:szCs w:val="14"/>
          <w:color w:val="005CB9"/>
        </w:rPr>
      </w:pPr>
      <w:r>
        <w:rPr>
          <w:rFonts w:ascii="Arial" w:cs="Arial" w:eastAsia="Arial" w:hAnsi="Arial"/>
          <w:sz w:val="14"/>
          <w:szCs w:val="14"/>
          <w:color w:val="auto"/>
        </w:rPr>
        <w:t>Using a company financial performance measure that is based on the earnings reported in our financial statements, with certain adjustments that are limited and predefined and the potential for others related to unplanned or unforeseen items, all of which are made after thoughtful consideration by the Compensation and Talent Development Committee</w:t>
      </w:r>
    </w:p>
    <w:p>
      <w:pPr>
        <w:spacing w:after="0" w:line="79" w:lineRule="exact"/>
        <w:rPr>
          <w:rFonts w:ascii="Times New Roman" w:cs="Times New Roman" w:eastAsia="Times New Roman" w:hAnsi="Times New Roman"/>
          <w:sz w:val="14"/>
          <w:szCs w:val="14"/>
          <w:color w:val="005CB9"/>
        </w:rPr>
      </w:pPr>
    </w:p>
    <w:p>
      <w:pPr>
        <w:ind w:left="800" w:right="740" w:hanging="312"/>
        <w:spacing w:after="0" w:line="280" w:lineRule="auto"/>
        <w:tabs>
          <w:tab w:leader="none" w:pos="800" w:val="left"/>
        </w:tabs>
        <w:numPr>
          <w:ilvl w:val="0"/>
          <w:numId w:val="85"/>
        </w:numPr>
        <w:rPr>
          <w:rFonts w:ascii="Times New Roman" w:cs="Times New Roman" w:eastAsia="Times New Roman" w:hAnsi="Times New Roman"/>
          <w:sz w:val="14"/>
          <w:szCs w:val="14"/>
          <w:color w:val="005CB9"/>
        </w:rPr>
      </w:pPr>
      <w:r>
        <w:rPr>
          <w:rFonts w:ascii="Arial" w:cs="Arial" w:eastAsia="Arial" w:hAnsi="Arial"/>
          <w:sz w:val="14"/>
          <w:szCs w:val="14"/>
          <w:color w:val="auto"/>
        </w:rPr>
        <w:t>Incorporating Safety Measures and RBP Measures, which are performance measures that are critical to our infrastructure-intensive businesses and our operational success</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5"/>
        </w:numPr>
        <w:rPr>
          <w:rFonts w:ascii="Times New Roman" w:cs="Times New Roman" w:eastAsia="Times New Roman" w:hAnsi="Times New Roman"/>
          <w:sz w:val="14"/>
          <w:szCs w:val="14"/>
          <w:color w:val="005CB9"/>
        </w:rPr>
      </w:pPr>
      <w:r>
        <w:rPr>
          <w:rFonts w:ascii="Arial" w:cs="Arial" w:eastAsia="Arial" w:hAnsi="Arial"/>
          <w:sz w:val="14"/>
          <w:szCs w:val="14"/>
          <w:color w:val="auto"/>
        </w:rPr>
        <w:t>Providing the Compensation and Talent Development Committee with discretion over certain elements related to incentive plan payouts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234315</wp:posOffset>
            </wp:positionV>
            <wp:extent cx="739140" cy="1530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65</w:t>
      </w:r>
    </w:p>
    <w:p>
      <w:pPr>
        <w:sectPr>
          <w:pgSz w:w="11900" w:h="16838" w:orient="portrait"/>
          <w:cols w:equalWidth="0" w:num="1">
            <w:col w:w="11080"/>
          </w:cols>
          <w:pgMar w:left="320" w:top="478"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Our 2025 annual long-term incentive plan awards include the following risk mitigation features:</w:t>
      </w:r>
    </w:p>
    <w:p>
      <w:pPr>
        <w:spacing w:after="0" w:line="120" w:lineRule="exact"/>
        <w:rPr>
          <w:sz w:val="20"/>
          <w:szCs w:val="20"/>
          <w:color w:val="auto"/>
        </w:rPr>
      </w:pPr>
    </w:p>
    <w:p>
      <w:pPr>
        <w:ind w:left="800" w:right="360" w:hanging="312"/>
        <w:spacing w:after="0" w:line="280" w:lineRule="auto"/>
        <w:tabs>
          <w:tab w:leader="none" w:pos="800" w:val="left"/>
        </w:tabs>
        <w:numPr>
          <w:ilvl w:val="0"/>
          <w:numId w:val="86"/>
        </w:numPr>
        <w:rPr>
          <w:rFonts w:ascii="Times New Roman" w:cs="Times New Roman" w:eastAsia="Times New Roman" w:hAnsi="Times New Roman"/>
          <w:sz w:val="14"/>
          <w:szCs w:val="14"/>
          <w:color w:val="005CB9"/>
        </w:rPr>
      </w:pPr>
      <w:r>
        <w:rPr>
          <w:rFonts w:ascii="Arial" w:cs="Arial" w:eastAsia="Arial" w:hAnsi="Arial"/>
          <w:sz w:val="14"/>
          <w:szCs w:val="14"/>
          <w:color w:val="auto"/>
        </w:rPr>
        <w:t>Using a balanced mix of multiple types of awards and performance measures, consisting of a market-based performance measure (relative total shareholder return), a company financial performance measure (long-term EPS growth), a service-based measure (service-based restricted stock units) and stock options</w:t>
      </w:r>
    </w:p>
    <w:p>
      <w:pPr>
        <w:spacing w:after="0" w:line="64" w:lineRule="exact"/>
        <w:rPr>
          <w:rFonts w:ascii="Times New Roman" w:cs="Times New Roman" w:eastAsia="Times New Roman" w:hAnsi="Times New Roman"/>
          <w:sz w:val="14"/>
          <w:szCs w:val="14"/>
          <w:color w:val="005CB9"/>
        </w:rPr>
      </w:pPr>
    </w:p>
    <w:p>
      <w:pPr>
        <w:ind w:left="800" w:right="40" w:hanging="312"/>
        <w:spacing w:after="0" w:line="280" w:lineRule="auto"/>
        <w:tabs>
          <w:tab w:leader="none" w:pos="800" w:val="left"/>
        </w:tabs>
        <w:numPr>
          <w:ilvl w:val="0"/>
          <w:numId w:val="86"/>
        </w:numPr>
        <w:rPr>
          <w:rFonts w:ascii="Times New Roman" w:cs="Times New Roman" w:eastAsia="Times New Roman" w:hAnsi="Times New Roman"/>
          <w:sz w:val="14"/>
          <w:szCs w:val="14"/>
          <w:color w:val="005CB9"/>
        </w:rPr>
      </w:pPr>
      <w:r>
        <w:rPr>
          <w:rFonts w:ascii="Arial" w:cs="Arial" w:eastAsia="Arial" w:hAnsi="Arial"/>
          <w:sz w:val="14"/>
          <w:szCs w:val="14"/>
          <w:color w:val="auto"/>
        </w:rPr>
        <w:t>Measuring our total shareholder return against the S&amp;P 500 Index and the S&amp;P 500 Utilities Index rather than against peer groups selected by the company, which reduces subjectivity in the determination of peer groups</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6"/>
        </w:numPr>
        <w:rPr>
          <w:rFonts w:ascii="Times New Roman" w:cs="Times New Roman" w:eastAsia="Times New Roman" w:hAnsi="Times New Roman"/>
          <w:sz w:val="14"/>
          <w:szCs w:val="14"/>
          <w:color w:val="005CB9"/>
        </w:rPr>
      </w:pPr>
      <w:r>
        <w:rPr>
          <w:rFonts w:ascii="Arial" w:cs="Arial" w:eastAsia="Arial" w:hAnsi="Arial"/>
          <w:sz w:val="14"/>
          <w:szCs w:val="14"/>
          <w:color w:val="auto"/>
        </w:rPr>
        <w:t>Using multi-year performance periods to promote a longer-term performance horizon</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6"/>
        </w:numPr>
        <w:rPr>
          <w:rFonts w:ascii="Times New Roman" w:cs="Times New Roman" w:eastAsia="Times New Roman" w:hAnsi="Times New Roman"/>
          <w:sz w:val="14"/>
          <w:szCs w:val="14"/>
          <w:color w:val="005CB9"/>
        </w:rPr>
      </w:pPr>
      <w:r>
        <w:rPr>
          <w:rFonts w:ascii="Arial" w:cs="Arial" w:eastAsia="Arial" w:hAnsi="Arial"/>
          <w:sz w:val="14"/>
          <w:szCs w:val="14"/>
          <w:color w:val="auto"/>
        </w:rPr>
        <w:t>Providing zero payouts for performance-based awards if performance is below the 25</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percentile threshold level</w:t>
      </w:r>
    </w:p>
    <w:p>
      <w:pPr>
        <w:spacing w:after="0" w:line="85" w:lineRule="exact"/>
        <w:rPr>
          <w:rFonts w:ascii="Times New Roman" w:cs="Times New Roman" w:eastAsia="Times New Roman" w:hAnsi="Times New Roman"/>
          <w:sz w:val="14"/>
          <w:szCs w:val="14"/>
          <w:color w:val="005CB9"/>
        </w:rPr>
      </w:pPr>
    </w:p>
    <w:p>
      <w:pPr>
        <w:ind w:left="800" w:right="540" w:hanging="312"/>
        <w:spacing w:after="0" w:line="280" w:lineRule="auto"/>
        <w:tabs>
          <w:tab w:leader="none" w:pos="800" w:val="left"/>
        </w:tabs>
        <w:numPr>
          <w:ilvl w:val="0"/>
          <w:numId w:val="86"/>
        </w:numPr>
        <w:rPr>
          <w:rFonts w:ascii="Times New Roman" w:cs="Times New Roman" w:eastAsia="Times New Roman" w:hAnsi="Times New Roman"/>
          <w:sz w:val="14"/>
          <w:szCs w:val="14"/>
          <w:color w:val="005CB9"/>
        </w:rPr>
      </w:pPr>
      <w:r>
        <w:rPr>
          <w:rFonts w:ascii="Arial" w:cs="Arial" w:eastAsia="Arial" w:hAnsi="Arial"/>
          <w:sz w:val="14"/>
          <w:szCs w:val="14"/>
          <w:color w:val="auto"/>
        </w:rPr>
        <w:t>Limiting the maximum payout level for performance-based restricted stock unit awards to 200% of the target number of units (including reinvested dividend equivalents)</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Tally Sheets</w:t>
      </w:r>
    </w:p>
    <w:p>
      <w:pPr>
        <w:spacing w:after="0" w:line="125" w:lineRule="exact"/>
        <w:rPr>
          <w:sz w:val="20"/>
          <w:szCs w:val="20"/>
          <w:color w:val="auto"/>
        </w:rPr>
      </w:pPr>
    </w:p>
    <w:p>
      <w:pPr>
        <w:ind w:left="160" w:right="140"/>
        <w:spacing w:after="0" w:line="253" w:lineRule="auto"/>
        <w:rPr>
          <w:sz w:val="20"/>
          <w:szCs w:val="20"/>
          <w:color w:val="auto"/>
        </w:rPr>
      </w:pPr>
      <w:r>
        <w:rPr>
          <w:rFonts w:ascii="Arial" w:cs="Arial" w:eastAsia="Arial" w:hAnsi="Arial"/>
          <w:sz w:val="14"/>
          <w:szCs w:val="14"/>
          <w:color w:val="auto"/>
        </w:rPr>
        <w:t>In addition to other information it considers relevant, the Compensation and Talent Development Committee uses tally sheets to review and evaluate our executive compensation and benefit programs as a whole. The use of tally sheets helps provide a holistic picture of our executive compensation program and all outstanding benefits held by executives, which mitigates risk associated with accumulating long-term awards and other benefits. These tally sheets, along with information prepared annually for our proxy statement, provide:</w:t>
      </w:r>
    </w:p>
    <w:p>
      <w:pPr>
        <w:spacing w:after="0" w:line="83" w:lineRule="exact"/>
        <w:rPr>
          <w:sz w:val="20"/>
          <w:szCs w:val="20"/>
          <w:color w:val="auto"/>
        </w:rPr>
      </w:pPr>
    </w:p>
    <w:p>
      <w:pPr>
        <w:ind w:left="800" w:hanging="312"/>
        <w:spacing w:after="0"/>
        <w:tabs>
          <w:tab w:leader="none" w:pos="800" w:val="left"/>
        </w:tabs>
        <w:numPr>
          <w:ilvl w:val="0"/>
          <w:numId w:val="87"/>
        </w:numPr>
        <w:rPr>
          <w:rFonts w:ascii="Times New Roman" w:cs="Times New Roman" w:eastAsia="Times New Roman" w:hAnsi="Times New Roman"/>
          <w:sz w:val="14"/>
          <w:szCs w:val="14"/>
          <w:color w:val="005CB9"/>
        </w:rPr>
      </w:pPr>
      <w:r>
        <w:rPr>
          <w:rFonts w:ascii="Arial" w:cs="Arial" w:eastAsia="Arial" w:hAnsi="Arial"/>
          <w:sz w:val="14"/>
          <w:szCs w:val="14"/>
          <w:color w:val="auto"/>
        </w:rPr>
        <w:t>Information for analyzing the design, operation and effectiveness of our executive compensation program</w:t>
      </w:r>
    </w:p>
    <w:p>
      <w:pPr>
        <w:spacing w:after="0" w:line="119" w:lineRule="exact"/>
        <w:rPr>
          <w:rFonts w:ascii="Times New Roman" w:cs="Times New Roman" w:eastAsia="Times New Roman" w:hAnsi="Times New Roman"/>
          <w:sz w:val="14"/>
          <w:szCs w:val="14"/>
          <w:color w:val="005CB9"/>
        </w:rPr>
      </w:pPr>
    </w:p>
    <w:p>
      <w:pPr>
        <w:ind w:left="800" w:right="300" w:hanging="312"/>
        <w:spacing w:after="0" w:line="280" w:lineRule="auto"/>
        <w:tabs>
          <w:tab w:leader="none" w:pos="800" w:val="left"/>
        </w:tabs>
        <w:numPr>
          <w:ilvl w:val="0"/>
          <w:numId w:val="87"/>
        </w:numPr>
        <w:rPr>
          <w:rFonts w:ascii="Times New Roman" w:cs="Times New Roman" w:eastAsia="Times New Roman" w:hAnsi="Times New Roman"/>
          <w:sz w:val="14"/>
          <w:szCs w:val="14"/>
          <w:color w:val="005CB9"/>
        </w:rPr>
      </w:pPr>
      <w:r>
        <w:rPr>
          <w:rFonts w:ascii="Arial" w:cs="Arial" w:eastAsia="Arial" w:hAnsi="Arial"/>
          <w:sz w:val="14"/>
          <w:szCs w:val="14"/>
          <w:color w:val="auto"/>
        </w:rPr>
        <w:t>The total dollar value of executives’ accumulated compensation and benefits, including holdings of our common stock and realized and unrealized gains under equity-based compensation awards, estimated pension benefits and deferred compensation balances</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87"/>
        </w:numPr>
        <w:rPr>
          <w:rFonts w:ascii="Times New Roman" w:cs="Times New Roman" w:eastAsia="Times New Roman" w:hAnsi="Times New Roman"/>
          <w:sz w:val="14"/>
          <w:szCs w:val="14"/>
          <w:color w:val="005CB9"/>
        </w:rPr>
      </w:pPr>
      <w:r>
        <w:rPr>
          <w:rFonts w:ascii="Arial" w:cs="Arial" w:eastAsia="Arial" w:hAnsi="Arial"/>
          <w:sz w:val="14"/>
          <w:szCs w:val="14"/>
          <w:color w:val="auto"/>
        </w:rPr>
        <w:t>Information on change in control scenarios</w:t>
      </w:r>
    </w:p>
    <w:p>
      <w:pPr>
        <w:spacing w:after="0" w:line="106" w:lineRule="exact"/>
        <w:rPr>
          <w:sz w:val="20"/>
          <w:szCs w:val="20"/>
          <w:color w:val="auto"/>
        </w:rPr>
      </w:pPr>
    </w:p>
    <w:p>
      <w:pPr>
        <w:ind w:left="160" w:right="560"/>
        <w:spacing w:after="0" w:line="281" w:lineRule="auto"/>
        <w:rPr>
          <w:sz w:val="20"/>
          <w:szCs w:val="20"/>
          <w:color w:val="auto"/>
        </w:rPr>
      </w:pPr>
      <w:r>
        <w:rPr>
          <w:rFonts w:ascii="Arial" w:cs="Arial" w:eastAsia="Arial" w:hAnsi="Arial"/>
          <w:sz w:val="14"/>
          <w:szCs w:val="14"/>
          <w:color w:val="auto"/>
        </w:rPr>
        <w:t>The committee does not rely on tally sheets to establish specific pay levels. Instead, pay levels are based primarily on external market data and other considerations described under “Labor Market Reviews” above.</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Clawback Policy</w:t>
      </w:r>
    </w:p>
    <w:p>
      <w:pPr>
        <w:spacing w:after="0" w:line="125" w:lineRule="exact"/>
        <w:rPr>
          <w:sz w:val="20"/>
          <w:szCs w:val="20"/>
          <w:color w:val="auto"/>
        </w:rPr>
      </w:pPr>
    </w:p>
    <w:p>
      <w:pPr>
        <w:jc w:val="both"/>
        <w:ind w:left="160"/>
        <w:spacing w:after="0" w:line="260" w:lineRule="auto"/>
        <w:rPr>
          <w:sz w:val="20"/>
          <w:szCs w:val="20"/>
          <w:color w:val="auto"/>
        </w:rPr>
      </w:pPr>
      <w:r>
        <w:rPr>
          <w:rFonts w:ascii="Arial" w:cs="Arial" w:eastAsia="Arial" w:hAnsi="Arial"/>
          <w:sz w:val="14"/>
          <w:szCs w:val="14"/>
          <w:color w:val="auto"/>
        </w:rPr>
        <w:t>Our clawback policy requires the recovery of certain (i) erroneously paid performance-based incentive compensation received by our executive officers on or after October 2, 2023, as required by rules of the NYSE and the SEC implemented pursuant to the Dodd-Frank Act, and (ii) incentive compensation received by the Chief Executive Officer or the Chief Financial Officer, as required under the Sarbanes-Oxley Act of 2002, in each case in the event of certain qualifying accounting restatements.</w:t>
      </w:r>
    </w:p>
    <w:p>
      <w:pPr>
        <w:spacing w:after="0" w:line="65" w:lineRule="exact"/>
        <w:rPr>
          <w:sz w:val="20"/>
          <w:szCs w:val="20"/>
          <w:color w:val="auto"/>
        </w:rPr>
      </w:pPr>
    </w:p>
    <w:p>
      <w:pPr>
        <w:ind w:left="160" w:right="20"/>
        <w:spacing w:after="0" w:line="249" w:lineRule="auto"/>
        <w:rPr>
          <w:sz w:val="20"/>
          <w:szCs w:val="20"/>
          <w:color w:val="auto"/>
        </w:rPr>
      </w:pPr>
      <w:r>
        <w:rPr>
          <w:rFonts w:ascii="Arial" w:cs="Arial" w:eastAsia="Arial" w:hAnsi="Arial"/>
          <w:sz w:val="14"/>
          <w:szCs w:val="14"/>
          <w:color w:val="auto"/>
        </w:rPr>
        <w:t>In addition, under our clawback policy, the Compensation and Talent Development Committee may provide for additional recovery of compensation from awards made under our LTIPs, including service-based restricted stock unit awards, performance-based restricted stock unit awards, stock option awards and annual incentive awards. All outstanding award agreements under the LTIP provide for reimbursement of compensation if the recipient of such an award’s fraudulent or intentional misconduct is found, in the discretion of the Compensation and Talent Development Committee, to have materially affected the operations or financial results of the company or its subsidiaries, even if such misconduct did not result in an accounting restatement.</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Anti-Hedging and Anti-Pledging Policies</w:t>
      </w:r>
    </w:p>
    <w:p>
      <w:pPr>
        <w:spacing w:after="0" w:line="125" w:lineRule="exact"/>
        <w:rPr>
          <w:sz w:val="20"/>
          <w:szCs w:val="20"/>
          <w:color w:val="auto"/>
        </w:rPr>
      </w:pPr>
    </w:p>
    <w:p>
      <w:pPr>
        <w:ind w:left="160" w:right="40"/>
        <w:spacing w:after="0" w:line="249" w:lineRule="auto"/>
        <w:rPr>
          <w:sz w:val="20"/>
          <w:szCs w:val="20"/>
          <w:color w:val="auto"/>
        </w:rPr>
      </w:pPr>
      <w:r>
        <w:rPr>
          <w:rFonts w:ascii="Arial" w:cs="Arial" w:eastAsia="Arial" w:hAnsi="Arial"/>
          <w:sz w:val="14"/>
          <w:szCs w:val="14"/>
          <w:color w:val="auto"/>
        </w:rPr>
        <w:t>Pursuant to the company’s Insider Trading and Information Confidentiality Policy, all employees, including all officers, of Sempra and any subsidiary or other entity as to which Sempra has majority ownership and control and all directors of Sempra are prohibited from purchasing financial instruments or otherwise engaging in transactions that hedge or offset, or are designed to hedge or offset, any decrease in the market value of any equity security of Sempra or any such subsidiary or other entity, and are also prohibited from selling “short” any securities of those companies. These prohibitions also apply to family members living in the same household as any such employee, officer or director, as well as entities directly or indirectly controlled by the employee, officer or director.</w:t>
      </w:r>
    </w:p>
    <w:p>
      <w:pPr>
        <w:spacing w:after="0" w:line="74" w:lineRule="exact"/>
        <w:rPr>
          <w:sz w:val="20"/>
          <w:szCs w:val="20"/>
          <w:color w:val="auto"/>
        </w:rPr>
      </w:pPr>
    </w:p>
    <w:p>
      <w:pPr>
        <w:ind w:left="160" w:right="240"/>
        <w:spacing w:after="0" w:line="281" w:lineRule="auto"/>
        <w:rPr>
          <w:sz w:val="20"/>
          <w:szCs w:val="20"/>
          <w:color w:val="auto"/>
        </w:rPr>
      </w:pPr>
      <w:r>
        <w:rPr>
          <w:rFonts w:ascii="Arial" w:cs="Arial" w:eastAsia="Arial" w:hAnsi="Arial"/>
          <w:sz w:val="14"/>
          <w:szCs w:val="14"/>
          <w:color w:val="auto"/>
        </w:rPr>
        <w:t>Sempra officers and directors also are prohibited from pledging any securities of Sempra or any subsidiary or other entity as to which Sempra has majority ownership and control.</w:t>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Independent Third-Party Risk Assessment</w:t>
      </w:r>
    </w:p>
    <w:p>
      <w:pPr>
        <w:spacing w:after="0" w:line="125" w:lineRule="exact"/>
        <w:rPr>
          <w:sz w:val="20"/>
          <w:szCs w:val="20"/>
          <w:color w:val="auto"/>
        </w:rPr>
      </w:pPr>
    </w:p>
    <w:p>
      <w:pPr>
        <w:ind w:left="160" w:right="260"/>
        <w:spacing w:after="0" w:line="260" w:lineRule="auto"/>
        <w:rPr>
          <w:sz w:val="20"/>
          <w:szCs w:val="20"/>
          <w:color w:val="auto"/>
        </w:rPr>
      </w:pPr>
      <w:r>
        <w:rPr>
          <w:rFonts w:ascii="Arial" w:cs="Arial" w:eastAsia="Arial" w:hAnsi="Arial"/>
          <w:sz w:val="14"/>
          <w:szCs w:val="14"/>
          <w:color w:val="auto"/>
        </w:rPr>
        <w:t>The Compensation and Talent Development Committee’s independent compensation consultant, Exequity, conducted a risk assessment of our 2025 compensation programs. Exequity’s findings concluded that our compensation programs do not create risks that are likely to have a material adverse impact on the company. The committee concurs with these findings. Specific examples of safeguards and risk mitigation features found in our executive compensation programs are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69297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66               </w:t>
      </w:r>
      <w:r>
        <w:rPr>
          <w:sz w:val="1"/>
          <w:szCs w:val="1"/>
          <w:color w:val="auto"/>
        </w:rPr>
        <w:drawing>
          <wp:inline distT="0" distB="0" distL="0" distR="0">
            <wp:extent cx="739140" cy="144145"/>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73" w:name="page74"/>
    <w:bookmarkEnd w:id="73"/>
    <w:p>
      <w:pPr>
        <w:jc w:val="right"/>
        <w:spacing w:after="0"/>
        <w:rPr>
          <w:sz w:val="20"/>
          <w:szCs w:val="20"/>
          <w:color w:val="auto"/>
        </w:rPr>
      </w:pPr>
      <w:r>
        <w:rPr>
          <w:rFonts w:ascii="Arial" w:cs="Arial" w:eastAsia="Arial" w:hAnsi="Arial"/>
          <w:sz w:val="11"/>
          <w:szCs w:val="11"/>
          <w:b w:val="1"/>
          <w:bCs w:val="1"/>
          <w:color w:val="7F7F7F"/>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5CB9"/>
        </w:rPr>
        <w:t>Equity Award Timing Practices</w:t>
      </w:r>
    </w:p>
    <w:p>
      <w:pPr>
        <w:spacing w:after="0" w:line="129"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The Board of Directors has delegated the authority to the Compensation and Talent Development Committee to oversee the management and control of the operations and administration of our long-term incentive plans, which includes the authority to grant annual and special equity awards to officers and other employees.</w:t>
      </w:r>
    </w:p>
    <w:p>
      <w:pPr>
        <w:spacing w:after="0" w:line="51"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The Compensation and Talent Development Committee authorizes stock option and other equity awards as part of annual compensation planning that is typically completed in December, with awards granted to eligible employees on the first NYSE trading day of January. Additionally, special equity awards may be granted at other times in connection with new hires or promotions or to reward extraordinary performance or promote retention. These special equity awards may be granted on the first NYSE trading day of a calendar quarter, on the date of hire or promotion, or on such other date determined by the Compensation and Talent Development Committee.</w:t>
      </w:r>
    </w:p>
    <w:p>
      <w:pPr>
        <w:spacing w:after="0" w:line="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do not time grants of equity awards based on the release of material nonpublic information, nor do we time the release of material nonpublic information based on equity award grant dates, vesting events or sale events. For all stock option awards, the exercise price is the grant date closing price of our common stock on the NYSE. If the grant date falls on a non-trading day, the exercise price is the closing price of our common stock on the NYSE on the last trading day preceding the grant date.</w:t>
      </w:r>
    </w:p>
    <w:p>
      <w:pPr>
        <w:spacing w:after="0" w:line="65"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None of our named executive officers received special equity awards in 2025. During 2025, we did not grant equity awards to our named executive officers during the four business days prior to or the one business day following the filing of our periodic reports on Form 10-Q or Form 10-K or the filing or furnishing of a current report on Form 8-K that discloses material nonpublic information. We have not timed the disclosure of material nonpublic information for the purpose of affecting the value of executive compensation in 2025.</w:t>
      </w:r>
    </w:p>
    <w:p>
      <w:pPr>
        <w:spacing w:after="0" w:line="162" w:lineRule="exact"/>
        <w:rPr>
          <w:sz w:val="20"/>
          <w:szCs w:val="20"/>
          <w:color w:val="auto"/>
        </w:rPr>
      </w:pPr>
    </w:p>
    <w:p>
      <w:pPr>
        <w:spacing w:after="0"/>
        <w:rPr>
          <w:sz w:val="20"/>
          <w:szCs w:val="20"/>
          <w:color w:val="auto"/>
        </w:rPr>
      </w:pPr>
      <w:r>
        <w:rPr>
          <w:rFonts w:ascii="Arial" w:cs="Arial" w:eastAsia="Arial" w:hAnsi="Arial"/>
          <w:sz w:val="25"/>
          <w:szCs w:val="25"/>
          <w:b w:val="1"/>
          <w:bCs w:val="1"/>
          <w:color w:val="005CB9"/>
        </w:rPr>
        <w:t>Share Ownership Guidelines</w:t>
      </w:r>
    </w:p>
    <w:p>
      <w:pPr>
        <w:spacing w:after="0" w:line="129" w:lineRule="exact"/>
        <w:rPr>
          <w:sz w:val="20"/>
          <w:szCs w:val="20"/>
          <w:color w:val="auto"/>
        </w:rPr>
      </w:pPr>
    </w:p>
    <w:p>
      <w:pPr>
        <w:ind w:right="720"/>
        <w:spacing w:after="0" w:line="281" w:lineRule="auto"/>
        <w:rPr>
          <w:sz w:val="20"/>
          <w:szCs w:val="20"/>
          <w:color w:val="auto"/>
        </w:rPr>
      </w:pPr>
      <w:r>
        <w:rPr>
          <w:rFonts w:ascii="Arial" w:cs="Arial" w:eastAsia="Arial" w:hAnsi="Arial"/>
          <w:sz w:val="14"/>
          <w:szCs w:val="14"/>
          <w:color w:val="auto"/>
        </w:rPr>
        <w:t>Our Board of Directors has established share ownership guidelines for officers of Sempra and its subsidiaries to further strengthen the link between executive and shareholder interests. The guidelines set minimum levels of share ownership that these officers must achieve and maintain. For officers, the guidelines are: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840" w:type="dxa"/>
            <w:vAlign w:val="bottom"/>
            <w:shd w:val="clear" w:color="auto" w:fill="005CB9"/>
          </w:tcPr>
          <w:p>
            <w:pPr>
              <w:spacing w:after="0"/>
              <w:rPr>
                <w:sz w:val="18"/>
                <w:szCs w:val="18"/>
                <w:color w:val="auto"/>
              </w:rPr>
            </w:pPr>
          </w:p>
        </w:tc>
        <w:tc>
          <w:tcPr>
            <w:tcW w:w="2080" w:type="dxa"/>
            <w:vAlign w:val="bottom"/>
            <w:shd w:val="clear" w:color="auto" w:fill="005CB9"/>
          </w:tcPr>
          <w:p>
            <w:pPr>
              <w:ind w:left="1080"/>
              <w:spacing w:after="0"/>
              <w:rPr>
                <w:sz w:val="20"/>
                <w:szCs w:val="20"/>
                <w:color w:val="auto"/>
              </w:rPr>
            </w:pPr>
            <w:r>
              <w:rPr>
                <w:rFonts w:ascii="Arial" w:cs="Arial" w:eastAsia="Arial" w:hAnsi="Arial"/>
                <w:sz w:val="14"/>
                <w:szCs w:val="14"/>
                <w:b w:val="1"/>
                <w:bCs w:val="1"/>
                <w:color w:val="FFFFFF"/>
              </w:rPr>
              <w:t>  Value of</w:t>
            </w:r>
          </w:p>
        </w:tc>
        <w:tc>
          <w:tcPr>
            <w:tcW w:w="0" w:type="dxa"/>
            <w:vAlign w:val="bottom"/>
          </w:tcPr>
          <w:p>
            <w:pPr>
              <w:spacing w:after="0"/>
              <w:rPr>
                <w:sz w:val="1"/>
                <w:szCs w:val="1"/>
                <w:color w:val="auto"/>
              </w:rPr>
            </w:pPr>
          </w:p>
        </w:tc>
      </w:tr>
      <w:tr>
        <w:trPr>
          <w:trHeight w:val="217"/>
        </w:trPr>
        <w:tc>
          <w:tcPr>
            <w:tcW w:w="884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Executive Level</w:t>
            </w:r>
          </w:p>
        </w:tc>
        <w:tc>
          <w:tcPr>
            <w:tcW w:w="2080" w:type="dxa"/>
            <w:vAlign w:val="bottom"/>
            <w:tcBorders>
              <w:bottom w:val="single" w:sz="8" w:color="005CB9"/>
            </w:tcBorders>
            <w:shd w:val="clear" w:color="auto" w:fill="005CB9"/>
          </w:tcPr>
          <w:p>
            <w:pPr>
              <w:ind w:left="760"/>
              <w:spacing w:after="0"/>
              <w:rPr>
                <w:sz w:val="20"/>
                <w:szCs w:val="20"/>
                <w:color w:val="auto"/>
              </w:rPr>
            </w:pPr>
            <w:r>
              <w:rPr>
                <w:rFonts w:ascii="Arial" w:cs="Arial" w:eastAsia="Arial" w:hAnsi="Arial"/>
                <w:sz w:val="14"/>
                <w:szCs w:val="14"/>
                <w:b w:val="1"/>
                <w:bCs w:val="1"/>
                <w:color w:val="FFFFFF"/>
              </w:rPr>
              <w:t>  Share Ownership</w:t>
            </w:r>
          </w:p>
        </w:tc>
        <w:tc>
          <w:tcPr>
            <w:tcW w:w="0" w:type="dxa"/>
            <w:vAlign w:val="bottom"/>
          </w:tcPr>
          <w:p>
            <w:pPr>
              <w:spacing w:after="0"/>
              <w:rPr>
                <w:sz w:val="1"/>
                <w:szCs w:val="1"/>
                <w:color w:val="auto"/>
              </w:rPr>
            </w:pPr>
          </w:p>
        </w:tc>
      </w:tr>
      <w:tr>
        <w:trPr>
          <w:trHeight w:val="247"/>
        </w:trPr>
        <w:tc>
          <w:tcPr>
            <w:tcW w:w="8840" w:type="dxa"/>
            <w:vAlign w:val="bottom"/>
          </w:tcPr>
          <w:p>
            <w:pPr>
              <w:ind w:left="80"/>
              <w:spacing w:after="0"/>
              <w:rPr>
                <w:sz w:val="20"/>
                <w:szCs w:val="20"/>
                <w:color w:val="auto"/>
              </w:rPr>
            </w:pPr>
            <w:r>
              <w:rPr>
                <w:rFonts w:ascii="Arial" w:cs="Arial" w:eastAsia="Arial" w:hAnsi="Arial"/>
                <w:sz w:val="14"/>
                <w:szCs w:val="14"/>
                <w:color w:val="auto"/>
              </w:rPr>
              <w:t>Chief Executive Officer</w:t>
            </w:r>
          </w:p>
        </w:tc>
        <w:tc>
          <w:tcPr>
            <w:tcW w:w="2080" w:type="dxa"/>
            <w:vAlign w:val="bottom"/>
          </w:tcPr>
          <w:p>
            <w:pPr>
              <w:ind w:left="1160"/>
              <w:spacing w:after="0"/>
              <w:rPr>
                <w:sz w:val="20"/>
                <w:szCs w:val="20"/>
                <w:color w:val="auto"/>
              </w:rPr>
            </w:pPr>
            <w:r>
              <w:rPr>
                <w:rFonts w:ascii="Arial" w:cs="Arial" w:eastAsia="Arial" w:hAnsi="Arial"/>
                <w:sz w:val="14"/>
                <w:szCs w:val="14"/>
                <w:color w:val="auto"/>
                <w:w w:val="99"/>
              </w:rPr>
              <w:t>8x base salary</w:t>
            </w:r>
          </w:p>
        </w:tc>
        <w:tc>
          <w:tcPr>
            <w:tcW w:w="0" w:type="dxa"/>
            <w:vAlign w:val="bottom"/>
          </w:tcPr>
          <w:p>
            <w:pPr>
              <w:spacing w:after="0"/>
              <w:rPr>
                <w:sz w:val="1"/>
                <w:szCs w:val="1"/>
                <w:color w:val="auto"/>
              </w:rPr>
            </w:pPr>
          </w:p>
        </w:tc>
      </w:tr>
      <w:tr>
        <w:trPr>
          <w:trHeight w:val="48"/>
        </w:trPr>
        <w:tc>
          <w:tcPr>
            <w:tcW w:w="8840" w:type="dxa"/>
            <w:vAlign w:val="bottom"/>
            <w:tcBorders>
              <w:bottom w:val="single" w:sz="8" w:color="7F7F7F"/>
            </w:tcBorders>
          </w:tcPr>
          <w:p>
            <w:pPr>
              <w:spacing w:after="0"/>
              <w:rPr>
                <w:sz w:val="4"/>
                <w:szCs w:val="4"/>
                <w:color w:val="auto"/>
              </w:rPr>
            </w:pPr>
          </w:p>
        </w:tc>
        <w:tc>
          <w:tcPr>
            <w:tcW w:w="20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840" w:type="dxa"/>
            <w:vAlign w:val="bottom"/>
            <w:vMerge w:val="restart"/>
            <w:shd w:val="clear" w:color="auto" w:fill="F2F2F2"/>
          </w:tcPr>
          <w:p>
            <w:pPr>
              <w:ind w:left="80"/>
              <w:spacing w:after="0"/>
              <w:rPr>
                <w:sz w:val="20"/>
                <w:szCs w:val="20"/>
                <w:color w:val="auto"/>
              </w:rPr>
            </w:pPr>
            <w:r>
              <w:rPr>
                <w:rFonts w:ascii="Arial" w:cs="Arial" w:eastAsia="Arial" w:hAnsi="Arial"/>
                <w:sz w:val="14"/>
                <w:szCs w:val="14"/>
                <w:color w:val="auto"/>
              </w:rPr>
              <w:t>Corporate Group Presidents and Executive Vice Presidents</w:t>
            </w:r>
          </w:p>
        </w:tc>
        <w:tc>
          <w:tcPr>
            <w:tcW w:w="2080" w:type="dxa"/>
            <w:vAlign w:val="bottom"/>
            <w:vMerge w:val="restart"/>
            <w:shd w:val="clear" w:color="auto" w:fill="F2F2F2"/>
          </w:tcPr>
          <w:p>
            <w:pPr>
              <w:ind w:left="1160"/>
              <w:spacing w:after="0"/>
              <w:rPr>
                <w:sz w:val="20"/>
                <w:szCs w:val="20"/>
                <w:color w:val="auto"/>
              </w:rPr>
            </w:pPr>
            <w:r>
              <w:rPr>
                <w:rFonts w:ascii="Arial" w:cs="Arial" w:eastAsia="Arial" w:hAnsi="Arial"/>
                <w:sz w:val="14"/>
                <w:szCs w:val="14"/>
                <w:color w:val="auto"/>
                <w:w w:val="99"/>
              </w:rPr>
              <w:t>4x base salary</w:t>
            </w:r>
          </w:p>
        </w:tc>
        <w:tc>
          <w:tcPr>
            <w:tcW w:w="0" w:type="dxa"/>
            <w:vAlign w:val="bottom"/>
          </w:tcPr>
          <w:p>
            <w:pPr>
              <w:spacing w:after="0"/>
              <w:rPr>
                <w:sz w:val="1"/>
                <w:szCs w:val="1"/>
                <w:color w:val="auto"/>
              </w:rPr>
            </w:pPr>
          </w:p>
        </w:tc>
      </w:tr>
      <w:tr>
        <w:trPr>
          <w:trHeight w:val="227"/>
        </w:trPr>
        <w:tc>
          <w:tcPr>
            <w:tcW w:w="8840" w:type="dxa"/>
            <w:vAlign w:val="bottom"/>
            <w:tcBorders>
              <w:bottom w:val="single" w:sz="8" w:color="F2F2F2"/>
            </w:tcBorders>
            <w:vMerge w:val="continue"/>
            <w:shd w:val="clear" w:color="auto" w:fill="F2F2F2"/>
          </w:tcPr>
          <w:p>
            <w:pPr>
              <w:spacing w:after="0"/>
              <w:rPr>
                <w:sz w:val="19"/>
                <w:szCs w:val="19"/>
                <w:color w:val="auto"/>
              </w:rPr>
            </w:pPr>
          </w:p>
        </w:tc>
        <w:tc>
          <w:tcPr>
            <w:tcW w:w="2080" w:type="dxa"/>
            <w:vAlign w:val="bottom"/>
            <w:tcBorders>
              <w:bottom w:val="single" w:sz="8" w:color="F2F2F2"/>
            </w:tcBorders>
            <w:vMerge w:val="continue"/>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4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Subsidiary Chief Executive Officers, U.S.-based Presidents and Chief Operating Officers</w:t>
            </w:r>
          </w:p>
        </w:tc>
        <w:tc>
          <w:tcPr>
            <w:tcW w:w="2080" w:type="dxa"/>
            <w:vAlign w:val="bottom"/>
            <w:tcBorders>
              <w:top w:val="single" w:sz="8" w:color="7F7F7F"/>
            </w:tcBorders>
          </w:tcPr>
          <w:p>
            <w:pPr>
              <w:ind w:left="1160"/>
              <w:spacing w:after="0"/>
              <w:rPr>
                <w:sz w:val="20"/>
                <w:szCs w:val="20"/>
                <w:color w:val="auto"/>
              </w:rPr>
            </w:pPr>
            <w:r>
              <w:rPr>
                <w:rFonts w:ascii="Arial" w:cs="Arial" w:eastAsia="Arial" w:hAnsi="Arial"/>
                <w:sz w:val="14"/>
                <w:szCs w:val="14"/>
                <w:color w:val="auto"/>
                <w:w w:val="99"/>
              </w:rPr>
              <w:t>3x base salary</w:t>
            </w:r>
          </w:p>
        </w:tc>
        <w:tc>
          <w:tcPr>
            <w:tcW w:w="0" w:type="dxa"/>
            <w:vAlign w:val="bottom"/>
          </w:tcPr>
          <w:p>
            <w:pPr>
              <w:spacing w:after="0"/>
              <w:rPr>
                <w:sz w:val="1"/>
                <w:szCs w:val="1"/>
                <w:color w:val="auto"/>
              </w:rPr>
            </w:pPr>
          </w:p>
        </w:tc>
      </w:tr>
      <w:tr>
        <w:trPr>
          <w:trHeight w:val="48"/>
        </w:trPr>
        <w:tc>
          <w:tcPr>
            <w:tcW w:w="8840" w:type="dxa"/>
            <w:vAlign w:val="bottom"/>
            <w:tcBorders>
              <w:bottom w:val="single" w:sz="8" w:color="7F7F7F"/>
            </w:tcBorders>
          </w:tcPr>
          <w:p>
            <w:pPr>
              <w:spacing w:after="0"/>
              <w:rPr>
                <w:sz w:val="4"/>
                <w:szCs w:val="4"/>
                <w:color w:val="auto"/>
              </w:rPr>
            </w:pPr>
          </w:p>
        </w:tc>
        <w:tc>
          <w:tcPr>
            <w:tcW w:w="20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840" w:type="dxa"/>
            <w:vAlign w:val="bottom"/>
            <w:vMerge w:val="restart"/>
            <w:shd w:val="clear" w:color="auto" w:fill="F2F2F2"/>
          </w:tcPr>
          <w:p>
            <w:pPr>
              <w:ind w:left="80"/>
              <w:spacing w:after="0"/>
              <w:rPr>
                <w:sz w:val="20"/>
                <w:szCs w:val="20"/>
                <w:color w:val="auto"/>
              </w:rPr>
            </w:pPr>
            <w:r>
              <w:rPr>
                <w:rFonts w:ascii="Arial" w:cs="Arial" w:eastAsia="Arial" w:hAnsi="Arial"/>
                <w:sz w:val="14"/>
                <w:szCs w:val="14"/>
                <w:color w:val="auto"/>
              </w:rPr>
              <w:t>U.S.-based Senior Vice Presidents</w:t>
            </w:r>
          </w:p>
        </w:tc>
        <w:tc>
          <w:tcPr>
            <w:tcW w:w="2080" w:type="dxa"/>
            <w:vAlign w:val="bottom"/>
            <w:vMerge w:val="restart"/>
            <w:shd w:val="clear" w:color="auto" w:fill="F2F2F2"/>
          </w:tcPr>
          <w:p>
            <w:pPr>
              <w:ind w:left="1160"/>
              <w:spacing w:after="0"/>
              <w:rPr>
                <w:sz w:val="20"/>
                <w:szCs w:val="20"/>
                <w:color w:val="auto"/>
              </w:rPr>
            </w:pPr>
            <w:r>
              <w:rPr>
                <w:rFonts w:ascii="Arial" w:cs="Arial" w:eastAsia="Arial" w:hAnsi="Arial"/>
                <w:sz w:val="14"/>
                <w:szCs w:val="14"/>
                <w:color w:val="auto"/>
                <w:w w:val="99"/>
              </w:rPr>
              <w:t>2x base salary</w:t>
            </w:r>
          </w:p>
        </w:tc>
        <w:tc>
          <w:tcPr>
            <w:tcW w:w="0" w:type="dxa"/>
            <w:vAlign w:val="bottom"/>
          </w:tcPr>
          <w:p>
            <w:pPr>
              <w:spacing w:after="0"/>
              <w:rPr>
                <w:sz w:val="1"/>
                <w:szCs w:val="1"/>
                <w:color w:val="auto"/>
              </w:rPr>
            </w:pPr>
          </w:p>
        </w:tc>
      </w:tr>
      <w:tr>
        <w:trPr>
          <w:trHeight w:val="227"/>
        </w:trPr>
        <w:tc>
          <w:tcPr>
            <w:tcW w:w="8840" w:type="dxa"/>
            <w:vAlign w:val="bottom"/>
            <w:tcBorders>
              <w:bottom w:val="single" w:sz="8" w:color="F2F2F2"/>
            </w:tcBorders>
            <w:vMerge w:val="continue"/>
            <w:shd w:val="clear" w:color="auto" w:fill="F2F2F2"/>
          </w:tcPr>
          <w:p>
            <w:pPr>
              <w:spacing w:after="0"/>
              <w:rPr>
                <w:sz w:val="19"/>
                <w:szCs w:val="19"/>
                <w:color w:val="auto"/>
              </w:rPr>
            </w:pPr>
          </w:p>
        </w:tc>
        <w:tc>
          <w:tcPr>
            <w:tcW w:w="2080" w:type="dxa"/>
            <w:vAlign w:val="bottom"/>
            <w:tcBorders>
              <w:bottom w:val="single" w:sz="8" w:color="F2F2F2"/>
            </w:tcBorders>
            <w:vMerge w:val="continue"/>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84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Vice Presidents and non-U.S.-based Officers</w:t>
            </w:r>
          </w:p>
        </w:tc>
        <w:tc>
          <w:tcPr>
            <w:tcW w:w="2080" w:type="dxa"/>
            <w:vAlign w:val="bottom"/>
            <w:tcBorders>
              <w:top w:val="single" w:sz="8" w:color="7F7F7F"/>
            </w:tcBorders>
          </w:tcPr>
          <w:p>
            <w:pPr>
              <w:ind w:left="1160"/>
              <w:spacing w:after="0"/>
              <w:rPr>
                <w:sz w:val="20"/>
                <w:szCs w:val="20"/>
                <w:color w:val="auto"/>
              </w:rPr>
            </w:pPr>
            <w:r>
              <w:rPr>
                <w:rFonts w:ascii="Arial" w:cs="Arial" w:eastAsia="Arial" w:hAnsi="Arial"/>
                <w:sz w:val="14"/>
                <w:szCs w:val="14"/>
                <w:color w:val="auto"/>
                <w:w w:val="99"/>
              </w:rPr>
              <w:t>1x base salary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69297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color w:val="auto"/>
        </w:rPr>
        <w:t>Table 21</w:t>
      </w:r>
    </w:p>
    <w:p>
      <w:pPr>
        <w:spacing w:after="0" w:line="111"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We believe our share ownership guidelines are robust relative to prevalent market practices. Based on Exequity’s review of data for our Compensation Peer Group as disclosed in their 2025 proxy statements, Chief Executive Officer share ownership guidelines ranged from two times to eight times base salary and 89% of these peers had a Chief Executive Officer share ownership guideline of six times base salary or less.</w:t>
      </w:r>
    </w:p>
    <w:p>
      <w:pPr>
        <w:spacing w:after="0" w:line="65" w:lineRule="exact"/>
        <w:rPr>
          <w:sz w:val="20"/>
          <w:szCs w:val="20"/>
          <w:color w:val="auto"/>
        </w:rPr>
      </w:pPr>
    </w:p>
    <w:p>
      <w:pPr>
        <w:ind w:right="320"/>
        <w:spacing w:after="0" w:line="260" w:lineRule="auto"/>
        <w:rPr>
          <w:sz w:val="20"/>
          <w:szCs w:val="20"/>
          <w:color w:val="auto"/>
        </w:rPr>
      </w:pPr>
      <w:r>
        <w:rPr>
          <w:rFonts w:ascii="Arial" w:cs="Arial" w:eastAsia="Arial" w:hAnsi="Arial"/>
          <w:sz w:val="14"/>
          <w:szCs w:val="14"/>
          <w:color w:val="auto"/>
        </w:rPr>
        <w:t>For purposes of the guidelines, we include shares owned directly and through our 401(k) savings plan. We also include phantom shares of our common stock into which compensation has been deferred, deferred restricted stock units that have vested, unvested service-based restricted stock units, and the in-the-money value of stock options.</w:t>
      </w:r>
    </w:p>
    <w:p>
      <w:pPr>
        <w:spacing w:after="0" w:line="65" w:lineRule="exact"/>
        <w:rPr>
          <w:sz w:val="20"/>
          <w:szCs w:val="20"/>
          <w:color w:val="auto"/>
        </w:rPr>
      </w:pPr>
    </w:p>
    <w:p>
      <w:pPr>
        <w:jc w:val="both"/>
        <w:ind w:right="20"/>
        <w:spacing w:after="0" w:line="260" w:lineRule="auto"/>
        <w:rPr>
          <w:sz w:val="20"/>
          <w:szCs w:val="20"/>
          <w:color w:val="auto"/>
        </w:rPr>
      </w:pPr>
      <w:r>
        <w:rPr>
          <w:rFonts w:ascii="Arial" w:cs="Arial" w:eastAsia="Arial" w:hAnsi="Arial"/>
          <w:sz w:val="14"/>
          <w:szCs w:val="14"/>
          <w:color w:val="auto"/>
        </w:rPr>
        <w:t>We expect officers to meet these guidelines within five years after hire or promotion to an officer-level position or promotion to a role with a higher share ownership guideline. Until such time as the applicable share ownership guideline is met, executive officers are expected to retain (and not sell) a number of shares equal to at least 50% of the net after-tax shares acquired through equity compensation awards.</w:t>
      </w:r>
    </w:p>
    <w:p>
      <w:pPr>
        <w:spacing w:after="0" w:line="6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As of March 20, 2026, the record date for the Annual Shareholders Meeting, (i) Mr. Martin’s share ownership was nearly 37 times his base salary (and nearly 14 times his base salary excluding the in-the-money value of stock options) and (ii) the other named executive officers met or exceeded their respective share ownership guidelines (with or without including the in-the-money value of stock options).</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005CB9"/>
        </w:rPr>
        <w:t>Impact of Regulatory Requirements</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 Deductibility of Pay</w:t>
      </w:r>
    </w:p>
    <w:p>
      <w:pPr>
        <w:spacing w:after="0" w:line="125"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Section 162(m) of the Internal Revenue Code places a limit of $1 million on the annual amount of compensation that publicly held companies may deduct for federal income tax purposes for “covered employees.” The Compensation and Talent Development Committee believes that tax deductibility is one of many important factors in designing and evaluating our executive compensation program. In light of the elimination of the exception for performance-based compensation under Section 162(m), providing compensation that is not fully tax deductible is required by competitive and other circumstances. Accordingly, since the elimination of the exception for performance-based compensation, the Compensation and Talent Development Committee has determined it to be in the best interest of the company and our shareholders to provide a portion of compensation that is not fully tax deductible by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Tax, Accounting and Regulatory Considerations</w:t>
      </w:r>
    </w:p>
    <w:p>
      <w:pPr>
        <w:spacing w:after="0" w:line="125"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color w:val="auto"/>
        </w:rPr>
        <w:t>Many other Internal Revenue Code provisions, SEC regulations and accounting rules affect the design of executive pay. They are taken into consideration to create and maintain plans that are intended to comply with these requirements and that our Compensation and Talent Development Committee believes are effective and in the best interests of our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69297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208915</wp:posOffset>
            </wp:positionV>
            <wp:extent cx="739140" cy="1530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67</w:t>
      </w:r>
    </w:p>
    <w:p>
      <w:pPr>
        <w:sectPr>
          <w:pgSz w:w="11900" w:h="16838" w:orient="portrait"/>
          <w:cols w:equalWidth="0" w:num="1">
            <w:col w:w="10920"/>
          </w:cols>
          <w:pgMar w:left="480" w:top="300" w:right="499" w:bottom="1440" w:gutter="0" w:footer="0" w:header="0"/>
        </w:sectPr>
      </w:pPr>
    </w:p>
    <w:bookmarkStart w:id="74" w:name="page75"/>
    <w:bookmarkEnd w:id="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Compensation and Talent Development Committee Report</w:t>
      </w:r>
    </w:p>
    <w:p>
      <w:pPr>
        <w:spacing w:after="0" w:line="132" w:lineRule="exact"/>
        <w:rPr>
          <w:sz w:val="20"/>
          <w:szCs w:val="20"/>
          <w:color w:val="auto"/>
        </w:rPr>
      </w:pPr>
    </w:p>
    <w:p>
      <w:pPr>
        <w:jc w:val="both"/>
        <w:ind w:left="160" w:right="220"/>
        <w:spacing w:after="0" w:line="260" w:lineRule="auto"/>
        <w:rPr>
          <w:sz w:val="20"/>
          <w:szCs w:val="20"/>
          <w:color w:val="auto"/>
        </w:rPr>
      </w:pPr>
      <w:r>
        <w:rPr>
          <w:rFonts w:ascii="Arial" w:cs="Arial" w:eastAsia="Arial" w:hAnsi="Arial"/>
          <w:sz w:val="14"/>
          <w:szCs w:val="14"/>
          <w:color w:val="auto"/>
        </w:rPr>
        <w:t>The Compensation and Talent Development Committee of Sempra’s Board of Directors, as it was composed at its meeting in February 2026, has reviewed and discussed with the company’s management the Compensation Discussion and Analysis included in this proxy statement and, based on that review and discussion, recommended to the board that it be so included.</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Compensation and Talent Development Committee</w:t>
      </w:r>
    </w:p>
    <w:p>
      <w:pPr>
        <w:spacing w:after="0" w:line="106" w:lineRule="exact"/>
        <w:rPr>
          <w:sz w:val="20"/>
          <w:szCs w:val="20"/>
          <w:color w:val="auto"/>
        </w:rPr>
      </w:pPr>
    </w:p>
    <w:p>
      <w:pPr>
        <w:ind w:left="9680"/>
        <w:spacing w:after="0"/>
        <w:rPr>
          <w:sz w:val="20"/>
          <w:szCs w:val="20"/>
          <w:color w:val="auto"/>
        </w:rPr>
      </w:pPr>
      <w:r>
        <w:rPr>
          <w:rFonts w:ascii="Arial" w:cs="Arial" w:eastAsia="Arial" w:hAnsi="Arial"/>
          <w:sz w:val="14"/>
          <w:szCs w:val="14"/>
          <w:color w:val="auto"/>
        </w:rPr>
        <w:t>Andrés Conesa, Chair</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Richard J. Mark</w:t>
      </w:r>
    </w:p>
    <w:p>
      <w:pPr>
        <w:jc w:val="right"/>
        <w:spacing w:after="0"/>
        <w:rPr>
          <w:sz w:val="20"/>
          <w:szCs w:val="20"/>
          <w:color w:val="auto"/>
        </w:rPr>
      </w:pPr>
      <w:r>
        <w:rPr>
          <w:rFonts w:ascii="Arial" w:cs="Arial" w:eastAsia="Arial" w:hAnsi="Arial"/>
          <w:sz w:val="14"/>
          <w:szCs w:val="14"/>
          <w:color w:val="auto"/>
        </w:rPr>
        <w:t>Michael N. Mears</w:t>
      </w:r>
    </w:p>
    <w:p>
      <w:pPr>
        <w:jc w:val="right"/>
        <w:spacing w:after="0"/>
        <w:rPr>
          <w:sz w:val="20"/>
          <w:szCs w:val="20"/>
          <w:color w:val="auto"/>
        </w:rPr>
      </w:pPr>
      <w:r>
        <w:rPr>
          <w:rFonts w:ascii="Arial" w:cs="Arial" w:eastAsia="Arial" w:hAnsi="Arial"/>
          <w:sz w:val="14"/>
          <w:szCs w:val="14"/>
          <w:color w:val="auto"/>
        </w:rPr>
        <w:t>Jack T. Taylor</w:t>
      </w:r>
    </w:p>
    <w:p>
      <w:pPr>
        <w:jc w:val="right"/>
        <w:spacing w:after="0"/>
        <w:rPr>
          <w:sz w:val="20"/>
          <w:szCs w:val="20"/>
          <w:color w:val="auto"/>
        </w:rPr>
      </w:pPr>
      <w:r>
        <w:rPr>
          <w:rFonts w:ascii="Arial" w:cs="Arial" w:eastAsia="Arial" w:hAnsi="Arial"/>
          <w:sz w:val="14"/>
          <w:szCs w:val="14"/>
          <w:color w:val="auto"/>
        </w:rPr>
        <w:t>Anya Weaving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98425</wp:posOffset>
            </wp:positionV>
            <wp:extent cx="69297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68               </w:t>
      </w:r>
      <w:r>
        <w:rPr>
          <w:sz w:val="1"/>
          <w:szCs w:val="1"/>
          <w:color w:val="auto"/>
        </w:rPr>
        <w:drawing>
          <wp:inline distT="0" distB="0" distL="0" distR="0">
            <wp:extent cx="739140" cy="144145"/>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37"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Compensation Tables</w:t>
      </w:r>
    </w:p>
    <w:p>
      <w:pPr>
        <w:spacing w:after="0" w:line="132" w:lineRule="exact"/>
        <w:rPr>
          <w:sz w:val="20"/>
          <w:szCs w:val="20"/>
          <w:color w:val="auto"/>
        </w:rPr>
      </w:pPr>
    </w:p>
    <w:p>
      <w:pPr>
        <w:ind w:left="160" w:right="20"/>
        <w:spacing w:after="0" w:line="260" w:lineRule="auto"/>
        <w:rPr>
          <w:sz w:val="20"/>
          <w:szCs w:val="20"/>
          <w:color w:val="auto"/>
        </w:rPr>
      </w:pPr>
      <w:r>
        <w:rPr>
          <w:rFonts w:ascii="Arial" w:cs="Arial" w:eastAsia="Arial" w:hAnsi="Arial"/>
          <w:sz w:val="14"/>
          <w:szCs w:val="14"/>
          <w:color w:val="auto"/>
        </w:rPr>
        <w:t>In determining compensation for the named executive officers each year, the Compensation and Talent Development Committee uses target total direct compensation to measure the compensation opportunity provided to each executive in a given year. A summary of the 2025 target total direct compensation established by the Compensation and Talent Development Committee for each named executive officer is set forth on page 47.</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Summary Compensation Table</w:t>
      </w:r>
    </w:p>
    <w:p>
      <w:pPr>
        <w:spacing w:after="0" w:line="129" w:lineRule="exact"/>
        <w:rPr>
          <w:sz w:val="20"/>
          <w:szCs w:val="20"/>
          <w:color w:val="auto"/>
        </w:rPr>
      </w:pPr>
    </w:p>
    <w:p>
      <w:pPr>
        <w:ind w:left="160" w:right="280"/>
        <w:spacing w:after="0" w:line="281" w:lineRule="auto"/>
        <w:rPr>
          <w:sz w:val="20"/>
          <w:szCs w:val="20"/>
          <w:color w:val="auto"/>
        </w:rPr>
      </w:pPr>
      <w:r>
        <w:rPr>
          <w:rFonts w:ascii="Arial" w:cs="Arial" w:eastAsia="Arial" w:hAnsi="Arial"/>
          <w:sz w:val="14"/>
          <w:szCs w:val="14"/>
          <w:color w:val="auto"/>
        </w:rPr>
        <w:t>In the table below, we summarize the compensation for the past three years for each of our named executive officers, part of which is subject to performance and vesting requirements.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2025 SUMMARY COMPENSATION TABLE</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2060" w:type="dxa"/>
            <w:vAlign w:val="bottom"/>
            <w:shd w:val="clear" w:color="auto" w:fill="005CB9"/>
          </w:tcPr>
          <w:p>
            <w:pPr>
              <w:spacing w:after="0"/>
              <w:rPr>
                <w:sz w:val="18"/>
                <w:szCs w:val="18"/>
                <w:color w:val="auto"/>
              </w:rPr>
            </w:pPr>
          </w:p>
        </w:tc>
        <w:tc>
          <w:tcPr>
            <w:tcW w:w="500" w:type="dxa"/>
            <w:vAlign w:val="bottom"/>
            <w:shd w:val="clear" w:color="auto" w:fill="005CB9"/>
          </w:tcPr>
          <w:p>
            <w:pPr>
              <w:spacing w:after="0"/>
              <w:rPr>
                <w:sz w:val="18"/>
                <w:szCs w:val="18"/>
                <w:color w:val="auto"/>
              </w:rPr>
            </w:pPr>
          </w:p>
        </w:tc>
        <w:tc>
          <w:tcPr>
            <w:tcW w:w="200" w:type="dxa"/>
            <w:vAlign w:val="bottom"/>
            <w:shd w:val="clear" w:color="auto" w:fill="005CB9"/>
          </w:tcPr>
          <w:p>
            <w:pPr>
              <w:spacing w:after="0"/>
              <w:rPr>
                <w:sz w:val="18"/>
                <w:szCs w:val="18"/>
                <w:color w:val="auto"/>
              </w:rPr>
            </w:pPr>
          </w:p>
        </w:tc>
        <w:tc>
          <w:tcPr>
            <w:tcW w:w="700" w:type="dxa"/>
            <w:vAlign w:val="bottom"/>
            <w:shd w:val="clear" w:color="auto" w:fill="005CB9"/>
          </w:tcPr>
          <w:p>
            <w:pPr>
              <w:spacing w:after="0"/>
              <w:rPr>
                <w:sz w:val="18"/>
                <w:szCs w:val="18"/>
                <w:color w:val="auto"/>
              </w:rPr>
            </w:pPr>
          </w:p>
        </w:tc>
        <w:tc>
          <w:tcPr>
            <w:tcW w:w="760" w:type="dxa"/>
            <w:vAlign w:val="bottom"/>
            <w:shd w:val="clear" w:color="auto" w:fill="005CB9"/>
          </w:tcPr>
          <w:p>
            <w:pPr>
              <w:spacing w:after="0"/>
              <w:rPr>
                <w:sz w:val="18"/>
                <w:szCs w:val="18"/>
                <w:color w:val="auto"/>
              </w:rPr>
            </w:pPr>
          </w:p>
        </w:tc>
        <w:tc>
          <w:tcPr>
            <w:tcW w:w="160" w:type="dxa"/>
            <w:vAlign w:val="bottom"/>
            <w:shd w:val="clear" w:color="auto" w:fill="005CB9"/>
          </w:tcPr>
          <w:p>
            <w:pPr>
              <w:spacing w:after="0"/>
              <w:rPr>
                <w:sz w:val="18"/>
                <w:szCs w:val="18"/>
                <w:color w:val="auto"/>
              </w:rPr>
            </w:pPr>
          </w:p>
        </w:tc>
        <w:tc>
          <w:tcPr>
            <w:tcW w:w="700" w:type="dxa"/>
            <w:vAlign w:val="bottom"/>
            <w:shd w:val="clear" w:color="auto" w:fill="005CB9"/>
          </w:tcPr>
          <w:p>
            <w:pPr>
              <w:spacing w:after="0"/>
              <w:rPr>
                <w:sz w:val="18"/>
                <w:szCs w:val="18"/>
                <w:color w:val="auto"/>
              </w:rPr>
            </w:pPr>
          </w:p>
        </w:tc>
        <w:tc>
          <w:tcPr>
            <w:tcW w:w="160" w:type="dxa"/>
            <w:vAlign w:val="bottom"/>
            <w:shd w:val="clear" w:color="auto" w:fill="005CB9"/>
          </w:tcPr>
          <w:p>
            <w:pPr>
              <w:spacing w:after="0"/>
              <w:rPr>
                <w:sz w:val="18"/>
                <w:szCs w:val="18"/>
                <w:color w:val="auto"/>
              </w:rPr>
            </w:pPr>
          </w:p>
        </w:tc>
        <w:tc>
          <w:tcPr>
            <w:tcW w:w="700" w:type="dxa"/>
            <w:vAlign w:val="bottom"/>
            <w:shd w:val="clear" w:color="auto" w:fill="005CB9"/>
          </w:tcPr>
          <w:p>
            <w:pPr>
              <w:spacing w:after="0"/>
              <w:rPr>
                <w:sz w:val="18"/>
                <w:szCs w:val="18"/>
                <w:color w:val="auto"/>
              </w:rPr>
            </w:pPr>
          </w:p>
        </w:tc>
        <w:tc>
          <w:tcPr>
            <w:tcW w:w="1080" w:type="dxa"/>
            <w:vAlign w:val="bottom"/>
            <w:shd w:val="clear" w:color="auto" w:fill="005CB9"/>
          </w:tcPr>
          <w:p>
            <w:pPr>
              <w:spacing w:after="0"/>
              <w:rPr>
                <w:sz w:val="18"/>
                <w:szCs w:val="18"/>
                <w:color w:val="auto"/>
              </w:rPr>
            </w:pPr>
          </w:p>
        </w:tc>
        <w:tc>
          <w:tcPr>
            <w:tcW w:w="1220" w:type="dxa"/>
            <w:vAlign w:val="bottom"/>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Change In</w:t>
            </w:r>
          </w:p>
        </w:tc>
        <w:tc>
          <w:tcPr>
            <w:tcW w:w="1520" w:type="dxa"/>
            <w:vAlign w:val="bottom"/>
            <w:shd w:val="clear" w:color="auto" w:fill="005CB9"/>
          </w:tcPr>
          <w:p>
            <w:pPr>
              <w:spacing w:after="0"/>
              <w:rPr>
                <w:sz w:val="18"/>
                <w:szCs w:val="18"/>
                <w:color w:val="auto"/>
              </w:rPr>
            </w:pPr>
          </w:p>
        </w:tc>
        <w:tc>
          <w:tcPr>
            <w:tcW w:w="300" w:type="dxa"/>
            <w:vAlign w:val="bottom"/>
            <w:shd w:val="clear" w:color="auto" w:fill="005CB9"/>
          </w:tcPr>
          <w:p>
            <w:pPr>
              <w:spacing w:after="0"/>
              <w:rPr>
                <w:sz w:val="18"/>
                <w:szCs w:val="18"/>
                <w:color w:val="auto"/>
              </w:rPr>
            </w:pPr>
          </w:p>
        </w:tc>
        <w:tc>
          <w:tcPr>
            <w:tcW w:w="860" w:type="dxa"/>
            <w:vAlign w:val="bottom"/>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005CB9"/>
          </w:tcPr>
          <w:p>
            <w:pPr>
              <w:spacing w:after="0"/>
              <w:rPr>
                <w:sz w:val="13"/>
                <w:szCs w:val="13"/>
                <w:color w:val="auto"/>
              </w:rPr>
            </w:pPr>
          </w:p>
        </w:tc>
        <w:tc>
          <w:tcPr>
            <w:tcW w:w="5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c>
          <w:tcPr>
            <w:tcW w:w="1220" w:type="dxa"/>
            <w:vAlign w:val="bottom"/>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Pension Value</w:t>
            </w:r>
          </w:p>
        </w:tc>
        <w:tc>
          <w:tcPr>
            <w:tcW w:w="152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005CB9"/>
          </w:tcPr>
          <w:p>
            <w:pPr>
              <w:spacing w:after="0"/>
              <w:rPr>
                <w:sz w:val="13"/>
                <w:szCs w:val="13"/>
                <w:color w:val="auto"/>
              </w:rPr>
            </w:pPr>
          </w:p>
        </w:tc>
        <w:tc>
          <w:tcPr>
            <w:tcW w:w="5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c>
          <w:tcPr>
            <w:tcW w:w="1220" w:type="dxa"/>
            <w:vAlign w:val="bottom"/>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w w:val="96"/>
              </w:rPr>
              <w:t>and</w:t>
            </w:r>
          </w:p>
        </w:tc>
        <w:tc>
          <w:tcPr>
            <w:tcW w:w="152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005CB9"/>
          </w:tcPr>
          <w:p>
            <w:pPr>
              <w:spacing w:after="0"/>
              <w:rPr>
                <w:sz w:val="13"/>
                <w:szCs w:val="13"/>
                <w:color w:val="auto"/>
              </w:rPr>
            </w:pPr>
          </w:p>
        </w:tc>
        <w:tc>
          <w:tcPr>
            <w:tcW w:w="5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c>
          <w:tcPr>
            <w:tcW w:w="1220" w:type="dxa"/>
            <w:vAlign w:val="bottom"/>
            <w:shd w:val="clear" w:color="auto" w:fill="005CB9"/>
          </w:tcPr>
          <w:p>
            <w:pPr>
              <w:jc w:val="center"/>
              <w:ind w:right="89"/>
              <w:spacing w:after="0"/>
              <w:rPr>
                <w:sz w:val="20"/>
                <w:szCs w:val="20"/>
                <w:color w:val="auto"/>
              </w:rPr>
            </w:pPr>
            <w:r>
              <w:rPr>
                <w:rFonts w:ascii="Arial" w:cs="Arial" w:eastAsia="Arial" w:hAnsi="Arial"/>
                <w:sz w:val="14"/>
                <w:szCs w:val="14"/>
                <w:b w:val="1"/>
                <w:bCs w:val="1"/>
                <w:color w:val="FFFFFF"/>
              </w:rPr>
              <w:t>Nonqualified</w:t>
            </w:r>
          </w:p>
        </w:tc>
        <w:tc>
          <w:tcPr>
            <w:tcW w:w="152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005CB9"/>
          </w:tcPr>
          <w:p>
            <w:pPr>
              <w:spacing w:after="0"/>
              <w:rPr>
                <w:sz w:val="13"/>
                <w:szCs w:val="13"/>
                <w:color w:val="auto"/>
              </w:rPr>
            </w:pPr>
          </w:p>
        </w:tc>
        <w:tc>
          <w:tcPr>
            <w:tcW w:w="5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8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Non-Equity</w:t>
            </w:r>
          </w:p>
        </w:tc>
        <w:tc>
          <w:tcPr>
            <w:tcW w:w="1220" w:type="dxa"/>
            <w:vAlign w:val="bottom"/>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Deferred</w:t>
            </w:r>
          </w:p>
        </w:tc>
        <w:tc>
          <w:tcPr>
            <w:tcW w:w="152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60" w:type="dxa"/>
            <w:vAlign w:val="bottom"/>
            <w:shd w:val="clear" w:color="auto" w:fill="005CB9"/>
          </w:tcPr>
          <w:p>
            <w:pPr>
              <w:spacing w:after="0"/>
              <w:rPr>
                <w:sz w:val="13"/>
                <w:szCs w:val="13"/>
                <w:color w:val="auto"/>
              </w:rPr>
            </w:pPr>
          </w:p>
        </w:tc>
        <w:tc>
          <w:tcPr>
            <w:tcW w:w="5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jc w:val="center"/>
              <w:ind w:right="89"/>
              <w:spacing w:after="0" w:line="157" w:lineRule="exact"/>
              <w:rPr>
                <w:sz w:val="20"/>
                <w:szCs w:val="20"/>
                <w:color w:val="auto"/>
              </w:rPr>
            </w:pPr>
            <w:r>
              <w:rPr>
                <w:rFonts w:ascii="Arial" w:cs="Arial" w:eastAsia="Arial" w:hAnsi="Arial"/>
                <w:sz w:val="14"/>
                <w:szCs w:val="14"/>
                <w:b w:val="1"/>
                <w:bCs w:val="1"/>
                <w:color w:val="FFFFFF"/>
                <w:w w:val="99"/>
              </w:rPr>
              <w:t>Stock</w:t>
            </w: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jc w:val="center"/>
              <w:ind w:right="89"/>
              <w:spacing w:after="0" w:line="157" w:lineRule="exact"/>
              <w:rPr>
                <w:sz w:val="20"/>
                <w:szCs w:val="20"/>
                <w:color w:val="auto"/>
              </w:rPr>
            </w:pPr>
            <w:r>
              <w:rPr>
                <w:rFonts w:ascii="Arial" w:cs="Arial" w:eastAsia="Arial" w:hAnsi="Arial"/>
                <w:sz w:val="14"/>
                <w:szCs w:val="14"/>
                <w:b w:val="1"/>
                <w:bCs w:val="1"/>
                <w:color w:val="FFFFFF"/>
              </w:rPr>
              <w:t>Option</w:t>
            </w:r>
          </w:p>
        </w:tc>
        <w:tc>
          <w:tcPr>
            <w:tcW w:w="1080" w:type="dxa"/>
            <w:vAlign w:val="bottom"/>
            <w:shd w:val="clear" w:color="auto" w:fill="005CB9"/>
          </w:tcPr>
          <w:p>
            <w:pPr>
              <w:jc w:val="center"/>
              <w:spacing w:after="0" w:line="157" w:lineRule="exact"/>
              <w:rPr>
                <w:sz w:val="20"/>
                <w:szCs w:val="20"/>
                <w:color w:val="auto"/>
              </w:rPr>
            </w:pPr>
            <w:r>
              <w:rPr>
                <w:rFonts w:ascii="Arial" w:cs="Arial" w:eastAsia="Arial" w:hAnsi="Arial"/>
                <w:sz w:val="14"/>
                <w:szCs w:val="14"/>
                <w:b w:val="1"/>
                <w:bCs w:val="1"/>
                <w:color w:val="FFFFFF"/>
              </w:rPr>
              <w:t>Incentive Plan</w:t>
            </w:r>
          </w:p>
        </w:tc>
        <w:tc>
          <w:tcPr>
            <w:tcW w:w="1220" w:type="dxa"/>
            <w:vAlign w:val="bottom"/>
            <w:shd w:val="clear" w:color="auto" w:fill="005CB9"/>
          </w:tcPr>
          <w:p>
            <w:pPr>
              <w:jc w:val="center"/>
              <w:ind w:right="69"/>
              <w:spacing w:after="0" w:line="157" w:lineRule="exact"/>
              <w:rPr>
                <w:sz w:val="20"/>
                <w:szCs w:val="20"/>
                <w:color w:val="auto"/>
              </w:rPr>
            </w:pPr>
            <w:r>
              <w:rPr>
                <w:rFonts w:ascii="Arial" w:cs="Arial" w:eastAsia="Arial" w:hAnsi="Arial"/>
                <w:sz w:val="14"/>
                <w:szCs w:val="14"/>
                <w:b w:val="1"/>
                <w:bCs w:val="1"/>
                <w:color w:val="FFFFFF"/>
              </w:rPr>
              <w:t>Compensation</w:t>
            </w:r>
          </w:p>
        </w:tc>
        <w:tc>
          <w:tcPr>
            <w:tcW w:w="152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60" w:type="dxa"/>
            <w:vAlign w:val="bottom"/>
            <w:shd w:val="clear" w:color="auto" w:fill="005CB9"/>
          </w:tcPr>
          <w:p>
            <w:pPr>
              <w:spacing w:after="0"/>
              <w:rPr>
                <w:sz w:val="15"/>
                <w:szCs w:val="15"/>
                <w:color w:val="auto"/>
              </w:rPr>
            </w:pPr>
          </w:p>
        </w:tc>
        <w:tc>
          <w:tcPr>
            <w:tcW w:w="500" w:type="dxa"/>
            <w:vAlign w:val="bottom"/>
            <w:shd w:val="clear" w:color="auto" w:fill="005CB9"/>
          </w:tcPr>
          <w:p>
            <w:pPr>
              <w:spacing w:after="0"/>
              <w:rPr>
                <w:sz w:val="15"/>
                <w:szCs w:val="15"/>
                <w:color w:val="auto"/>
              </w:rPr>
            </w:pPr>
          </w:p>
        </w:tc>
        <w:tc>
          <w:tcPr>
            <w:tcW w:w="200" w:type="dxa"/>
            <w:vAlign w:val="bottom"/>
            <w:shd w:val="clear" w:color="auto" w:fill="005CB9"/>
          </w:tcPr>
          <w:p>
            <w:pPr>
              <w:spacing w:after="0"/>
              <w:rPr>
                <w:sz w:val="15"/>
                <w:szCs w:val="15"/>
                <w:color w:val="auto"/>
              </w:rPr>
            </w:pPr>
          </w:p>
        </w:tc>
        <w:tc>
          <w:tcPr>
            <w:tcW w:w="700" w:type="dxa"/>
            <w:vAlign w:val="bottom"/>
            <w:shd w:val="clear" w:color="auto" w:fill="005CB9"/>
          </w:tcPr>
          <w:p>
            <w:pPr>
              <w:spacing w:after="0"/>
              <w:rPr>
                <w:sz w:val="15"/>
                <w:szCs w:val="15"/>
                <w:color w:val="auto"/>
              </w:rPr>
            </w:pPr>
          </w:p>
        </w:tc>
        <w:tc>
          <w:tcPr>
            <w:tcW w:w="760" w:type="dxa"/>
            <w:vAlign w:val="bottom"/>
            <w:shd w:val="clear" w:color="auto" w:fill="005CB9"/>
          </w:tcPr>
          <w:p>
            <w:pPr>
              <w:spacing w:after="0"/>
              <w:rPr>
                <w:sz w:val="15"/>
                <w:szCs w:val="15"/>
                <w:color w:val="auto"/>
              </w:rPr>
            </w:pPr>
          </w:p>
        </w:tc>
        <w:tc>
          <w:tcPr>
            <w:tcW w:w="860" w:type="dxa"/>
            <w:vAlign w:val="bottom"/>
            <w:gridSpan w:val="2"/>
            <w:shd w:val="clear" w:color="auto" w:fill="005CB9"/>
          </w:tcPr>
          <w:p>
            <w:pPr>
              <w:jc w:val="center"/>
              <w:spacing w:after="0" w:line="174" w:lineRule="exact"/>
              <w:rPr>
                <w:sz w:val="20"/>
                <w:szCs w:val="20"/>
                <w:color w:val="auto"/>
              </w:rPr>
            </w:pPr>
            <w:r>
              <w:rPr>
                <w:rFonts w:ascii="Arial" w:cs="Arial" w:eastAsia="Arial" w:hAnsi="Arial"/>
                <w:sz w:val="14"/>
                <w:szCs w:val="14"/>
                <w:b w:val="1"/>
                <w:bCs w:val="1"/>
                <w:color w:val="FFFFFF"/>
                <w:w w:val="95"/>
              </w:rPr>
              <w:t>Awards</w:t>
            </w:r>
            <w:r>
              <w:rPr>
                <w:rFonts w:ascii="Arial" w:cs="Arial" w:eastAsia="Arial" w:hAnsi="Arial"/>
                <w:sz w:val="20"/>
                <w:szCs w:val="20"/>
                <w:b w:val="1"/>
                <w:bCs w:val="1"/>
                <w:color w:val="FFFFFF"/>
                <w:w w:val="95"/>
                <w:vertAlign w:val="superscript"/>
              </w:rPr>
              <w:t>(C)</w:t>
            </w:r>
          </w:p>
        </w:tc>
        <w:tc>
          <w:tcPr>
            <w:tcW w:w="860" w:type="dxa"/>
            <w:vAlign w:val="bottom"/>
            <w:gridSpan w:val="2"/>
            <w:shd w:val="clear" w:color="auto" w:fill="005CB9"/>
          </w:tcPr>
          <w:p>
            <w:pPr>
              <w:jc w:val="center"/>
              <w:spacing w:after="0" w:line="174" w:lineRule="exact"/>
              <w:rPr>
                <w:sz w:val="20"/>
                <w:szCs w:val="20"/>
                <w:color w:val="auto"/>
              </w:rPr>
            </w:pPr>
            <w:r>
              <w:rPr>
                <w:rFonts w:ascii="Arial" w:cs="Arial" w:eastAsia="Arial" w:hAnsi="Arial"/>
                <w:sz w:val="14"/>
                <w:szCs w:val="14"/>
                <w:b w:val="1"/>
                <w:bCs w:val="1"/>
                <w:color w:val="FFFFFF"/>
                <w:w w:val="95"/>
              </w:rPr>
              <w:t>Awards</w:t>
            </w:r>
            <w:r>
              <w:rPr>
                <w:rFonts w:ascii="Arial" w:cs="Arial" w:eastAsia="Arial" w:hAnsi="Arial"/>
                <w:sz w:val="20"/>
                <w:szCs w:val="20"/>
                <w:b w:val="1"/>
                <w:bCs w:val="1"/>
                <w:color w:val="FFFFFF"/>
                <w:w w:val="95"/>
                <w:vertAlign w:val="superscript"/>
              </w:rPr>
              <w:t>(C)</w:t>
            </w:r>
          </w:p>
        </w:tc>
        <w:tc>
          <w:tcPr>
            <w:tcW w:w="108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005CB9"/>
          </w:tcPr>
          <w:p>
            <w:pPr>
              <w:jc w:val="center"/>
              <w:ind w:right="69"/>
              <w:spacing w:after="0" w:line="174" w:lineRule="exact"/>
              <w:rPr>
                <w:sz w:val="20"/>
                <w:szCs w:val="20"/>
                <w:color w:val="auto"/>
              </w:rPr>
            </w:pPr>
            <w:r>
              <w:rPr>
                <w:rFonts w:ascii="Arial" w:cs="Arial" w:eastAsia="Arial" w:hAnsi="Arial"/>
                <w:sz w:val="14"/>
                <w:szCs w:val="14"/>
                <w:b w:val="1"/>
                <w:bCs w:val="1"/>
                <w:color w:val="FFFFFF"/>
                <w:w w:val="96"/>
              </w:rPr>
              <w:t>Earnings</w:t>
            </w:r>
            <w:r>
              <w:rPr>
                <w:rFonts w:ascii="Arial" w:cs="Arial" w:eastAsia="Arial" w:hAnsi="Arial"/>
                <w:sz w:val="20"/>
                <w:szCs w:val="20"/>
                <w:b w:val="1"/>
                <w:bCs w:val="1"/>
                <w:color w:val="FFFFFF"/>
                <w:w w:val="96"/>
                <w:vertAlign w:val="superscript"/>
              </w:rPr>
              <w:t>(D)</w:t>
            </w:r>
          </w:p>
        </w:tc>
        <w:tc>
          <w:tcPr>
            <w:tcW w:w="1520" w:type="dxa"/>
            <w:vAlign w:val="bottom"/>
            <w:shd w:val="clear" w:color="auto" w:fill="005CB9"/>
          </w:tcPr>
          <w:p>
            <w:pPr>
              <w:spacing w:after="0"/>
              <w:rPr>
                <w:sz w:val="15"/>
                <w:szCs w:val="15"/>
                <w:color w:val="auto"/>
              </w:rPr>
            </w:pPr>
          </w:p>
        </w:tc>
        <w:tc>
          <w:tcPr>
            <w:tcW w:w="300" w:type="dxa"/>
            <w:vAlign w:val="bottom"/>
            <w:shd w:val="clear" w:color="auto" w:fill="005CB9"/>
          </w:tcPr>
          <w:p>
            <w:pPr>
              <w:spacing w:after="0"/>
              <w:rPr>
                <w:sz w:val="15"/>
                <w:szCs w:val="15"/>
                <w:color w:val="auto"/>
              </w:rPr>
            </w:pPr>
          </w:p>
        </w:tc>
        <w:tc>
          <w:tcPr>
            <w:tcW w:w="860" w:type="dxa"/>
            <w:vAlign w:val="bottom"/>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60" w:type="dxa"/>
            <w:vAlign w:val="bottom"/>
            <w:shd w:val="clear" w:color="auto" w:fill="005CB9"/>
          </w:tcPr>
          <w:p>
            <w:pPr>
              <w:spacing w:after="0"/>
              <w:rPr>
                <w:sz w:val="18"/>
                <w:szCs w:val="18"/>
                <w:color w:val="auto"/>
              </w:rPr>
            </w:pPr>
          </w:p>
        </w:tc>
        <w:tc>
          <w:tcPr>
            <w:tcW w:w="500" w:type="dxa"/>
            <w:vAlign w:val="bottom"/>
            <w:shd w:val="clear" w:color="auto" w:fill="005CB9"/>
          </w:tcPr>
          <w:p>
            <w:pPr>
              <w:spacing w:after="0"/>
              <w:rPr>
                <w:sz w:val="18"/>
                <w:szCs w:val="18"/>
                <w:color w:val="auto"/>
              </w:rPr>
            </w:pPr>
          </w:p>
        </w:tc>
        <w:tc>
          <w:tcPr>
            <w:tcW w:w="200" w:type="dxa"/>
            <w:vAlign w:val="bottom"/>
            <w:shd w:val="clear" w:color="auto" w:fill="005CB9"/>
          </w:tcPr>
          <w:p>
            <w:pPr>
              <w:spacing w:after="0"/>
              <w:rPr>
                <w:sz w:val="18"/>
                <w:szCs w:val="18"/>
                <w:color w:val="auto"/>
              </w:rPr>
            </w:pPr>
          </w:p>
        </w:tc>
        <w:tc>
          <w:tcPr>
            <w:tcW w:w="700" w:type="dxa"/>
            <w:vAlign w:val="bottom"/>
            <w:shd w:val="clear" w:color="auto" w:fill="005CB9"/>
          </w:tcPr>
          <w:p>
            <w:pPr>
              <w:spacing w:after="0"/>
              <w:rPr>
                <w:sz w:val="18"/>
                <w:szCs w:val="18"/>
                <w:color w:val="auto"/>
              </w:rPr>
            </w:pPr>
          </w:p>
        </w:tc>
        <w:tc>
          <w:tcPr>
            <w:tcW w:w="760" w:type="dxa"/>
            <w:vAlign w:val="bottom"/>
            <w:shd w:val="clear" w:color="auto" w:fill="005CB9"/>
          </w:tcPr>
          <w:p>
            <w:pPr>
              <w:spacing w:after="0"/>
              <w:rPr>
                <w:sz w:val="18"/>
                <w:szCs w:val="18"/>
                <w:color w:val="auto"/>
              </w:rPr>
            </w:pPr>
          </w:p>
        </w:tc>
        <w:tc>
          <w:tcPr>
            <w:tcW w:w="160" w:type="dxa"/>
            <w:vAlign w:val="bottom"/>
            <w:shd w:val="clear" w:color="auto" w:fill="005CB9"/>
          </w:tcPr>
          <w:p>
            <w:pPr>
              <w:spacing w:after="0"/>
              <w:rPr>
                <w:sz w:val="18"/>
                <w:szCs w:val="18"/>
                <w:color w:val="auto"/>
              </w:rPr>
            </w:pPr>
          </w:p>
        </w:tc>
        <w:tc>
          <w:tcPr>
            <w:tcW w:w="700" w:type="dxa"/>
            <w:vAlign w:val="bottom"/>
            <w:shd w:val="clear" w:color="auto" w:fill="005CB9"/>
          </w:tcPr>
          <w:p>
            <w:pPr>
              <w:spacing w:after="0"/>
              <w:rPr>
                <w:sz w:val="18"/>
                <w:szCs w:val="18"/>
                <w:color w:val="auto"/>
              </w:rPr>
            </w:pPr>
          </w:p>
        </w:tc>
        <w:tc>
          <w:tcPr>
            <w:tcW w:w="160" w:type="dxa"/>
            <w:vAlign w:val="bottom"/>
            <w:shd w:val="clear" w:color="auto" w:fill="005CB9"/>
          </w:tcPr>
          <w:p>
            <w:pPr>
              <w:spacing w:after="0"/>
              <w:rPr>
                <w:sz w:val="18"/>
                <w:szCs w:val="18"/>
                <w:color w:val="auto"/>
              </w:rPr>
            </w:pPr>
          </w:p>
        </w:tc>
        <w:tc>
          <w:tcPr>
            <w:tcW w:w="700" w:type="dxa"/>
            <w:vAlign w:val="bottom"/>
            <w:shd w:val="clear" w:color="auto" w:fill="005CB9"/>
          </w:tcPr>
          <w:p>
            <w:pPr>
              <w:spacing w:after="0"/>
              <w:rPr>
                <w:sz w:val="18"/>
                <w:szCs w:val="18"/>
                <w:color w:val="auto"/>
              </w:rPr>
            </w:pPr>
          </w:p>
        </w:tc>
        <w:tc>
          <w:tcPr>
            <w:tcW w:w="1080" w:type="dxa"/>
            <w:vAlign w:val="bottom"/>
            <w:shd w:val="clear" w:color="auto" w:fill="005CB9"/>
          </w:tcPr>
          <w:p>
            <w:pPr>
              <w:spacing w:after="0"/>
              <w:rPr>
                <w:sz w:val="18"/>
                <w:szCs w:val="18"/>
                <w:color w:val="auto"/>
              </w:rPr>
            </w:pPr>
          </w:p>
        </w:tc>
        <w:tc>
          <w:tcPr>
            <w:tcW w:w="1220" w:type="dxa"/>
            <w:vAlign w:val="bottom"/>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Pension</w:t>
            </w:r>
          </w:p>
        </w:tc>
        <w:tc>
          <w:tcPr>
            <w:tcW w:w="1520" w:type="dxa"/>
            <w:vAlign w:val="bottom"/>
            <w:shd w:val="clear" w:color="auto" w:fill="005CB9"/>
          </w:tcPr>
          <w:p>
            <w:pPr>
              <w:spacing w:after="0"/>
              <w:rPr>
                <w:sz w:val="18"/>
                <w:szCs w:val="18"/>
                <w:color w:val="auto"/>
              </w:rPr>
            </w:pPr>
          </w:p>
        </w:tc>
        <w:tc>
          <w:tcPr>
            <w:tcW w:w="300" w:type="dxa"/>
            <w:vAlign w:val="bottom"/>
            <w:shd w:val="clear" w:color="auto" w:fill="005CB9"/>
          </w:tcPr>
          <w:p>
            <w:pPr>
              <w:spacing w:after="0"/>
              <w:rPr>
                <w:sz w:val="18"/>
                <w:szCs w:val="18"/>
                <w:color w:val="auto"/>
              </w:rPr>
            </w:pPr>
          </w:p>
        </w:tc>
        <w:tc>
          <w:tcPr>
            <w:tcW w:w="860" w:type="dxa"/>
            <w:vAlign w:val="bottom"/>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005CB9"/>
          </w:tcPr>
          <w:p>
            <w:pPr>
              <w:spacing w:after="0"/>
              <w:rPr>
                <w:sz w:val="13"/>
                <w:szCs w:val="13"/>
                <w:color w:val="auto"/>
              </w:rPr>
            </w:pPr>
          </w:p>
        </w:tc>
        <w:tc>
          <w:tcPr>
            <w:tcW w:w="5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c>
          <w:tcPr>
            <w:tcW w:w="1220" w:type="dxa"/>
            <w:vAlign w:val="bottom"/>
            <w:shd w:val="clear" w:color="auto" w:fill="005CB9"/>
          </w:tcPr>
          <w:p>
            <w:pPr>
              <w:jc w:val="center"/>
              <w:ind w:right="89"/>
              <w:spacing w:after="0"/>
              <w:rPr>
                <w:sz w:val="20"/>
                <w:szCs w:val="20"/>
                <w:color w:val="auto"/>
              </w:rPr>
            </w:pPr>
            <w:r>
              <w:rPr>
                <w:rFonts w:ascii="Arial" w:cs="Arial" w:eastAsia="Arial" w:hAnsi="Arial"/>
                <w:sz w:val="14"/>
                <w:szCs w:val="14"/>
                <w:b w:val="1"/>
                <w:bCs w:val="1"/>
                <w:color w:val="FFFFFF"/>
              </w:rPr>
              <w:t>Accruals and</w:t>
            </w:r>
          </w:p>
        </w:tc>
        <w:tc>
          <w:tcPr>
            <w:tcW w:w="152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005CB9"/>
          </w:tcPr>
          <w:p>
            <w:pPr>
              <w:spacing w:after="0"/>
              <w:rPr>
                <w:sz w:val="13"/>
                <w:szCs w:val="13"/>
                <w:color w:val="auto"/>
              </w:rPr>
            </w:pPr>
          </w:p>
        </w:tc>
        <w:tc>
          <w:tcPr>
            <w:tcW w:w="5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c>
          <w:tcPr>
            <w:tcW w:w="1220" w:type="dxa"/>
            <w:vAlign w:val="bottom"/>
            <w:shd w:val="clear" w:color="auto" w:fill="005CB9"/>
          </w:tcPr>
          <w:p>
            <w:pPr>
              <w:jc w:val="center"/>
              <w:ind w:right="89"/>
              <w:spacing w:after="0"/>
              <w:rPr>
                <w:sz w:val="20"/>
                <w:szCs w:val="20"/>
                <w:color w:val="auto"/>
              </w:rPr>
            </w:pPr>
            <w:r>
              <w:rPr>
                <w:rFonts w:ascii="Arial" w:cs="Arial" w:eastAsia="Arial" w:hAnsi="Arial"/>
                <w:sz w:val="14"/>
                <w:szCs w:val="14"/>
                <w:b w:val="1"/>
                <w:bCs w:val="1"/>
                <w:color w:val="FFFFFF"/>
              </w:rPr>
              <w:t>Above-Market</w:t>
            </w:r>
          </w:p>
        </w:tc>
        <w:tc>
          <w:tcPr>
            <w:tcW w:w="152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005CB9"/>
          </w:tcPr>
          <w:p>
            <w:pPr>
              <w:spacing w:after="0"/>
              <w:rPr>
                <w:sz w:val="13"/>
                <w:szCs w:val="13"/>
                <w:color w:val="auto"/>
              </w:rPr>
            </w:pPr>
          </w:p>
        </w:tc>
        <w:tc>
          <w:tcPr>
            <w:tcW w:w="5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80" w:type="dxa"/>
            <w:vAlign w:val="bottom"/>
            <w:shd w:val="clear" w:color="auto" w:fill="005CB9"/>
          </w:tcPr>
          <w:p>
            <w:pPr>
              <w:spacing w:after="0"/>
              <w:rPr>
                <w:sz w:val="13"/>
                <w:szCs w:val="13"/>
                <w:color w:val="auto"/>
              </w:rPr>
            </w:pPr>
          </w:p>
        </w:tc>
        <w:tc>
          <w:tcPr>
            <w:tcW w:w="1220" w:type="dxa"/>
            <w:vAlign w:val="bottom"/>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Interest on</w:t>
            </w:r>
          </w:p>
        </w:tc>
        <w:tc>
          <w:tcPr>
            <w:tcW w:w="152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60" w:type="dxa"/>
            <w:vAlign w:val="bottom"/>
            <w:shd w:val="clear" w:color="auto" w:fill="005CB9"/>
          </w:tcPr>
          <w:p>
            <w:pPr>
              <w:spacing w:after="0"/>
              <w:rPr>
                <w:sz w:val="13"/>
                <w:szCs w:val="13"/>
                <w:color w:val="auto"/>
              </w:rPr>
            </w:pPr>
          </w:p>
        </w:tc>
        <w:tc>
          <w:tcPr>
            <w:tcW w:w="50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860" w:type="dxa"/>
            <w:vAlign w:val="bottom"/>
            <w:gridSpan w:val="2"/>
            <w:shd w:val="clear" w:color="auto" w:fill="005CB9"/>
          </w:tcPr>
          <w:p>
            <w:pPr>
              <w:ind w:left="80"/>
              <w:spacing w:after="0"/>
              <w:rPr>
                <w:sz w:val="20"/>
                <w:szCs w:val="20"/>
                <w:color w:val="auto"/>
              </w:rPr>
            </w:pPr>
            <w:r>
              <w:rPr>
                <w:rFonts w:ascii="Arial" w:cs="Arial" w:eastAsia="Arial" w:hAnsi="Arial"/>
                <w:sz w:val="14"/>
                <w:szCs w:val="14"/>
                <w:b w:val="1"/>
                <w:bCs w:val="1"/>
                <w:color w:val="FFFFFF"/>
              </w:rPr>
              <w:t>Restricted</w:t>
            </w: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108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Performance-</w:t>
            </w:r>
          </w:p>
        </w:tc>
        <w:tc>
          <w:tcPr>
            <w:tcW w:w="1220" w:type="dxa"/>
            <w:vAlign w:val="bottom"/>
            <w:shd w:val="clear" w:color="auto" w:fill="005CB9"/>
          </w:tcPr>
          <w:p>
            <w:pPr>
              <w:jc w:val="center"/>
              <w:ind w:right="89"/>
              <w:spacing w:after="0"/>
              <w:rPr>
                <w:sz w:val="20"/>
                <w:szCs w:val="20"/>
                <w:color w:val="auto"/>
              </w:rPr>
            </w:pPr>
            <w:r>
              <w:rPr>
                <w:rFonts w:ascii="Arial" w:cs="Arial" w:eastAsia="Arial" w:hAnsi="Arial"/>
                <w:sz w:val="14"/>
                <w:szCs w:val="14"/>
                <w:b w:val="1"/>
                <w:bCs w:val="1"/>
                <w:color w:val="FFFFFF"/>
              </w:rPr>
              <w:t>Nonqualified</w:t>
            </w:r>
          </w:p>
        </w:tc>
        <w:tc>
          <w:tcPr>
            <w:tcW w:w="1520" w:type="dxa"/>
            <w:vAlign w:val="bottom"/>
            <w:vMerge w:val="restart"/>
            <w:shd w:val="clear" w:color="auto" w:fill="005CB9"/>
          </w:tcPr>
          <w:p>
            <w:pPr>
              <w:jc w:val="right"/>
              <w:ind w:right="389"/>
              <w:spacing w:after="0"/>
              <w:rPr>
                <w:sz w:val="20"/>
                <w:szCs w:val="20"/>
                <w:color w:val="auto"/>
              </w:rPr>
            </w:pPr>
            <w:r>
              <w:rPr>
                <w:rFonts w:ascii="Arial" w:cs="Arial" w:eastAsia="Arial" w:hAnsi="Arial"/>
                <w:sz w:val="14"/>
                <w:szCs w:val="14"/>
                <w:b w:val="1"/>
                <w:bCs w:val="1"/>
                <w:color w:val="FFFFFF"/>
              </w:rPr>
              <w:t>All Other</w:t>
            </w: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60" w:type="dxa"/>
            <w:vAlign w:val="bottom"/>
            <w:shd w:val="clear" w:color="auto" w:fill="005CB9"/>
          </w:tcPr>
          <w:p>
            <w:pPr>
              <w:spacing w:after="0"/>
              <w:rPr>
                <w:sz w:val="12"/>
                <w:szCs w:val="12"/>
                <w:color w:val="auto"/>
              </w:rPr>
            </w:pPr>
          </w:p>
        </w:tc>
        <w:tc>
          <w:tcPr>
            <w:tcW w:w="500" w:type="dxa"/>
            <w:vAlign w:val="bottom"/>
            <w:shd w:val="clear" w:color="auto" w:fill="005CB9"/>
          </w:tcPr>
          <w:p>
            <w:pPr>
              <w:spacing w:after="0"/>
              <w:rPr>
                <w:sz w:val="12"/>
                <w:szCs w:val="12"/>
                <w:color w:val="auto"/>
              </w:rPr>
            </w:pPr>
          </w:p>
        </w:tc>
        <w:tc>
          <w:tcPr>
            <w:tcW w:w="200" w:type="dxa"/>
            <w:vAlign w:val="bottom"/>
            <w:shd w:val="clear" w:color="auto" w:fill="005CB9"/>
          </w:tcPr>
          <w:p>
            <w:pPr>
              <w:spacing w:after="0"/>
              <w:rPr>
                <w:sz w:val="12"/>
                <w:szCs w:val="12"/>
                <w:color w:val="auto"/>
              </w:rPr>
            </w:pPr>
          </w:p>
        </w:tc>
        <w:tc>
          <w:tcPr>
            <w:tcW w:w="700" w:type="dxa"/>
            <w:vAlign w:val="bottom"/>
            <w:shd w:val="clear" w:color="auto" w:fill="005CB9"/>
          </w:tcPr>
          <w:p>
            <w:pPr>
              <w:spacing w:after="0"/>
              <w:rPr>
                <w:sz w:val="12"/>
                <w:szCs w:val="12"/>
                <w:color w:val="auto"/>
              </w:rPr>
            </w:pPr>
          </w:p>
        </w:tc>
        <w:tc>
          <w:tcPr>
            <w:tcW w:w="760" w:type="dxa"/>
            <w:vAlign w:val="bottom"/>
            <w:shd w:val="clear" w:color="auto" w:fill="005CB9"/>
          </w:tcPr>
          <w:p>
            <w:pPr>
              <w:spacing w:after="0"/>
              <w:rPr>
                <w:sz w:val="12"/>
                <w:szCs w:val="12"/>
                <w:color w:val="auto"/>
              </w:rPr>
            </w:pPr>
          </w:p>
        </w:tc>
        <w:tc>
          <w:tcPr>
            <w:tcW w:w="160" w:type="dxa"/>
            <w:vAlign w:val="bottom"/>
            <w:shd w:val="clear" w:color="auto" w:fill="005CB9"/>
          </w:tcPr>
          <w:p>
            <w:pPr>
              <w:spacing w:after="0"/>
              <w:rPr>
                <w:sz w:val="12"/>
                <w:szCs w:val="12"/>
                <w:color w:val="auto"/>
              </w:rPr>
            </w:pPr>
          </w:p>
        </w:tc>
        <w:tc>
          <w:tcPr>
            <w:tcW w:w="700" w:type="dxa"/>
            <w:vAlign w:val="bottom"/>
            <w:shd w:val="clear" w:color="auto" w:fill="005CB9"/>
          </w:tcPr>
          <w:p>
            <w:pPr>
              <w:jc w:val="center"/>
              <w:ind w:right="89"/>
              <w:spacing w:after="0" w:line="143" w:lineRule="exact"/>
              <w:rPr>
                <w:sz w:val="20"/>
                <w:szCs w:val="20"/>
                <w:color w:val="auto"/>
              </w:rPr>
            </w:pPr>
            <w:r>
              <w:rPr>
                <w:rFonts w:ascii="Arial" w:cs="Arial" w:eastAsia="Arial" w:hAnsi="Arial"/>
                <w:sz w:val="14"/>
                <w:szCs w:val="14"/>
                <w:b w:val="1"/>
                <w:bCs w:val="1"/>
                <w:color w:val="FFFFFF"/>
                <w:w w:val="99"/>
              </w:rPr>
              <w:t>Stock</w:t>
            </w:r>
          </w:p>
        </w:tc>
        <w:tc>
          <w:tcPr>
            <w:tcW w:w="160" w:type="dxa"/>
            <w:vAlign w:val="bottom"/>
            <w:shd w:val="clear" w:color="auto" w:fill="005CB9"/>
          </w:tcPr>
          <w:p>
            <w:pPr>
              <w:spacing w:after="0"/>
              <w:rPr>
                <w:sz w:val="12"/>
                <w:szCs w:val="12"/>
                <w:color w:val="auto"/>
              </w:rPr>
            </w:pPr>
          </w:p>
        </w:tc>
        <w:tc>
          <w:tcPr>
            <w:tcW w:w="700" w:type="dxa"/>
            <w:vAlign w:val="bottom"/>
            <w:shd w:val="clear" w:color="auto" w:fill="005CB9"/>
          </w:tcPr>
          <w:p>
            <w:pPr>
              <w:jc w:val="center"/>
              <w:ind w:right="69"/>
              <w:spacing w:after="0" w:line="143" w:lineRule="exact"/>
              <w:rPr>
                <w:sz w:val="20"/>
                <w:szCs w:val="20"/>
                <w:color w:val="auto"/>
              </w:rPr>
            </w:pPr>
            <w:r>
              <w:rPr>
                <w:rFonts w:ascii="Arial" w:cs="Arial" w:eastAsia="Arial" w:hAnsi="Arial"/>
                <w:sz w:val="14"/>
                <w:szCs w:val="14"/>
                <w:b w:val="1"/>
                <w:bCs w:val="1"/>
                <w:color w:val="FFFFFF"/>
              </w:rPr>
              <w:t>Stock</w:t>
            </w:r>
          </w:p>
        </w:tc>
        <w:tc>
          <w:tcPr>
            <w:tcW w:w="1080" w:type="dxa"/>
            <w:vAlign w:val="bottom"/>
            <w:shd w:val="clear" w:color="auto" w:fill="005CB9"/>
          </w:tcPr>
          <w:p>
            <w:pPr>
              <w:jc w:val="center"/>
              <w:spacing w:after="0" w:line="143" w:lineRule="exact"/>
              <w:rPr>
                <w:sz w:val="20"/>
                <w:szCs w:val="20"/>
                <w:color w:val="auto"/>
              </w:rPr>
            </w:pPr>
            <w:r>
              <w:rPr>
                <w:rFonts w:ascii="Arial" w:cs="Arial" w:eastAsia="Arial" w:hAnsi="Arial"/>
                <w:sz w:val="14"/>
                <w:szCs w:val="14"/>
                <w:b w:val="1"/>
                <w:bCs w:val="1"/>
                <w:color w:val="FFFFFF"/>
              </w:rPr>
              <w:t>Based Annual</w:t>
            </w:r>
          </w:p>
        </w:tc>
        <w:tc>
          <w:tcPr>
            <w:tcW w:w="1220" w:type="dxa"/>
            <w:vAlign w:val="bottom"/>
            <w:shd w:val="clear" w:color="auto" w:fill="005CB9"/>
          </w:tcPr>
          <w:p>
            <w:pPr>
              <w:jc w:val="center"/>
              <w:ind w:right="69"/>
              <w:spacing w:after="0" w:line="143" w:lineRule="exact"/>
              <w:rPr>
                <w:sz w:val="20"/>
                <w:szCs w:val="20"/>
                <w:color w:val="auto"/>
              </w:rPr>
            </w:pPr>
            <w:r>
              <w:rPr>
                <w:rFonts w:ascii="Arial" w:cs="Arial" w:eastAsia="Arial" w:hAnsi="Arial"/>
                <w:sz w:val="14"/>
                <w:szCs w:val="14"/>
                <w:b w:val="1"/>
                <w:bCs w:val="1"/>
                <w:color w:val="FFFFFF"/>
              </w:rPr>
              <w:t>Deferred</w:t>
            </w:r>
          </w:p>
        </w:tc>
        <w:tc>
          <w:tcPr>
            <w:tcW w:w="1520" w:type="dxa"/>
            <w:vAlign w:val="bottom"/>
            <w:vMerge w:val="continue"/>
            <w:shd w:val="clear" w:color="auto" w:fill="005CB9"/>
          </w:tcPr>
          <w:p>
            <w:pPr>
              <w:spacing w:after="0"/>
              <w:rPr>
                <w:sz w:val="12"/>
                <w:szCs w:val="12"/>
                <w:color w:val="auto"/>
              </w:rPr>
            </w:pPr>
          </w:p>
        </w:tc>
        <w:tc>
          <w:tcPr>
            <w:tcW w:w="300" w:type="dxa"/>
            <w:vAlign w:val="bottom"/>
            <w:shd w:val="clear" w:color="auto" w:fill="005CB9"/>
          </w:tcPr>
          <w:p>
            <w:pPr>
              <w:spacing w:after="0"/>
              <w:rPr>
                <w:sz w:val="12"/>
                <w:szCs w:val="12"/>
                <w:color w:val="auto"/>
              </w:rPr>
            </w:pPr>
          </w:p>
        </w:tc>
        <w:tc>
          <w:tcPr>
            <w:tcW w:w="860" w:type="dxa"/>
            <w:vAlign w:val="bottom"/>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60" w:type="dxa"/>
            <w:vAlign w:val="bottom"/>
            <w:shd w:val="clear" w:color="auto" w:fill="005CB9"/>
          </w:tcPr>
          <w:p>
            <w:pPr>
              <w:spacing w:after="0"/>
              <w:rPr>
                <w:sz w:val="22"/>
                <w:szCs w:val="22"/>
                <w:color w:val="auto"/>
              </w:rPr>
            </w:pPr>
          </w:p>
        </w:tc>
        <w:tc>
          <w:tcPr>
            <w:tcW w:w="500" w:type="dxa"/>
            <w:vAlign w:val="bottom"/>
            <w:shd w:val="clear" w:color="auto" w:fill="005CB9"/>
          </w:tcPr>
          <w:p>
            <w:pPr>
              <w:ind w:left="140"/>
              <w:spacing w:after="0"/>
              <w:rPr>
                <w:sz w:val="20"/>
                <w:szCs w:val="20"/>
                <w:color w:val="auto"/>
              </w:rPr>
            </w:pPr>
            <w:r>
              <w:rPr>
                <w:rFonts w:ascii="Arial" w:cs="Arial" w:eastAsia="Arial" w:hAnsi="Arial"/>
                <w:sz w:val="14"/>
                <w:szCs w:val="14"/>
                <w:b w:val="1"/>
                <w:bCs w:val="1"/>
                <w:color w:val="FFFFFF"/>
              </w:rPr>
              <w:t>Year</w:t>
            </w:r>
          </w:p>
        </w:tc>
        <w:tc>
          <w:tcPr>
            <w:tcW w:w="200" w:type="dxa"/>
            <w:vAlign w:val="bottom"/>
            <w:shd w:val="clear" w:color="auto" w:fill="005CB9"/>
          </w:tcPr>
          <w:p>
            <w:pPr>
              <w:spacing w:after="0"/>
              <w:rPr>
                <w:sz w:val="22"/>
                <w:szCs w:val="22"/>
                <w:color w:val="auto"/>
              </w:rPr>
            </w:pPr>
          </w:p>
        </w:tc>
        <w:tc>
          <w:tcPr>
            <w:tcW w:w="700" w:type="dxa"/>
            <w:vAlign w:val="bottom"/>
            <w:shd w:val="clear" w:color="auto" w:fill="005CB9"/>
          </w:tcPr>
          <w:p>
            <w:pPr>
              <w:jc w:val="right"/>
              <w:ind w:right="149"/>
              <w:spacing w:after="0"/>
              <w:rPr>
                <w:sz w:val="20"/>
                <w:szCs w:val="20"/>
                <w:color w:val="auto"/>
              </w:rPr>
            </w:pPr>
            <w:r>
              <w:rPr>
                <w:rFonts w:ascii="Arial" w:cs="Arial" w:eastAsia="Arial" w:hAnsi="Arial"/>
                <w:sz w:val="14"/>
                <w:szCs w:val="14"/>
                <w:b w:val="1"/>
                <w:bCs w:val="1"/>
                <w:color w:val="FFFFFF"/>
              </w:rPr>
              <w:t>Salary</w:t>
            </w:r>
          </w:p>
        </w:tc>
        <w:tc>
          <w:tcPr>
            <w:tcW w:w="760" w:type="dxa"/>
            <w:vAlign w:val="bottom"/>
            <w:shd w:val="clear" w:color="auto" w:fill="005CB9"/>
          </w:tcPr>
          <w:p>
            <w:pPr>
              <w:jc w:val="right"/>
              <w:ind w:right="9"/>
              <w:spacing w:after="0"/>
              <w:rPr>
                <w:sz w:val="20"/>
                <w:szCs w:val="20"/>
                <w:color w:val="auto"/>
              </w:rPr>
            </w:pPr>
            <w:r>
              <w:rPr>
                <w:rFonts w:ascii="Arial" w:cs="Arial" w:eastAsia="Arial" w:hAnsi="Arial"/>
                <w:sz w:val="14"/>
                <w:szCs w:val="14"/>
                <w:b w:val="1"/>
                <w:bCs w:val="1"/>
                <w:color w:val="FFFFFF"/>
              </w:rPr>
              <w:t>Bonus</w:t>
            </w:r>
            <w:r>
              <w:rPr>
                <w:rFonts w:ascii="Arial" w:cs="Arial" w:eastAsia="Arial" w:hAnsi="Arial"/>
                <w:sz w:val="21"/>
                <w:szCs w:val="21"/>
                <w:b w:val="1"/>
                <w:bCs w:val="1"/>
                <w:color w:val="FFFFFF"/>
                <w:vertAlign w:val="superscript"/>
              </w:rPr>
              <w:t>(B)</w:t>
            </w:r>
          </w:p>
        </w:tc>
        <w:tc>
          <w:tcPr>
            <w:tcW w:w="160" w:type="dxa"/>
            <w:vAlign w:val="bottom"/>
            <w:shd w:val="clear" w:color="auto" w:fill="005CB9"/>
          </w:tcPr>
          <w:p>
            <w:pPr>
              <w:spacing w:after="0"/>
              <w:rPr>
                <w:sz w:val="22"/>
                <w:szCs w:val="22"/>
                <w:color w:val="auto"/>
              </w:rPr>
            </w:pPr>
          </w:p>
        </w:tc>
        <w:tc>
          <w:tcPr>
            <w:tcW w:w="700" w:type="dxa"/>
            <w:vAlign w:val="bottom"/>
            <w:shd w:val="clear" w:color="auto" w:fill="005CB9"/>
          </w:tcPr>
          <w:p>
            <w:pPr>
              <w:jc w:val="center"/>
              <w:ind w:right="89"/>
              <w:spacing w:after="0"/>
              <w:rPr>
                <w:sz w:val="20"/>
                <w:szCs w:val="20"/>
                <w:color w:val="auto"/>
              </w:rPr>
            </w:pPr>
            <w:r>
              <w:rPr>
                <w:rFonts w:ascii="Arial" w:cs="Arial" w:eastAsia="Arial" w:hAnsi="Arial"/>
                <w:sz w:val="14"/>
                <w:szCs w:val="14"/>
                <w:b w:val="1"/>
                <w:bCs w:val="1"/>
                <w:color w:val="FFFFFF"/>
                <w:w w:val="97"/>
              </w:rPr>
              <w:t>Units</w:t>
            </w:r>
          </w:p>
        </w:tc>
        <w:tc>
          <w:tcPr>
            <w:tcW w:w="160" w:type="dxa"/>
            <w:vAlign w:val="bottom"/>
            <w:shd w:val="clear" w:color="auto" w:fill="005CB9"/>
          </w:tcPr>
          <w:p>
            <w:pPr>
              <w:spacing w:after="0"/>
              <w:rPr>
                <w:sz w:val="22"/>
                <w:szCs w:val="22"/>
                <w:color w:val="auto"/>
              </w:rPr>
            </w:pPr>
          </w:p>
        </w:tc>
        <w:tc>
          <w:tcPr>
            <w:tcW w:w="700" w:type="dxa"/>
            <w:vAlign w:val="bottom"/>
            <w:shd w:val="clear" w:color="auto" w:fill="005CB9"/>
          </w:tcPr>
          <w:p>
            <w:pPr>
              <w:jc w:val="center"/>
              <w:ind w:right="89"/>
              <w:spacing w:after="0"/>
              <w:rPr>
                <w:sz w:val="20"/>
                <w:szCs w:val="20"/>
                <w:color w:val="auto"/>
              </w:rPr>
            </w:pPr>
            <w:r>
              <w:rPr>
                <w:rFonts w:ascii="Arial" w:cs="Arial" w:eastAsia="Arial" w:hAnsi="Arial"/>
                <w:sz w:val="14"/>
                <w:szCs w:val="14"/>
                <w:b w:val="1"/>
                <w:bCs w:val="1"/>
                <w:color w:val="FFFFFF"/>
              </w:rPr>
              <w:t>Options</w:t>
            </w:r>
          </w:p>
        </w:tc>
        <w:tc>
          <w:tcPr>
            <w:tcW w:w="108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Cash Bonus</w:t>
            </w:r>
          </w:p>
        </w:tc>
        <w:tc>
          <w:tcPr>
            <w:tcW w:w="1220" w:type="dxa"/>
            <w:vAlign w:val="bottom"/>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Compensation</w:t>
            </w:r>
          </w:p>
        </w:tc>
        <w:tc>
          <w:tcPr>
            <w:tcW w:w="1520" w:type="dxa"/>
            <w:vAlign w:val="bottom"/>
            <w:shd w:val="clear" w:color="auto" w:fill="005CB9"/>
          </w:tcPr>
          <w:p>
            <w:pPr>
              <w:jc w:val="right"/>
              <w:ind w:right="129"/>
              <w:spacing w:after="0"/>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1"/>
                <w:szCs w:val="21"/>
                <w:b w:val="1"/>
                <w:bCs w:val="1"/>
                <w:color w:val="FFFFFF"/>
                <w:vertAlign w:val="superscript"/>
              </w:rPr>
              <w:t>(E)</w:t>
            </w:r>
          </w:p>
        </w:tc>
        <w:tc>
          <w:tcPr>
            <w:tcW w:w="300" w:type="dxa"/>
            <w:vAlign w:val="bottom"/>
            <w:shd w:val="clear" w:color="auto" w:fill="005CB9"/>
          </w:tcPr>
          <w:p>
            <w:pPr>
              <w:spacing w:after="0"/>
              <w:rPr>
                <w:sz w:val="22"/>
                <w:szCs w:val="22"/>
                <w:color w:val="auto"/>
              </w:rPr>
            </w:pPr>
          </w:p>
        </w:tc>
        <w:tc>
          <w:tcPr>
            <w:tcW w:w="860" w:type="dxa"/>
            <w:vAlign w:val="bottom"/>
            <w:shd w:val="clear" w:color="auto" w:fill="005CB9"/>
          </w:tcPr>
          <w:p>
            <w:pPr>
              <w:jc w:val="right"/>
              <w:ind w:right="249"/>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8"/>
        </w:trPr>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Jeffrey W. Martin</w:t>
            </w:r>
          </w:p>
        </w:tc>
        <w:tc>
          <w:tcPr>
            <w:tcW w:w="500" w:type="dxa"/>
            <w:vAlign w:val="bottom"/>
          </w:tcPr>
          <w:p>
            <w:pPr>
              <w:ind w:left="140"/>
              <w:spacing w:after="0"/>
              <w:rPr>
                <w:sz w:val="20"/>
                <w:szCs w:val="20"/>
                <w:color w:val="auto"/>
              </w:rPr>
            </w:pPr>
            <w:r>
              <w:rPr>
                <w:rFonts w:ascii="Arial" w:cs="Arial" w:eastAsia="Arial" w:hAnsi="Arial"/>
                <w:sz w:val="14"/>
                <w:szCs w:val="14"/>
                <w:color w:val="auto"/>
              </w:rPr>
              <w:t>2025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1,700,000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w w:val="96"/>
              </w:rPr>
              <w:t>9,873,916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4,580,017</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$5,287,400</w:t>
            </w:r>
          </w:p>
        </w:tc>
        <w:tc>
          <w:tcPr>
            <w:tcW w:w="1220" w:type="dxa"/>
            <w:vAlign w:val="bottom"/>
          </w:tcPr>
          <w:p>
            <w:pPr>
              <w:jc w:val="right"/>
              <w:ind w:right="149"/>
              <w:spacing w:after="0"/>
              <w:rPr>
                <w:sz w:val="20"/>
                <w:szCs w:val="20"/>
                <w:color w:val="auto"/>
              </w:rPr>
            </w:pPr>
            <w:r>
              <w:rPr>
                <w:rFonts w:ascii="Arial" w:cs="Arial" w:eastAsia="Arial" w:hAnsi="Arial"/>
                <w:sz w:val="14"/>
                <w:szCs w:val="14"/>
                <w:color w:val="auto"/>
              </w:rPr>
              <w:t>$     28,388</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$775,868</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w w:val="99"/>
              </w:rPr>
              <w:t>22,245,589</w:t>
            </w:r>
          </w:p>
        </w:tc>
        <w:tc>
          <w:tcPr>
            <w:tcW w:w="0" w:type="dxa"/>
            <w:vAlign w:val="bottom"/>
          </w:tcPr>
          <w:p>
            <w:pPr>
              <w:spacing w:after="0"/>
              <w:rPr>
                <w:sz w:val="1"/>
                <w:szCs w:val="1"/>
                <w:color w:val="auto"/>
              </w:rPr>
            </w:pPr>
          </w:p>
        </w:tc>
      </w:tr>
      <w:tr>
        <w:trPr>
          <w:trHeight w:val="76"/>
        </w:trPr>
        <w:tc>
          <w:tcPr>
            <w:tcW w:w="2060" w:type="dxa"/>
            <w:vAlign w:val="bottom"/>
            <w:vMerge w:val="restart"/>
          </w:tcPr>
          <w:p>
            <w:pPr>
              <w:ind w:left="80"/>
              <w:spacing w:after="0"/>
              <w:rPr>
                <w:sz w:val="20"/>
                <w:szCs w:val="20"/>
                <w:color w:val="auto"/>
              </w:rPr>
            </w:pPr>
            <w:r>
              <w:rPr>
                <w:rFonts w:ascii="Arial" w:cs="Arial" w:eastAsia="Arial" w:hAnsi="Arial"/>
                <w:sz w:val="14"/>
                <w:szCs w:val="14"/>
                <w:color w:val="auto"/>
              </w:rPr>
              <w:t>Chairman, Chief</w:t>
            </w:r>
          </w:p>
        </w:tc>
        <w:tc>
          <w:tcPr>
            <w:tcW w:w="500" w:type="dxa"/>
            <w:vAlign w:val="bottom"/>
            <w:tcBorders>
              <w:bottom w:val="single" w:sz="8" w:color="7F7F7F"/>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80" w:type="dxa"/>
            <w:vAlign w:val="bottom"/>
            <w:tcBorders>
              <w:bottom w:val="single" w:sz="8" w:color="7F7F7F"/>
            </w:tcBorders>
          </w:tcPr>
          <w:p>
            <w:pPr>
              <w:spacing w:after="0"/>
              <w:rPr>
                <w:sz w:val="6"/>
                <w:szCs w:val="6"/>
                <w:color w:val="auto"/>
              </w:rPr>
            </w:pPr>
          </w:p>
        </w:tc>
        <w:tc>
          <w:tcPr>
            <w:tcW w:w="1220" w:type="dxa"/>
            <w:vAlign w:val="bottom"/>
            <w:tcBorders>
              <w:bottom w:val="single" w:sz="8" w:color="7F7F7F"/>
            </w:tcBorders>
          </w:tcPr>
          <w:p>
            <w:pPr>
              <w:spacing w:after="0"/>
              <w:rPr>
                <w:sz w:val="6"/>
                <w:szCs w:val="6"/>
                <w:color w:val="auto"/>
              </w:rPr>
            </w:pPr>
          </w:p>
        </w:tc>
        <w:tc>
          <w:tcPr>
            <w:tcW w:w="152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60" w:type="dxa"/>
            <w:vAlign w:val="bottom"/>
            <w:vMerge w:val="continue"/>
          </w:tcPr>
          <w:p>
            <w:pPr>
              <w:spacing w:after="0"/>
              <w:rPr>
                <w:sz w:val="5"/>
                <w:szCs w:val="5"/>
                <w:color w:val="auto"/>
              </w:rPr>
            </w:pPr>
          </w:p>
        </w:tc>
        <w:tc>
          <w:tcPr>
            <w:tcW w:w="500" w:type="dxa"/>
            <w:vAlign w:val="bottom"/>
            <w:shd w:val="clear" w:color="auto" w:fill="F2F2F2"/>
          </w:tcPr>
          <w:p>
            <w:pPr>
              <w:spacing w:after="0"/>
              <w:rPr>
                <w:sz w:val="5"/>
                <w:szCs w:val="5"/>
                <w:color w:val="auto"/>
              </w:rPr>
            </w:pPr>
          </w:p>
        </w:tc>
        <w:tc>
          <w:tcPr>
            <w:tcW w:w="20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76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1080" w:type="dxa"/>
            <w:vAlign w:val="bottom"/>
            <w:shd w:val="clear" w:color="auto" w:fill="F2F2F2"/>
          </w:tcPr>
          <w:p>
            <w:pPr>
              <w:spacing w:after="0"/>
              <w:rPr>
                <w:sz w:val="5"/>
                <w:szCs w:val="5"/>
                <w:color w:val="auto"/>
              </w:rPr>
            </w:pPr>
          </w:p>
        </w:tc>
        <w:tc>
          <w:tcPr>
            <w:tcW w:w="1220" w:type="dxa"/>
            <w:vAlign w:val="bottom"/>
            <w:shd w:val="clear" w:color="auto" w:fill="F2F2F2"/>
          </w:tcPr>
          <w:p>
            <w:pPr>
              <w:spacing w:after="0"/>
              <w:rPr>
                <w:sz w:val="5"/>
                <w:szCs w:val="5"/>
                <w:color w:val="auto"/>
              </w:rPr>
            </w:pPr>
          </w:p>
        </w:tc>
        <w:tc>
          <w:tcPr>
            <w:tcW w:w="152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86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80"/>
              <w:spacing w:after="0"/>
              <w:rPr>
                <w:sz w:val="20"/>
                <w:szCs w:val="20"/>
                <w:color w:val="auto"/>
              </w:rPr>
            </w:pPr>
            <w:r>
              <w:rPr>
                <w:rFonts w:ascii="Arial" w:cs="Arial" w:eastAsia="Arial" w:hAnsi="Arial"/>
                <w:sz w:val="14"/>
                <w:szCs w:val="14"/>
                <w:color w:val="auto"/>
              </w:rPr>
              <w:t>Executive Officer</w:t>
            </w:r>
          </w:p>
        </w:tc>
        <w:tc>
          <w:tcPr>
            <w:tcW w:w="50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w w:val="99"/>
              </w:rPr>
              <w:t>1,600,000</w:t>
            </w:r>
          </w:p>
        </w:tc>
        <w:tc>
          <w:tcPr>
            <w:tcW w:w="76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w w:val="96"/>
              </w:rPr>
              <w:t>9,262,310</w:t>
            </w:r>
          </w:p>
        </w:tc>
        <w:tc>
          <w:tcPr>
            <w:tcW w:w="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w w:val="99"/>
              </w:rPr>
              <w:t>4,241,667</w:t>
            </w:r>
          </w:p>
        </w:tc>
        <w:tc>
          <w:tcPr>
            <w:tcW w:w="108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$4,002,100</w:t>
            </w:r>
          </w:p>
        </w:tc>
        <w:tc>
          <w:tcPr>
            <w:tcW w:w="122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$1,651,377</w:t>
            </w:r>
          </w:p>
        </w:tc>
        <w:tc>
          <w:tcPr>
            <w:tcW w:w="1520" w:type="dxa"/>
            <w:vAlign w:val="bottom"/>
            <w:shd w:val="clear" w:color="auto" w:fill="F2F2F2"/>
          </w:tcPr>
          <w:p>
            <w:pPr>
              <w:jc w:val="right"/>
              <w:ind w:right="369"/>
              <w:spacing w:after="0"/>
              <w:rPr>
                <w:sz w:val="20"/>
                <w:szCs w:val="20"/>
                <w:color w:val="auto"/>
              </w:rPr>
            </w:pPr>
            <w:r>
              <w:rPr>
                <w:rFonts w:ascii="Arial" w:cs="Arial" w:eastAsia="Arial" w:hAnsi="Arial"/>
                <w:sz w:val="14"/>
                <w:szCs w:val="14"/>
                <w:color w:val="auto"/>
              </w:rPr>
              <w:t>$756,348</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69"/>
              <w:spacing w:after="0"/>
              <w:rPr>
                <w:sz w:val="20"/>
                <w:szCs w:val="20"/>
                <w:color w:val="auto"/>
              </w:rPr>
            </w:pPr>
            <w:r>
              <w:rPr>
                <w:rFonts w:ascii="Arial" w:cs="Arial" w:eastAsia="Arial" w:hAnsi="Arial"/>
                <w:sz w:val="14"/>
                <w:szCs w:val="14"/>
                <w:color w:val="auto"/>
                <w:w w:val="99"/>
              </w:rPr>
              <w:t>21,513,802</w:t>
            </w:r>
          </w:p>
        </w:tc>
        <w:tc>
          <w:tcPr>
            <w:tcW w:w="0" w:type="dxa"/>
            <w:vAlign w:val="bottom"/>
          </w:tcPr>
          <w:p>
            <w:pPr>
              <w:spacing w:after="0"/>
              <w:rPr>
                <w:sz w:val="1"/>
                <w:szCs w:val="1"/>
                <w:color w:val="auto"/>
              </w:rPr>
            </w:pPr>
          </w:p>
        </w:tc>
      </w:tr>
      <w:tr>
        <w:trPr>
          <w:trHeight w:val="103"/>
        </w:trPr>
        <w:tc>
          <w:tcPr>
            <w:tcW w:w="2060" w:type="dxa"/>
            <w:vAlign w:val="bottom"/>
            <w:vMerge w:val="restart"/>
          </w:tcPr>
          <w:p>
            <w:pPr>
              <w:ind w:left="80"/>
              <w:spacing w:after="0"/>
              <w:rPr>
                <w:sz w:val="20"/>
                <w:szCs w:val="20"/>
                <w:color w:val="auto"/>
              </w:rPr>
            </w:pPr>
            <w:r>
              <w:rPr>
                <w:rFonts w:ascii="Arial" w:cs="Arial" w:eastAsia="Arial" w:hAnsi="Arial"/>
                <w:sz w:val="14"/>
                <w:szCs w:val="14"/>
                <w:color w:val="auto"/>
              </w:rPr>
              <w:t>and President</w:t>
            </w:r>
          </w:p>
        </w:tc>
        <w:tc>
          <w:tcPr>
            <w:tcW w:w="500" w:type="dxa"/>
            <w:vAlign w:val="bottom"/>
            <w:tcBorders>
              <w:bottom w:val="single" w:sz="8" w:color="7F7F7F"/>
            </w:tcBorders>
            <w:shd w:val="clear" w:color="auto" w:fill="F2F2F2"/>
          </w:tcPr>
          <w:p>
            <w:pPr>
              <w:spacing w:after="0"/>
              <w:rPr>
                <w:sz w:val="8"/>
                <w:szCs w:val="8"/>
                <w:color w:val="auto"/>
              </w:rPr>
            </w:pPr>
          </w:p>
        </w:tc>
        <w:tc>
          <w:tcPr>
            <w:tcW w:w="200" w:type="dxa"/>
            <w:vAlign w:val="bottom"/>
            <w:tcBorders>
              <w:bottom w:val="single" w:sz="8" w:color="7F7F7F"/>
            </w:tcBorders>
            <w:shd w:val="clear" w:color="auto" w:fill="F2F2F2"/>
          </w:tcPr>
          <w:p>
            <w:pPr>
              <w:spacing w:after="0"/>
              <w:rPr>
                <w:sz w:val="8"/>
                <w:szCs w:val="8"/>
                <w:color w:val="auto"/>
              </w:rPr>
            </w:pPr>
          </w:p>
        </w:tc>
        <w:tc>
          <w:tcPr>
            <w:tcW w:w="700" w:type="dxa"/>
            <w:vAlign w:val="bottom"/>
            <w:tcBorders>
              <w:bottom w:val="single" w:sz="8" w:color="7F7F7F"/>
            </w:tcBorders>
            <w:shd w:val="clear" w:color="auto" w:fill="F2F2F2"/>
          </w:tcPr>
          <w:p>
            <w:pPr>
              <w:spacing w:after="0"/>
              <w:rPr>
                <w:sz w:val="8"/>
                <w:szCs w:val="8"/>
                <w:color w:val="auto"/>
              </w:rPr>
            </w:pPr>
          </w:p>
        </w:tc>
        <w:tc>
          <w:tcPr>
            <w:tcW w:w="760" w:type="dxa"/>
            <w:vAlign w:val="bottom"/>
            <w:tcBorders>
              <w:bottom w:val="single" w:sz="8" w:color="7F7F7F"/>
            </w:tcBorders>
            <w:shd w:val="clear" w:color="auto" w:fill="F2F2F2"/>
          </w:tcPr>
          <w:p>
            <w:pPr>
              <w:spacing w:after="0"/>
              <w:rPr>
                <w:sz w:val="8"/>
                <w:szCs w:val="8"/>
                <w:color w:val="auto"/>
              </w:rPr>
            </w:pPr>
          </w:p>
        </w:tc>
        <w:tc>
          <w:tcPr>
            <w:tcW w:w="160" w:type="dxa"/>
            <w:vAlign w:val="bottom"/>
            <w:tcBorders>
              <w:bottom w:val="single" w:sz="8" w:color="7F7F7F"/>
            </w:tcBorders>
            <w:shd w:val="clear" w:color="auto" w:fill="F2F2F2"/>
          </w:tcPr>
          <w:p>
            <w:pPr>
              <w:spacing w:after="0"/>
              <w:rPr>
                <w:sz w:val="8"/>
                <w:szCs w:val="8"/>
                <w:color w:val="auto"/>
              </w:rPr>
            </w:pPr>
          </w:p>
        </w:tc>
        <w:tc>
          <w:tcPr>
            <w:tcW w:w="700" w:type="dxa"/>
            <w:vAlign w:val="bottom"/>
            <w:tcBorders>
              <w:bottom w:val="single" w:sz="8" w:color="7F7F7F"/>
            </w:tcBorders>
            <w:shd w:val="clear" w:color="auto" w:fill="F2F2F2"/>
          </w:tcPr>
          <w:p>
            <w:pPr>
              <w:spacing w:after="0"/>
              <w:rPr>
                <w:sz w:val="8"/>
                <w:szCs w:val="8"/>
                <w:color w:val="auto"/>
              </w:rPr>
            </w:pPr>
          </w:p>
        </w:tc>
        <w:tc>
          <w:tcPr>
            <w:tcW w:w="160" w:type="dxa"/>
            <w:vAlign w:val="bottom"/>
            <w:tcBorders>
              <w:bottom w:val="single" w:sz="8" w:color="7F7F7F"/>
            </w:tcBorders>
            <w:shd w:val="clear" w:color="auto" w:fill="F2F2F2"/>
          </w:tcPr>
          <w:p>
            <w:pPr>
              <w:spacing w:after="0"/>
              <w:rPr>
                <w:sz w:val="8"/>
                <w:szCs w:val="8"/>
                <w:color w:val="auto"/>
              </w:rPr>
            </w:pPr>
          </w:p>
        </w:tc>
        <w:tc>
          <w:tcPr>
            <w:tcW w:w="700" w:type="dxa"/>
            <w:vAlign w:val="bottom"/>
            <w:tcBorders>
              <w:bottom w:val="single" w:sz="8" w:color="7F7F7F"/>
            </w:tcBorders>
            <w:shd w:val="clear" w:color="auto" w:fill="F2F2F2"/>
          </w:tcPr>
          <w:p>
            <w:pPr>
              <w:spacing w:after="0"/>
              <w:rPr>
                <w:sz w:val="8"/>
                <w:szCs w:val="8"/>
                <w:color w:val="auto"/>
              </w:rPr>
            </w:pPr>
          </w:p>
        </w:tc>
        <w:tc>
          <w:tcPr>
            <w:tcW w:w="1080" w:type="dxa"/>
            <w:vAlign w:val="bottom"/>
            <w:tcBorders>
              <w:bottom w:val="single" w:sz="8" w:color="7F7F7F"/>
            </w:tcBorders>
            <w:shd w:val="clear" w:color="auto" w:fill="F2F2F2"/>
          </w:tcPr>
          <w:p>
            <w:pPr>
              <w:spacing w:after="0"/>
              <w:rPr>
                <w:sz w:val="8"/>
                <w:szCs w:val="8"/>
                <w:color w:val="auto"/>
              </w:rPr>
            </w:pPr>
          </w:p>
        </w:tc>
        <w:tc>
          <w:tcPr>
            <w:tcW w:w="1220" w:type="dxa"/>
            <w:vAlign w:val="bottom"/>
            <w:tcBorders>
              <w:bottom w:val="single" w:sz="8" w:color="7F7F7F"/>
            </w:tcBorders>
            <w:shd w:val="clear" w:color="auto" w:fill="F2F2F2"/>
          </w:tcPr>
          <w:p>
            <w:pPr>
              <w:spacing w:after="0"/>
              <w:rPr>
                <w:sz w:val="8"/>
                <w:szCs w:val="8"/>
                <w:color w:val="auto"/>
              </w:rPr>
            </w:pPr>
          </w:p>
        </w:tc>
        <w:tc>
          <w:tcPr>
            <w:tcW w:w="1520" w:type="dxa"/>
            <w:vAlign w:val="bottom"/>
            <w:tcBorders>
              <w:bottom w:val="single" w:sz="8" w:color="7F7F7F"/>
            </w:tcBorders>
            <w:shd w:val="clear" w:color="auto" w:fill="F2F2F2"/>
          </w:tcPr>
          <w:p>
            <w:pPr>
              <w:spacing w:after="0"/>
              <w:rPr>
                <w:sz w:val="8"/>
                <w:szCs w:val="8"/>
                <w:color w:val="auto"/>
              </w:rPr>
            </w:pPr>
          </w:p>
        </w:tc>
        <w:tc>
          <w:tcPr>
            <w:tcW w:w="300" w:type="dxa"/>
            <w:vAlign w:val="bottom"/>
            <w:tcBorders>
              <w:bottom w:val="single" w:sz="8" w:color="7F7F7F"/>
            </w:tcBorders>
            <w:shd w:val="clear" w:color="auto" w:fill="F2F2F2"/>
          </w:tcPr>
          <w:p>
            <w:pPr>
              <w:spacing w:after="0"/>
              <w:rPr>
                <w:sz w:val="8"/>
                <w:szCs w:val="8"/>
                <w:color w:val="auto"/>
              </w:rPr>
            </w:pPr>
          </w:p>
        </w:tc>
        <w:tc>
          <w:tcPr>
            <w:tcW w:w="860" w:type="dxa"/>
            <w:vAlign w:val="bottom"/>
            <w:tcBorders>
              <w:bottom w:val="single" w:sz="8" w:color="7F7F7F"/>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60" w:type="dxa"/>
            <w:vAlign w:val="bottom"/>
            <w:vMerge w:val="continue"/>
          </w:tcPr>
          <w:p>
            <w:pPr>
              <w:spacing w:after="0"/>
              <w:rPr>
                <w:sz w:val="5"/>
                <w:szCs w:val="5"/>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color w:val="auto"/>
              </w:rPr>
              <w:t>2023</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1,500,000</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w w:val="96"/>
              </w:rPr>
              <w:t>8,252,705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3,833,364</w:t>
            </w: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color w:val="auto"/>
              </w:rPr>
              <w:t>$4,631,300</w:t>
            </w:r>
          </w:p>
        </w:tc>
        <w:tc>
          <w:tcPr>
            <w:tcW w:w="1220" w:type="dxa"/>
            <w:vAlign w:val="bottom"/>
            <w:vMerge w:val="restart"/>
          </w:tcPr>
          <w:p>
            <w:pPr>
              <w:jc w:val="right"/>
              <w:ind w:right="149"/>
              <w:spacing w:after="0"/>
              <w:rPr>
                <w:sz w:val="20"/>
                <w:szCs w:val="20"/>
                <w:color w:val="auto"/>
              </w:rPr>
            </w:pPr>
            <w:r>
              <w:rPr>
                <w:rFonts w:ascii="Arial" w:cs="Arial" w:eastAsia="Arial" w:hAnsi="Arial"/>
                <w:sz w:val="14"/>
                <w:szCs w:val="14"/>
                <w:color w:val="auto"/>
              </w:rPr>
              <w:t>$8,369,692</w:t>
            </w:r>
          </w:p>
        </w:tc>
        <w:tc>
          <w:tcPr>
            <w:tcW w:w="1520" w:type="dxa"/>
            <w:vAlign w:val="bottom"/>
            <w:vMerge w:val="restart"/>
          </w:tcPr>
          <w:p>
            <w:pPr>
              <w:jc w:val="right"/>
              <w:ind w:right="369"/>
              <w:spacing w:after="0"/>
              <w:rPr>
                <w:sz w:val="20"/>
                <w:szCs w:val="20"/>
                <w:color w:val="auto"/>
              </w:rPr>
            </w:pPr>
            <w:r>
              <w:rPr>
                <w:rFonts w:ascii="Arial" w:cs="Arial" w:eastAsia="Arial" w:hAnsi="Arial"/>
                <w:sz w:val="14"/>
                <w:szCs w:val="14"/>
                <w:color w:val="auto"/>
              </w:rPr>
              <w:t>$834,820</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69"/>
              <w:spacing w:after="0"/>
              <w:rPr>
                <w:sz w:val="20"/>
                <w:szCs w:val="20"/>
                <w:color w:val="auto"/>
              </w:rPr>
            </w:pPr>
            <w:r>
              <w:rPr>
                <w:rFonts w:ascii="Arial" w:cs="Arial" w:eastAsia="Arial" w:hAnsi="Arial"/>
                <w:sz w:val="14"/>
                <w:szCs w:val="14"/>
                <w:color w:val="auto"/>
                <w:w w:val="99"/>
              </w:rPr>
              <w:t>27,421,881</w:t>
            </w: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60" w:type="dxa"/>
            <w:vAlign w:val="bottom"/>
            <w:tcBorders>
              <w:bottom w:val="single" w:sz="8" w:color="7F7F7F"/>
            </w:tcBorders>
          </w:tcPr>
          <w:p>
            <w:pPr>
              <w:spacing w:after="0"/>
              <w:rPr>
                <w:sz w:val="6"/>
                <w:szCs w:val="6"/>
                <w:color w:val="auto"/>
              </w:rPr>
            </w:pPr>
          </w:p>
        </w:tc>
        <w:tc>
          <w:tcPr>
            <w:tcW w:w="500" w:type="dxa"/>
            <w:vAlign w:val="bottom"/>
            <w:tcBorders>
              <w:bottom w:val="single" w:sz="8" w:color="7F7F7F"/>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80" w:type="dxa"/>
            <w:vAlign w:val="bottom"/>
            <w:tcBorders>
              <w:bottom w:val="single" w:sz="8" w:color="7F7F7F"/>
            </w:tcBorders>
          </w:tcPr>
          <w:p>
            <w:pPr>
              <w:spacing w:after="0"/>
              <w:rPr>
                <w:sz w:val="6"/>
                <w:szCs w:val="6"/>
                <w:color w:val="auto"/>
              </w:rPr>
            </w:pPr>
          </w:p>
        </w:tc>
        <w:tc>
          <w:tcPr>
            <w:tcW w:w="1220" w:type="dxa"/>
            <w:vAlign w:val="bottom"/>
            <w:tcBorders>
              <w:bottom w:val="single" w:sz="8" w:color="7F7F7F"/>
            </w:tcBorders>
          </w:tcPr>
          <w:p>
            <w:pPr>
              <w:spacing w:after="0"/>
              <w:rPr>
                <w:sz w:val="6"/>
                <w:szCs w:val="6"/>
                <w:color w:val="auto"/>
              </w:rPr>
            </w:pPr>
          </w:p>
        </w:tc>
        <w:tc>
          <w:tcPr>
            <w:tcW w:w="152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Karen L. Sedgwick</w:t>
            </w:r>
          </w:p>
        </w:tc>
        <w:tc>
          <w:tcPr>
            <w:tcW w:w="50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2025</w:t>
            </w:r>
          </w:p>
        </w:tc>
        <w:tc>
          <w:tcPr>
            <w:tcW w:w="2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700,000</w:t>
            </w:r>
          </w:p>
        </w:tc>
        <w:tc>
          <w:tcPr>
            <w:tcW w:w="76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w w:val="96"/>
              </w:rPr>
              <w:t>1,811,056</w:t>
            </w:r>
          </w:p>
        </w:tc>
        <w:tc>
          <w:tcPr>
            <w:tcW w:w="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840,014</w:t>
            </w:r>
          </w:p>
        </w:tc>
        <w:tc>
          <w:tcPr>
            <w:tcW w:w="108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$1,088,600</w:t>
            </w:r>
          </w:p>
        </w:tc>
        <w:tc>
          <w:tcPr>
            <w:tcW w:w="122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$2,050,160</w:t>
            </w:r>
          </w:p>
        </w:tc>
        <w:tc>
          <w:tcPr>
            <w:tcW w:w="1520" w:type="dxa"/>
            <w:vAlign w:val="bottom"/>
            <w:shd w:val="clear" w:color="auto" w:fill="F2F2F2"/>
          </w:tcPr>
          <w:p>
            <w:pPr>
              <w:jc w:val="right"/>
              <w:ind w:right="369"/>
              <w:spacing w:after="0"/>
              <w:rPr>
                <w:sz w:val="20"/>
                <w:szCs w:val="20"/>
                <w:color w:val="auto"/>
              </w:rPr>
            </w:pPr>
            <w:r>
              <w:rPr>
                <w:rFonts w:ascii="Arial" w:cs="Arial" w:eastAsia="Arial" w:hAnsi="Arial"/>
                <w:sz w:val="14"/>
                <w:szCs w:val="14"/>
                <w:color w:val="auto"/>
              </w:rPr>
              <w:t>$129,644</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69"/>
              <w:spacing w:after="0"/>
              <w:rPr>
                <w:sz w:val="20"/>
                <w:szCs w:val="20"/>
                <w:color w:val="auto"/>
              </w:rPr>
            </w:pPr>
            <w:r>
              <w:rPr>
                <w:rFonts w:ascii="Arial" w:cs="Arial" w:eastAsia="Arial" w:hAnsi="Arial"/>
                <w:sz w:val="14"/>
                <w:szCs w:val="14"/>
                <w:color w:val="auto"/>
              </w:rPr>
              <w:t>6,619,474</w:t>
            </w:r>
          </w:p>
        </w:tc>
        <w:tc>
          <w:tcPr>
            <w:tcW w:w="0" w:type="dxa"/>
            <w:vAlign w:val="bottom"/>
          </w:tcPr>
          <w:p>
            <w:pPr>
              <w:spacing w:after="0"/>
              <w:rPr>
                <w:sz w:val="1"/>
                <w:szCs w:val="1"/>
                <w:color w:val="auto"/>
              </w:rPr>
            </w:pPr>
          </w:p>
        </w:tc>
      </w:tr>
      <w:tr>
        <w:trPr>
          <w:trHeight w:val="76"/>
        </w:trPr>
        <w:tc>
          <w:tcPr>
            <w:tcW w:w="2060" w:type="dxa"/>
            <w:vAlign w:val="bottom"/>
            <w:vMerge w:val="restart"/>
          </w:tcPr>
          <w:p>
            <w:pPr>
              <w:ind w:left="80"/>
              <w:spacing w:after="0"/>
              <w:rPr>
                <w:sz w:val="20"/>
                <w:szCs w:val="20"/>
                <w:color w:val="auto"/>
              </w:rPr>
            </w:pPr>
            <w:r>
              <w:rPr>
                <w:rFonts w:ascii="Arial" w:cs="Arial" w:eastAsia="Arial" w:hAnsi="Arial"/>
                <w:sz w:val="14"/>
                <w:szCs w:val="14"/>
                <w:color w:val="auto"/>
              </w:rPr>
              <w:t>Executive Vice President and</w:t>
            </w:r>
          </w:p>
        </w:tc>
        <w:tc>
          <w:tcPr>
            <w:tcW w:w="500" w:type="dxa"/>
            <w:vAlign w:val="bottom"/>
            <w:tcBorders>
              <w:bottom w:val="single" w:sz="8" w:color="7F7F7F"/>
            </w:tcBorders>
            <w:shd w:val="clear" w:color="auto" w:fill="F2F2F2"/>
          </w:tcPr>
          <w:p>
            <w:pPr>
              <w:spacing w:after="0"/>
              <w:rPr>
                <w:sz w:val="6"/>
                <w:szCs w:val="6"/>
                <w:color w:val="auto"/>
              </w:rPr>
            </w:pPr>
          </w:p>
        </w:tc>
        <w:tc>
          <w:tcPr>
            <w:tcW w:w="200" w:type="dxa"/>
            <w:vAlign w:val="bottom"/>
            <w:tcBorders>
              <w:bottom w:val="single" w:sz="8" w:color="7F7F7F"/>
            </w:tcBorders>
            <w:shd w:val="clear" w:color="auto" w:fill="F2F2F2"/>
          </w:tcPr>
          <w:p>
            <w:pPr>
              <w:spacing w:after="0"/>
              <w:rPr>
                <w:sz w:val="6"/>
                <w:szCs w:val="6"/>
                <w:color w:val="auto"/>
              </w:rPr>
            </w:pPr>
          </w:p>
        </w:tc>
        <w:tc>
          <w:tcPr>
            <w:tcW w:w="700" w:type="dxa"/>
            <w:vAlign w:val="bottom"/>
            <w:tcBorders>
              <w:bottom w:val="single" w:sz="8" w:color="7F7F7F"/>
            </w:tcBorders>
            <w:shd w:val="clear" w:color="auto" w:fill="F2F2F2"/>
          </w:tcPr>
          <w:p>
            <w:pPr>
              <w:spacing w:after="0"/>
              <w:rPr>
                <w:sz w:val="6"/>
                <w:szCs w:val="6"/>
                <w:color w:val="auto"/>
              </w:rPr>
            </w:pPr>
          </w:p>
        </w:tc>
        <w:tc>
          <w:tcPr>
            <w:tcW w:w="760" w:type="dxa"/>
            <w:vAlign w:val="bottom"/>
            <w:tcBorders>
              <w:bottom w:val="single" w:sz="8" w:color="7F7F7F"/>
            </w:tcBorders>
            <w:shd w:val="clear" w:color="auto" w:fill="F2F2F2"/>
          </w:tcPr>
          <w:p>
            <w:pPr>
              <w:spacing w:after="0"/>
              <w:rPr>
                <w:sz w:val="6"/>
                <w:szCs w:val="6"/>
                <w:color w:val="auto"/>
              </w:rPr>
            </w:pPr>
          </w:p>
        </w:tc>
        <w:tc>
          <w:tcPr>
            <w:tcW w:w="160" w:type="dxa"/>
            <w:vAlign w:val="bottom"/>
            <w:tcBorders>
              <w:bottom w:val="single" w:sz="8" w:color="7F7F7F"/>
            </w:tcBorders>
            <w:shd w:val="clear" w:color="auto" w:fill="F2F2F2"/>
          </w:tcPr>
          <w:p>
            <w:pPr>
              <w:spacing w:after="0"/>
              <w:rPr>
                <w:sz w:val="6"/>
                <w:szCs w:val="6"/>
                <w:color w:val="auto"/>
              </w:rPr>
            </w:pPr>
          </w:p>
        </w:tc>
        <w:tc>
          <w:tcPr>
            <w:tcW w:w="700" w:type="dxa"/>
            <w:vAlign w:val="bottom"/>
            <w:tcBorders>
              <w:bottom w:val="single" w:sz="8" w:color="7F7F7F"/>
            </w:tcBorders>
            <w:shd w:val="clear" w:color="auto" w:fill="F2F2F2"/>
          </w:tcPr>
          <w:p>
            <w:pPr>
              <w:spacing w:after="0"/>
              <w:rPr>
                <w:sz w:val="6"/>
                <w:szCs w:val="6"/>
                <w:color w:val="auto"/>
              </w:rPr>
            </w:pPr>
          </w:p>
        </w:tc>
        <w:tc>
          <w:tcPr>
            <w:tcW w:w="160" w:type="dxa"/>
            <w:vAlign w:val="bottom"/>
            <w:tcBorders>
              <w:bottom w:val="single" w:sz="8" w:color="7F7F7F"/>
            </w:tcBorders>
            <w:shd w:val="clear" w:color="auto" w:fill="F2F2F2"/>
          </w:tcPr>
          <w:p>
            <w:pPr>
              <w:spacing w:after="0"/>
              <w:rPr>
                <w:sz w:val="6"/>
                <w:szCs w:val="6"/>
                <w:color w:val="auto"/>
              </w:rPr>
            </w:pPr>
          </w:p>
        </w:tc>
        <w:tc>
          <w:tcPr>
            <w:tcW w:w="700" w:type="dxa"/>
            <w:vAlign w:val="bottom"/>
            <w:tcBorders>
              <w:bottom w:val="single" w:sz="8" w:color="7F7F7F"/>
            </w:tcBorders>
            <w:shd w:val="clear" w:color="auto" w:fill="F2F2F2"/>
          </w:tcPr>
          <w:p>
            <w:pPr>
              <w:spacing w:after="0"/>
              <w:rPr>
                <w:sz w:val="6"/>
                <w:szCs w:val="6"/>
                <w:color w:val="auto"/>
              </w:rPr>
            </w:pPr>
          </w:p>
        </w:tc>
        <w:tc>
          <w:tcPr>
            <w:tcW w:w="1080" w:type="dxa"/>
            <w:vAlign w:val="bottom"/>
            <w:tcBorders>
              <w:bottom w:val="single" w:sz="8" w:color="7F7F7F"/>
            </w:tcBorders>
            <w:shd w:val="clear" w:color="auto" w:fill="F2F2F2"/>
          </w:tcPr>
          <w:p>
            <w:pPr>
              <w:spacing w:after="0"/>
              <w:rPr>
                <w:sz w:val="6"/>
                <w:szCs w:val="6"/>
                <w:color w:val="auto"/>
              </w:rPr>
            </w:pPr>
          </w:p>
        </w:tc>
        <w:tc>
          <w:tcPr>
            <w:tcW w:w="1220" w:type="dxa"/>
            <w:vAlign w:val="bottom"/>
            <w:tcBorders>
              <w:bottom w:val="single" w:sz="8" w:color="7F7F7F"/>
            </w:tcBorders>
            <w:shd w:val="clear" w:color="auto" w:fill="F2F2F2"/>
          </w:tcPr>
          <w:p>
            <w:pPr>
              <w:spacing w:after="0"/>
              <w:rPr>
                <w:sz w:val="6"/>
                <w:szCs w:val="6"/>
                <w:color w:val="auto"/>
              </w:rPr>
            </w:pPr>
          </w:p>
        </w:tc>
        <w:tc>
          <w:tcPr>
            <w:tcW w:w="152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80"/>
              <w:spacing w:after="0"/>
              <w:rPr>
                <w:sz w:val="20"/>
                <w:szCs w:val="20"/>
                <w:color w:val="auto"/>
              </w:rPr>
            </w:pPr>
            <w:r>
              <w:rPr>
                <w:rFonts w:ascii="Arial" w:cs="Arial" w:eastAsia="Arial" w:hAnsi="Arial"/>
                <w:sz w:val="14"/>
                <w:szCs w:val="14"/>
                <w:color w:val="auto"/>
              </w:rPr>
              <w:t>Chief</w:t>
            </w:r>
          </w:p>
        </w:tc>
        <w:tc>
          <w:tcPr>
            <w:tcW w:w="500" w:type="dxa"/>
            <w:vAlign w:val="bottom"/>
          </w:tcPr>
          <w:p>
            <w:pPr>
              <w:ind w:left="140"/>
              <w:spacing w:after="0"/>
              <w:rPr>
                <w:sz w:val="20"/>
                <w:szCs w:val="20"/>
                <w:color w:val="auto"/>
              </w:rPr>
            </w:pPr>
            <w:r>
              <w:rPr>
                <w:rFonts w:ascii="Arial" w:cs="Arial" w:eastAsia="Arial" w:hAnsi="Arial"/>
                <w:sz w:val="14"/>
                <w:szCs w:val="14"/>
                <w:color w:val="auto"/>
              </w:rPr>
              <w:t>2024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630,000</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w w:val="96"/>
              </w:rPr>
              <w:t>1,458,030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667,682</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   810,500</w:t>
            </w:r>
          </w:p>
        </w:tc>
        <w:tc>
          <w:tcPr>
            <w:tcW w:w="1220" w:type="dxa"/>
            <w:vAlign w:val="bottom"/>
          </w:tcPr>
          <w:p>
            <w:pPr>
              <w:jc w:val="right"/>
              <w:ind w:right="149"/>
              <w:spacing w:after="0"/>
              <w:rPr>
                <w:sz w:val="20"/>
                <w:szCs w:val="20"/>
                <w:color w:val="auto"/>
              </w:rPr>
            </w:pPr>
            <w:r>
              <w:rPr>
                <w:rFonts w:ascii="Arial" w:cs="Arial" w:eastAsia="Arial" w:hAnsi="Arial"/>
                <w:sz w:val="14"/>
                <w:szCs w:val="14"/>
                <w:color w:val="auto"/>
              </w:rPr>
              <w:t>$1,865,646</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  79,511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5,511,369</w:t>
            </w:r>
          </w:p>
        </w:tc>
        <w:tc>
          <w:tcPr>
            <w:tcW w:w="0" w:type="dxa"/>
            <w:vAlign w:val="bottom"/>
          </w:tcPr>
          <w:p>
            <w:pPr>
              <w:spacing w:after="0"/>
              <w:rPr>
                <w:sz w:val="1"/>
                <w:szCs w:val="1"/>
                <w:color w:val="auto"/>
              </w:rPr>
            </w:pPr>
          </w:p>
        </w:tc>
      </w:tr>
      <w:tr>
        <w:trPr>
          <w:trHeight w:val="103"/>
        </w:trPr>
        <w:tc>
          <w:tcPr>
            <w:tcW w:w="2060" w:type="dxa"/>
            <w:vAlign w:val="bottom"/>
            <w:vMerge w:val="restart"/>
          </w:tcPr>
          <w:p>
            <w:pPr>
              <w:ind w:left="80"/>
              <w:spacing w:after="0"/>
              <w:rPr>
                <w:sz w:val="20"/>
                <w:szCs w:val="20"/>
                <w:color w:val="auto"/>
              </w:rPr>
            </w:pPr>
            <w:r>
              <w:rPr>
                <w:rFonts w:ascii="Arial" w:cs="Arial" w:eastAsia="Arial" w:hAnsi="Arial"/>
                <w:sz w:val="14"/>
                <w:szCs w:val="14"/>
                <w:color w:val="auto"/>
              </w:rPr>
              <w:t>Financial Officer</w:t>
            </w:r>
          </w:p>
        </w:tc>
        <w:tc>
          <w:tcPr>
            <w:tcW w:w="500" w:type="dxa"/>
            <w:vAlign w:val="bottom"/>
            <w:tcBorders>
              <w:bottom w:val="single" w:sz="8" w:color="7F7F7F"/>
            </w:tcBorders>
          </w:tcPr>
          <w:p>
            <w:pPr>
              <w:spacing w:after="0"/>
              <w:rPr>
                <w:sz w:val="8"/>
                <w:szCs w:val="8"/>
                <w:color w:val="auto"/>
              </w:rPr>
            </w:pPr>
          </w:p>
        </w:tc>
        <w:tc>
          <w:tcPr>
            <w:tcW w:w="200" w:type="dxa"/>
            <w:vAlign w:val="bottom"/>
            <w:tcBorders>
              <w:bottom w:val="single" w:sz="8" w:color="7F7F7F"/>
            </w:tcBorders>
          </w:tcPr>
          <w:p>
            <w:pPr>
              <w:spacing w:after="0"/>
              <w:rPr>
                <w:sz w:val="8"/>
                <w:szCs w:val="8"/>
                <w:color w:val="auto"/>
              </w:rPr>
            </w:pPr>
          </w:p>
        </w:tc>
        <w:tc>
          <w:tcPr>
            <w:tcW w:w="700" w:type="dxa"/>
            <w:vAlign w:val="bottom"/>
            <w:tcBorders>
              <w:bottom w:val="single" w:sz="8" w:color="7F7F7F"/>
            </w:tcBorders>
          </w:tcPr>
          <w:p>
            <w:pPr>
              <w:spacing w:after="0"/>
              <w:rPr>
                <w:sz w:val="8"/>
                <w:szCs w:val="8"/>
                <w:color w:val="auto"/>
              </w:rPr>
            </w:pPr>
          </w:p>
        </w:tc>
        <w:tc>
          <w:tcPr>
            <w:tcW w:w="760" w:type="dxa"/>
            <w:vAlign w:val="bottom"/>
            <w:tcBorders>
              <w:bottom w:val="single" w:sz="8" w:color="7F7F7F"/>
            </w:tcBorders>
          </w:tcPr>
          <w:p>
            <w:pPr>
              <w:spacing w:after="0"/>
              <w:rPr>
                <w:sz w:val="8"/>
                <w:szCs w:val="8"/>
                <w:color w:val="auto"/>
              </w:rPr>
            </w:pPr>
          </w:p>
        </w:tc>
        <w:tc>
          <w:tcPr>
            <w:tcW w:w="160" w:type="dxa"/>
            <w:vAlign w:val="bottom"/>
            <w:tcBorders>
              <w:bottom w:val="single" w:sz="8" w:color="7F7F7F"/>
            </w:tcBorders>
          </w:tcPr>
          <w:p>
            <w:pPr>
              <w:spacing w:after="0"/>
              <w:rPr>
                <w:sz w:val="8"/>
                <w:szCs w:val="8"/>
                <w:color w:val="auto"/>
              </w:rPr>
            </w:pPr>
          </w:p>
        </w:tc>
        <w:tc>
          <w:tcPr>
            <w:tcW w:w="700" w:type="dxa"/>
            <w:vAlign w:val="bottom"/>
            <w:tcBorders>
              <w:bottom w:val="single" w:sz="8" w:color="7F7F7F"/>
            </w:tcBorders>
          </w:tcPr>
          <w:p>
            <w:pPr>
              <w:spacing w:after="0"/>
              <w:rPr>
                <w:sz w:val="8"/>
                <w:szCs w:val="8"/>
                <w:color w:val="auto"/>
              </w:rPr>
            </w:pPr>
          </w:p>
        </w:tc>
        <w:tc>
          <w:tcPr>
            <w:tcW w:w="160" w:type="dxa"/>
            <w:vAlign w:val="bottom"/>
            <w:tcBorders>
              <w:bottom w:val="single" w:sz="8" w:color="7F7F7F"/>
            </w:tcBorders>
          </w:tcPr>
          <w:p>
            <w:pPr>
              <w:spacing w:after="0"/>
              <w:rPr>
                <w:sz w:val="8"/>
                <w:szCs w:val="8"/>
                <w:color w:val="auto"/>
              </w:rPr>
            </w:pPr>
          </w:p>
        </w:tc>
        <w:tc>
          <w:tcPr>
            <w:tcW w:w="700" w:type="dxa"/>
            <w:vAlign w:val="bottom"/>
            <w:tcBorders>
              <w:bottom w:val="single" w:sz="8" w:color="7F7F7F"/>
            </w:tcBorders>
          </w:tcPr>
          <w:p>
            <w:pPr>
              <w:spacing w:after="0"/>
              <w:rPr>
                <w:sz w:val="8"/>
                <w:szCs w:val="8"/>
                <w:color w:val="auto"/>
              </w:rPr>
            </w:pPr>
          </w:p>
        </w:tc>
        <w:tc>
          <w:tcPr>
            <w:tcW w:w="1080" w:type="dxa"/>
            <w:vAlign w:val="bottom"/>
            <w:tcBorders>
              <w:bottom w:val="single" w:sz="8" w:color="7F7F7F"/>
            </w:tcBorders>
          </w:tcPr>
          <w:p>
            <w:pPr>
              <w:spacing w:after="0"/>
              <w:rPr>
                <w:sz w:val="8"/>
                <w:szCs w:val="8"/>
                <w:color w:val="auto"/>
              </w:rPr>
            </w:pPr>
          </w:p>
        </w:tc>
        <w:tc>
          <w:tcPr>
            <w:tcW w:w="1220" w:type="dxa"/>
            <w:vAlign w:val="bottom"/>
            <w:tcBorders>
              <w:bottom w:val="single" w:sz="8" w:color="7F7F7F"/>
            </w:tcBorders>
          </w:tcPr>
          <w:p>
            <w:pPr>
              <w:spacing w:after="0"/>
              <w:rPr>
                <w:sz w:val="8"/>
                <w:szCs w:val="8"/>
                <w:color w:val="auto"/>
              </w:rPr>
            </w:pPr>
          </w:p>
        </w:tc>
        <w:tc>
          <w:tcPr>
            <w:tcW w:w="1520" w:type="dxa"/>
            <w:vAlign w:val="bottom"/>
            <w:tcBorders>
              <w:bottom w:val="single" w:sz="8" w:color="7F7F7F"/>
            </w:tcBorders>
          </w:tcPr>
          <w:p>
            <w:pPr>
              <w:spacing w:after="0"/>
              <w:rPr>
                <w:sz w:val="8"/>
                <w:szCs w:val="8"/>
                <w:color w:val="auto"/>
              </w:rPr>
            </w:pPr>
          </w:p>
        </w:tc>
        <w:tc>
          <w:tcPr>
            <w:tcW w:w="30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60" w:type="dxa"/>
            <w:vAlign w:val="bottom"/>
            <w:vMerge w:val="continue"/>
          </w:tcPr>
          <w:p>
            <w:pPr>
              <w:spacing w:after="0"/>
              <w:rPr>
                <w:sz w:val="5"/>
                <w:szCs w:val="5"/>
                <w:color w:val="auto"/>
              </w:rPr>
            </w:pPr>
          </w:p>
        </w:tc>
        <w:tc>
          <w:tcPr>
            <w:tcW w:w="500" w:type="dxa"/>
            <w:vAlign w:val="bottom"/>
            <w:vMerge w:val="restart"/>
            <w:shd w:val="clear" w:color="auto" w:fill="F2F2F2"/>
          </w:tcPr>
          <w:p>
            <w:pPr>
              <w:ind w:left="140"/>
              <w:spacing w:after="0"/>
              <w:rPr>
                <w:sz w:val="20"/>
                <w:szCs w:val="20"/>
                <w:color w:val="auto"/>
              </w:rPr>
            </w:pPr>
            <w:r>
              <w:rPr>
                <w:rFonts w:ascii="Arial" w:cs="Arial" w:eastAsia="Arial" w:hAnsi="Arial"/>
                <w:sz w:val="14"/>
                <w:szCs w:val="14"/>
                <w:color w:val="auto"/>
              </w:rPr>
              <w:t>2023</w:t>
            </w:r>
          </w:p>
        </w:tc>
        <w:tc>
          <w:tcPr>
            <w:tcW w:w="2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560,000</w:t>
            </w:r>
          </w:p>
        </w:tc>
        <w:tc>
          <w:tcPr>
            <w:tcW w:w="760" w:type="dxa"/>
            <w:vAlign w:val="bottom"/>
            <w:vMerge w:val="restart"/>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F2F2F2"/>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F2F2F2"/>
          </w:tcPr>
          <w:p>
            <w:pPr>
              <w:jc w:val="right"/>
              <w:ind w:right="9"/>
              <w:spacing w:after="0"/>
              <w:rPr>
                <w:sz w:val="20"/>
                <w:szCs w:val="20"/>
                <w:color w:val="auto"/>
              </w:rPr>
            </w:pPr>
            <w:r>
              <w:rPr>
                <w:rFonts w:ascii="Arial" w:cs="Arial" w:eastAsia="Arial" w:hAnsi="Arial"/>
                <w:sz w:val="14"/>
                <w:szCs w:val="14"/>
                <w:color w:val="auto"/>
                <w:w w:val="96"/>
              </w:rPr>
              <w:t>1,627,040</w:t>
            </w:r>
          </w:p>
        </w:tc>
        <w:tc>
          <w:tcPr>
            <w:tcW w:w="160" w:type="dxa"/>
            <w:vAlign w:val="bottom"/>
            <w:shd w:val="clear" w:color="auto" w:fill="F2F2F2"/>
          </w:tcPr>
          <w:p>
            <w:pPr>
              <w:spacing w:after="0"/>
              <w:rPr>
                <w:sz w:val="5"/>
                <w:szCs w:val="5"/>
                <w:color w:val="auto"/>
              </w:rPr>
            </w:pPr>
          </w:p>
        </w:tc>
        <w:tc>
          <w:tcPr>
            <w:tcW w:w="7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F2F2F2"/>
          </w:tcPr>
          <w:p>
            <w:pPr>
              <w:jc w:val="right"/>
              <w:ind w:right="9"/>
              <w:spacing w:after="0"/>
              <w:rPr>
                <w:sz w:val="20"/>
                <w:szCs w:val="20"/>
                <w:color w:val="auto"/>
              </w:rPr>
            </w:pPr>
            <w:r>
              <w:rPr>
                <w:rFonts w:ascii="Arial" w:cs="Arial" w:eastAsia="Arial" w:hAnsi="Arial"/>
                <w:sz w:val="14"/>
                <w:szCs w:val="14"/>
                <w:color w:val="auto"/>
              </w:rPr>
              <w:t>$   691,700</w:t>
            </w:r>
          </w:p>
        </w:tc>
        <w:tc>
          <w:tcPr>
            <w:tcW w:w="1220" w:type="dxa"/>
            <w:vAlign w:val="bottom"/>
            <w:vMerge w:val="restart"/>
            <w:shd w:val="clear" w:color="auto" w:fill="F2F2F2"/>
          </w:tcPr>
          <w:p>
            <w:pPr>
              <w:jc w:val="right"/>
              <w:ind w:right="149"/>
              <w:spacing w:after="0"/>
              <w:rPr>
                <w:sz w:val="20"/>
                <w:szCs w:val="20"/>
                <w:color w:val="auto"/>
              </w:rPr>
            </w:pPr>
            <w:r>
              <w:rPr>
                <w:rFonts w:ascii="Arial" w:cs="Arial" w:eastAsia="Arial" w:hAnsi="Arial"/>
                <w:sz w:val="14"/>
                <w:szCs w:val="14"/>
                <w:color w:val="auto"/>
              </w:rPr>
              <w:t>$5,047,785</w:t>
            </w:r>
          </w:p>
        </w:tc>
        <w:tc>
          <w:tcPr>
            <w:tcW w:w="1520" w:type="dxa"/>
            <w:vAlign w:val="bottom"/>
            <w:vMerge w:val="restart"/>
            <w:shd w:val="clear" w:color="auto" w:fill="F2F2F2"/>
          </w:tcPr>
          <w:p>
            <w:pPr>
              <w:jc w:val="right"/>
              <w:ind w:right="369"/>
              <w:spacing w:after="0"/>
              <w:rPr>
                <w:sz w:val="20"/>
                <w:szCs w:val="20"/>
                <w:color w:val="auto"/>
              </w:rPr>
            </w:pPr>
            <w:r>
              <w:rPr>
                <w:rFonts w:ascii="Arial" w:cs="Arial" w:eastAsia="Arial" w:hAnsi="Arial"/>
                <w:sz w:val="14"/>
                <w:szCs w:val="14"/>
                <w:color w:val="auto"/>
              </w:rPr>
              <w:t>$  63,671</w:t>
            </w:r>
          </w:p>
        </w:tc>
        <w:tc>
          <w:tcPr>
            <w:tcW w:w="3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F2F2F2"/>
          </w:tcPr>
          <w:p>
            <w:pPr>
              <w:jc w:val="right"/>
              <w:ind w:right="69"/>
              <w:spacing w:after="0"/>
              <w:rPr>
                <w:sz w:val="20"/>
                <w:szCs w:val="20"/>
                <w:color w:val="auto"/>
              </w:rPr>
            </w:pPr>
            <w:r>
              <w:rPr>
                <w:rFonts w:ascii="Arial" w:cs="Arial" w:eastAsia="Arial" w:hAnsi="Arial"/>
                <w:sz w:val="14"/>
                <w:szCs w:val="14"/>
                <w:color w:val="auto"/>
              </w:rPr>
              <w:t>7,990,196</w:t>
            </w: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500" w:type="dxa"/>
            <w:vAlign w:val="bottom"/>
            <w:vMerge w:val="continue"/>
            <w:shd w:val="clear" w:color="auto" w:fill="F2F2F2"/>
          </w:tcPr>
          <w:p>
            <w:pPr>
              <w:spacing w:after="0"/>
              <w:rPr>
                <w:sz w:val="16"/>
                <w:szCs w:val="16"/>
                <w:color w:val="auto"/>
              </w:rPr>
            </w:pPr>
          </w:p>
        </w:tc>
        <w:tc>
          <w:tcPr>
            <w:tcW w:w="200" w:type="dxa"/>
            <w:vAlign w:val="bottom"/>
            <w:vMerge w:val="continue"/>
            <w:shd w:val="clear" w:color="auto" w:fill="F2F2F2"/>
          </w:tcPr>
          <w:p>
            <w:pPr>
              <w:spacing w:after="0"/>
              <w:rPr>
                <w:sz w:val="16"/>
                <w:szCs w:val="16"/>
                <w:color w:val="auto"/>
              </w:rPr>
            </w:pPr>
          </w:p>
        </w:tc>
        <w:tc>
          <w:tcPr>
            <w:tcW w:w="700" w:type="dxa"/>
            <w:vAlign w:val="bottom"/>
            <w:vMerge w:val="continue"/>
            <w:shd w:val="clear" w:color="auto" w:fill="F2F2F2"/>
          </w:tcPr>
          <w:p>
            <w:pPr>
              <w:spacing w:after="0"/>
              <w:rPr>
                <w:sz w:val="16"/>
                <w:szCs w:val="16"/>
                <w:color w:val="auto"/>
              </w:rPr>
            </w:pPr>
          </w:p>
        </w:tc>
        <w:tc>
          <w:tcPr>
            <w:tcW w:w="760" w:type="dxa"/>
            <w:vAlign w:val="bottom"/>
            <w:vMerge w:val="continue"/>
            <w:shd w:val="clear" w:color="auto" w:fill="F2F2F2"/>
          </w:tcPr>
          <w:p>
            <w:pPr>
              <w:spacing w:after="0"/>
              <w:rPr>
                <w:sz w:val="16"/>
                <w:szCs w:val="16"/>
                <w:color w:val="auto"/>
              </w:rPr>
            </w:pPr>
          </w:p>
        </w:tc>
        <w:tc>
          <w:tcPr>
            <w:tcW w:w="160" w:type="dxa"/>
            <w:vAlign w:val="bottom"/>
            <w:vMerge w:val="continue"/>
            <w:shd w:val="clear" w:color="auto" w:fill="F2F2F2"/>
          </w:tcPr>
          <w:p>
            <w:pPr>
              <w:spacing w:after="0"/>
              <w:rPr>
                <w:sz w:val="16"/>
                <w:szCs w:val="16"/>
                <w:color w:val="auto"/>
              </w:rPr>
            </w:pPr>
          </w:p>
        </w:tc>
        <w:tc>
          <w:tcPr>
            <w:tcW w:w="700" w:type="dxa"/>
            <w:vAlign w:val="bottom"/>
            <w:vMerge w:val="continue"/>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700" w:type="dxa"/>
            <w:vAlign w:val="bottom"/>
            <w:vMerge w:val="continue"/>
            <w:shd w:val="clear" w:color="auto" w:fill="F2F2F2"/>
          </w:tcPr>
          <w:p>
            <w:pPr>
              <w:spacing w:after="0"/>
              <w:rPr>
                <w:sz w:val="16"/>
                <w:szCs w:val="16"/>
                <w:color w:val="auto"/>
              </w:rPr>
            </w:pPr>
          </w:p>
        </w:tc>
        <w:tc>
          <w:tcPr>
            <w:tcW w:w="1080" w:type="dxa"/>
            <w:vAlign w:val="bottom"/>
            <w:vMerge w:val="continue"/>
            <w:shd w:val="clear" w:color="auto" w:fill="F2F2F2"/>
          </w:tcPr>
          <w:p>
            <w:pPr>
              <w:spacing w:after="0"/>
              <w:rPr>
                <w:sz w:val="16"/>
                <w:szCs w:val="16"/>
                <w:color w:val="auto"/>
              </w:rPr>
            </w:pPr>
          </w:p>
        </w:tc>
        <w:tc>
          <w:tcPr>
            <w:tcW w:w="1220" w:type="dxa"/>
            <w:vAlign w:val="bottom"/>
            <w:vMerge w:val="continue"/>
            <w:shd w:val="clear" w:color="auto" w:fill="F2F2F2"/>
          </w:tcPr>
          <w:p>
            <w:pPr>
              <w:spacing w:after="0"/>
              <w:rPr>
                <w:sz w:val="16"/>
                <w:szCs w:val="16"/>
                <w:color w:val="auto"/>
              </w:rPr>
            </w:pPr>
          </w:p>
        </w:tc>
        <w:tc>
          <w:tcPr>
            <w:tcW w:w="1520" w:type="dxa"/>
            <w:vAlign w:val="bottom"/>
            <w:vMerge w:val="continue"/>
            <w:shd w:val="clear" w:color="auto" w:fill="F2F2F2"/>
          </w:tcPr>
          <w:p>
            <w:pPr>
              <w:spacing w:after="0"/>
              <w:rPr>
                <w:sz w:val="16"/>
                <w:szCs w:val="16"/>
                <w:color w:val="auto"/>
              </w:rPr>
            </w:pPr>
          </w:p>
        </w:tc>
        <w:tc>
          <w:tcPr>
            <w:tcW w:w="300" w:type="dxa"/>
            <w:vAlign w:val="bottom"/>
            <w:vMerge w:val="continue"/>
            <w:shd w:val="clear" w:color="auto" w:fill="F2F2F2"/>
          </w:tcPr>
          <w:p>
            <w:pPr>
              <w:spacing w:after="0"/>
              <w:rPr>
                <w:sz w:val="16"/>
                <w:szCs w:val="16"/>
                <w:color w:val="auto"/>
              </w:rPr>
            </w:pPr>
          </w:p>
        </w:tc>
        <w:tc>
          <w:tcPr>
            <w:tcW w:w="860" w:type="dxa"/>
            <w:vAlign w:val="bottom"/>
            <w:vMerge w:val="continue"/>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60" w:type="dxa"/>
            <w:vAlign w:val="bottom"/>
            <w:tcBorders>
              <w:bottom w:val="single" w:sz="8" w:color="7F7F7F"/>
            </w:tcBorders>
          </w:tcPr>
          <w:p>
            <w:pPr>
              <w:spacing w:after="0"/>
              <w:rPr>
                <w:sz w:val="6"/>
                <w:szCs w:val="6"/>
                <w:color w:val="auto"/>
              </w:rPr>
            </w:pPr>
          </w:p>
        </w:tc>
        <w:tc>
          <w:tcPr>
            <w:tcW w:w="500" w:type="dxa"/>
            <w:vAlign w:val="bottom"/>
            <w:tcBorders>
              <w:bottom w:val="single" w:sz="8" w:color="7F7F7F"/>
            </w:tcBorders>
            <w:shd w:val="clear" w:color="auto" w:fill="F2F2F2"/>
          </w:tcPr>
          <w:p>
            <w:pPr>
              <w:spacing w:after="0"/>
              <w:rPr>
                <w:sz w:val="6"/>
                <w:szCs w:val="6"/>
                <w:color w:val="auto"/>
              </w:rPr>
            </w:pPr>
          </w:p>
        </w:tc>
        <w:tc>
          <w:tcPr>
            <w:tcW w:w="200" w:type="dxa"/>
            <w:vAlign w:val="bottom"/>
            <w:tcBorders>
              <w:bottom w:val="single" w:sz="8" w:color="7F7F7F"/>
            </w:tcBorders>
            <w:shd w:val="clear" w:color="auto" w:fill="F2F2F2"/>
          </w:tcPr>
          <w:p>
            <w:pPr>
              <w:spacing w:after="0"/>
              <w:rPr>
                <w:sz w:val="6"/>
                <w:szCs w:val="6"/>
                <w:color w:val="auto"/>
              </w:rPr>
            </w:pPr>
          </w:p>
        </w:tc>
        <w:tc>
          <w:tcPr>
            <w:tcW w:w="700" w:type="dxa"/>
            <w:vAlign w:val="bottom"/>
            <w:tcBorders>
              <w:bottom w:val="single" w:sz="8" w:color="7F7F7F"/>
            </w:tcBorders>
            <w:shd w:val="clear" w:color="auto" w:fill="F2F2F2"/>
          </w:tcPr>
          <w:p>
            <w:pPr>
              <w:spacing w:after="0"/>
              <w:rPr>
                <w:sz w:val="6"/>
                <w:szCs w:val="6"/>
                <w:color w:val="auto"/>
              </w:rPr>
            </w:pPr>
          </w:p>
        </w:tc>
        <w:tc>
          <w:tcPr>
            <w:tcW w:w="760" w:type="dxa"/>
            <w:vAlign w:val="bottom"/>
            <w:tcBorders>
              <w:bottom w:val="single" w:sz="8" w:color="7F7F7F"/>
            </w:tcBorders>
            <w:shd w:val="clear" w:color="auto" w:fill="F2F2F2"/>
          </w:tcPr>
          <w:p>
            <w:pPr>
              <w:spacing w:after="0"/>
              <w:rPr>
                <w:sz w:val="6"/>
                <w:szCs w:val="6"/>
                <w:color w:val="auto"/>
              </w:rPr>
            </w:pPr>
          </w:p>
        </w:tc>
        <w:tc>
          <w:tcPr>
            <w:tcW w:w="160" w:type="dxa"/>
            <w:vAlign w:val="bottom"/>
            <w:tcBorders>
              <w:bottom w:val="single" w:sz="8" w:color="7F7F7F"/>
            </w:tcBorders>
            <w:shd w:val="clear" w:color="auto" w:fill="F2F2F2"/>
          </w:tcPr>
          <w:p>
            <w:pPr>
              <w:spacing w:after="0"/>
              <w:rPr>
                <w:sz w:val="6"/>
                <w:szCs w:val="6"/>
                <w:color w:val="auto"/>
              </w:rPr>
            </w:pPr>
          </w:p>
        </w:tc>
        <w:tc>
          <w:tcPr>
            <w:tcW w:w="700" w:type="dxa"/>
            <w:vAlign w:val="bottom"/>
            <w:tcBorders>
              <w:bottom w:val="single" w:sz="8" w:color="7F7F7F"/>
            </w:tcBorders>
            <w:shd w:val="clear" w:color="auto" w:fill="F2F2F2"/>
          </w:tcPr>
          <w:p>
            <w:pPr>
              <w:spacing w:after="0"/>
              <w:rPr>
                <w:sz w:val="6"/>
                <w:szCs w:val="6"/>
                <w:color w:val="auto"/>
              </w:rPr>
            </w:pPr>
          </w:p>
        </w:tc>
        <w:tc>
          <w:tcPr>
            <w:tcW w:w="160" w:type="dxa"/>
            <w:vAlign w:val="bottom"/>
            <w:tcBorders>
              <w:bottom w:val="single" w:sz="8" w:color="7F7F7F"/>
            </w:tcBorders>
            <w:shd w:val="clear" w:color="auto" w:fill="F2F2F2"/>
          </w:tcPr>
          <w:p>
            <w:pPr>
              <w:spacing w:after="0"/>
              <w:rPr>
                <w:sz w:val="6"/>
                <w:szCs w:val="6"/>
                <w:color w:val="auto"/>
              </w:rPr>
            </w:pPr>
          </w:p>
        </w:tc>
        <w:tc>
          <w:tcPr>
            <w:tcW w:w="700" w:type="dxa"/>
            <w:vAlign w:val="bottom"/>
            <w:tcBorders>
              <w:bottom w:val="single" w:sz="8" w:color="7F7F7F"/>
            </w:tcBorders>
            <w:shd w:val="clear" w:color="auto" w:fill="F2F2F2"/>
          </w:tcPr>
          <w:p>
            <w:pPr>
              <w:spacing w:after="0"/>
              <w:rPr>
                <w:sz w:val="6"/>
                <w:szCs w:val="6"/>
                <w:color w:val="auto"/>
              </w:rPr>
            </w:pPr>
          </w:p>
        </w:tc>
        <w:tc>
          <w:tcPr>
            <w:tcW w:w="1080" w:type="dxa"/>
            <w:vAlign w:val="bottom"/>
            <w:tcBorders>
              <w:bottom w:val="single" w:sz="8" w:color="7F7F7F"/>
            </w:tcBorders>
            <w:shd w:val="clear" w:color="auto" w:fill="F2F2F2"/>
          </w:tcPr>
          <w:p>
            <w:pPr>
              <w:spacing w:after="0"/>
              <w:rPr>
                <w:sz w:val="6"/>
                <w:szCs w:val="6"/>
                <w:color w:val="auto"/>
              </w:rPr>
            </w:pPr>
          </w:p>
        </w:tc>
        <w:tc>
          <w:tcPr>
            <w:tcW w:w="1220" w:type="dxa"/>
            <w:vAlign w:val="bottom"/>
            <w:tcBorders>
              <w:bottom w:val="single" w:sz="8" w:color="7F7F7F"/>
            </w:tcBorders>
            <w:shd w:val="clear" w:color="auto" w:fill="F2F2F2"/>
          </w:tcPr>
          <w:p>
            <w:pPr>
              <w:spacing w:after="0"/>
              <w:rPr>
                <w:sz w:val="6"/>
                <w:szCs w:val="6"/>
                <w:color w:val="auto"/>
              </w:rPr>
            </w:pPr>
          </w:p>
        </w:tc>
        <w:tc>
          <w:tcPr>
            <w:tcW w:w="152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Justin C. Bird</w:t>
            </w:r>
          </w:p>
        </w:tc>
        <w:tc>
          <w:tcPr>
            <w:tcW w:w="500" w:type="dxa"/>
            <w:vAlign w:val="bottom"/>
          </w:tcPr>
          <w:p>
            <w:pPr>
              <w:ind w:left="140"/>
              <w:spacing w:after="0"/>
              <w:rPr>
                <w:sz w:val="20"/>
                <w:szCs w:val="20"/>
                <w:color w:val="auto"/>
              </w:rPr>
            </w:pPr>
            <w:r>
              <w:rPr>
                <w:rFonts w:ascii="Arial" w:cs="Arial" w:eastAsia="Arial" w:hAnsi="Arial"/>
                <w:sz w:val="14"/>
                <w:szCs w:val="14"/>
                <w:color w:val="auto"/>
              </w:rPr>
              <w:t>2025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897,836</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$150,000</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w w:val="96"/>
              </w:rPr>
              <w:t>1,785,888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828,345</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$1,548,200</w:t>
            </w:r>
          </w:p>
        </w:tc>
        <w:tc>
          <w:tcPr>
            <w:tcW w:w="1220" w:type="dxa"/>
            <w:vAlign w:val="bottom"/>
          </w:tcPr>
          <w:p>
            <w:pPr>
              <w:jc w:val="right"/>
              <w:ind w:right="149"/>
              <w:spacing w:after="0"/>
              <w:rPr>
                <w:sz w:val="20"/>
                <w:szCs w:val="20"/>
                <w:color w:val="auto"/>
              </w:rPr>
            </w:pPr>
            <w:r>
              <w:rPr>
                <w:rFonts w:ascii="Arial" w:cs="Arial" w:eastAsia="Arial" w:hAnsi="Arial"/>
                <w:sz w:val="14"/>
                <w:szCs w:val="14"/>
                <w:color w:val="auto"/>
              </w:rPr>
              <w:t>$1,412,377</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$132,650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6,755,296</w:t>
            </w:r>
          </w:p>
        </w:tc>
        <w:tc>
          <w:tcPr>
            <w:tcW w:w="0" w:type="dxa"/>
            <w:vAlign w:val="bottom"/>
          </w:tcPr>
          <w:p>
            <w:pPr>
              <w:spacing w:after="0"/>
              <w:rPr>
                <w:sz w:val="1"/>
                <w:szCs w:val="1"/>
                <w:color w:val="auto"/>
              </w:rPr>
            </w:pPr>
          </w:p>
        </w:tc>
      </w:tr>
      <w:tr>
        <w:trPr>
          <w:trHeight w:val="76"/>
        </w:trPr>
        <w:tc>
          <w:tcPr>
            <w:tcW w:w="2060" w:type="dxa"/>
            <w:vAlign w:val="bottom"/>
            <w:vMerge w:val="restart"/>
          </w:tcPr>
          <w:p>
            <w:pPr>
              <w:ind w:left="80"/>
              <w:spacing w:after="0"/>
              <w:rPr>
                <w:sz w:val="20"/>
                <w:szCs w:val="20"/>
                <w:color w:val="auto"/>
              </w:rPr>
            </w:pPr>
            <w:r>
              <w:rPr>
                <w:rFonts w:ascii="Arial" w:cs="Arial" w:eastAsia="Arial" w:hAnsi="Arial"/>
                <w:sz w:val="14"/>
                <w:szCs w:val="14"/>
                <w:color w:val="auto"/>
              </w:rPr>
              <w:t>Executive Vice</w:t>
            </w:r>
          </w:p>
        </w:tc>
        <w:tc>
          <w:tcPr>
            <w:tcW w:w="500" w:type="dxa"/>
            <w:vAlign w:val="bottom"/>
            <w:tcBorders>
              <w:bottom w:val="single" w:sz="8" w:color="7F7F7F"/>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80" w:type="dxa"/>
            <w:vAlign w:val="bottom"/>
            <w:tcBorders>
              <w:bottom w:val="single" w:sz="8" w:color="7F7F7F"/>
            </w:tcBorders>
          </w:tcPr>
          <w:p>
            <w:pPr>
              <w:spacing w:after="0"/>
              <w:rPr>
                <w:sz w:val="6"/>
                <w:szCs w:val="6"/>
                <w:color w:val="auto"/>
              </w:rPr>
            </w:pPr>
          </w:p>
        </w:tc>
        <w:tc>
          <w:tcPr>
            <w:tcW w:w="1220" w:type="dxa"/>
            <w:vAlign w:val="bottom"/>
            <w:tcBorders>
              <w:bottom w:val="single" w:sz="8" w:color="7F7F7F"/>
            </w:tcBorders>
          </w:tcPr>
          <w:p>
            <w:pPr>
              <w:spacing w:after="0"/>
              <w:rPr>
                <w:sz w:val="6"/>
                <w:szCs w:val="6"/>
                <w:color w:val="auto"/>
              </w:rPr>
            </w:pPr>
          </w:p>
        </w:tc>
        <w:tc>
          <w:tcPr>
            <w:tcW w:w="152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60" w:type="dxa"/>
            <w:vAlign w:val="bottom"/>
            <w:vMerge w:val="continue"/>
          </w:tcPr>
          <w:p>
            <w:pPr>
              <w:spacing w:after="0"/>
              <w:rPr>
                <w:sz w:val="5"/>
                <w:szCs w:val="5"/>
                <w:color w:val="auto"/>
              </w:rPr>
            </w:pPr>
          </w:p>
        </w:tc>
        <w:tc>
          <w:tcPr>
            <w:tcW w:w="500" w:type="dxa"/>
            <w:vAlign w:val="bottom"/>
            <w:shd w:val="clear" w:color="auto" w:fill="F2F2F2"/>
          </w:tcPr>
          <w:p>
            <w:pPr>
              <w:spacing w:after="0"/>
              <w:rPr>
                <w:sz w:val="5"/>
                <w:szCs w:val="5"/>
                <w:color w:val="auto"/>
              </w:rPr>
            </w:pPr>
          </w:p>
        </w:tc>
        <w:tc>
          <w:tcPr>
            <w:tcW w:w="20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76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160" w:type="dxa"/>
            <w:vAlign w:val="bottom"/>
            <w:shd w:val="clear" w:color="auto" w:fill="F2F2F2"/>
          </w:tcPr>
          <w:p>
            <w:pPr>
              <w:spacing w:after="0"/>
              <w:rPr>
                <w:sz w:val="5"/>
                <w:szCs w:val="5"/>
                <w:color w:val="auto"/>
              </w:rPr>
            </w:pPr>
          </w:p>
        </w:tc>
        <w:tc>
          <w:tcPr>
            <w:tcW w:w="700" w:type="dxa"/>
            <w:vAlign w:val="bottom"/>
            <w:shd w:val="clear" w:color="auto" w:fill="F2F2F2"/>
          </w:tcPr>
          <w:p>
            <w:pPr>
              <w:spacing w:after="0"/>
              <w:rPr>
                <w:sz w:val="5"/>
                <w:szCs w:val="5"/>
                <w:color w:val="auto"/>
              </w:rPr>
            </w:pPr>
          </w:p>
        </w:tc>
        <w:tc>
          <w:tcPr>
            <w:tcW w:w="1080" w:type="dxa"/>
            <w:vAlign w:val="bottom"/>
            <w:shd w:val="clear" w:color="auto" w:fill="F2F2F2"/>
          </w:tcPr>
          <w:p>
            <w:pPr>
              <w:spacing w:after="0"/>
              <w:rPr>
                <w:sz w:val="5"/>
                <w:szCs w:val="5"/>
                <w:color w:val="auto"/>
              </w:rPr>
            </w:pPr>
          </w:p>
        </w:tc>
        <w:tc>
          <w:tcPr>
            <w:tcW w:w="1220" w:type="dxa"/>
            <w:vAlign w:val="bottom"/>
            <w:shd w:val="clear" w:color="auto" w:fill="F2F2F2"/>
          </w:tcPr>
          <w:p>
            <w:pPr>
              <w:spacing w:after="0"/>
              <w:rPr>
                <w:sz w:val="5"/>
                <w:szCs w:val="5"/>
                <w:color w:val="auto"/>
              </w:rPr>
            </w:pPr>
          </w:p>
        </w:tc>
        <w:tc>
          <w:tcPr>
            <w:tcW w:w="152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86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60" w:type="dxa"/>
            <w:vAlign w:val="bottom"/>
          </w:tcPr>
          <w:p>
            <w:pPr>
              <w:ind w:left="80"/>
              <w:spacing w:after="0"/>
              <w:rPr>
                <w:sz w:val="20"/>
                <w:szCs w:val="20"/>
                <w:color w:val="auto"/>
              </w:rPr>
            </w:pPr>
            <w:r>
              <w:rPr>
                <w:rFonts w:ascii="Arial" w:cs="Arial" w:eastAsia="Arial" w:hAnsi="Arial"/>
                <w:sz w:val="14"/>
                <w:szCs w:val="14"/>
                <w:color w:val="auto"/>
              </w:rPr>
              <w:t>President</w:t>
            </w:r>
          </w:p>
        </w:tc>
        <w:tc>
          <w:tcPr>
            <w:tcW w:w="50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2024</w:t>
            </w:r>
          </w:p>
        </w:tc>
        <w:tc>
          <w:tcPr>
            <w:tcW w:w="2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780,000</w:t>
            </w:r>
          </w:p>
        </w:tc>
        <w:tc>
          <w:tcPr>
            <w:tcW w:w="76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$150,000</w:t>
            </w:r>
          </w:p>
        </w:tc>
        <w:tc>
          <w:tcPr>
            <w:tcW w:w="16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w w:val="96"/>
              </w:rPr>
              <w:t>1,396,187</w:t>
            </w:r>
          </w:p>
        </w:tc>
        <w:tc>
          <w:tcPr>
            <w:tcW w:w="1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639,341</w:t>
            </w:r>
          </w:p>
        </w:tc>
        <w:tc>
          <w:tcPr>
            <w:tcW w:w="108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$1,003,400</w:t>
            </w:r>
          </w:p>
        </w:tc>
        <w:tc>
          <w:tcPr>
            <w:tcW w:w="122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$1,970,641</w:t>
            </w:r>
          </w:p>
        </w:tc>
        <w:tc>
          <w:tcPr>
            <w:tcW w:w="1520" w:type="dxa"/>
            <w:vAlign w:val="bottom"/>
            <w:shd w:val="clear" w:color="auto" w:fill="F2F2F2"/>
          </w:tcPr>
          <w:p>
            <w:pPr>
              <w:jc w:val="right"/>
              <w:ind w:right="369"/>
              <w:spacing w:after="0"/>
              <w:rPr>
                <w:sz w:val="20"/>
                <w:szCs w:val="20"/>
                <w:color w:val="auto"/>
              </w:rPr>
            </w:pPr>
            <w:r>
              <w:rPr>
                <w:rFonts w:ascii="Arial" w:cs="Arial" w:eastAsia="Arial" w:hAnsi="Arial"/>
                <w:sz w:val="14"/>
                <w:szCs w:val="14"/>
                <w:color w:val="auto"/>
              </w:rPr>
              <w:t>$121,165</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69"/>
              <w:spacing w:after="0"/>
              <w:rPr>
                <w:sz w:val="20"/>
                <w:szCs w:val="20"/>
                <w:color w:val="auto"/>
              </w:rPr>
            </w:pPr>
            <w:r>
              <w:rPr>
                <w:rFonts w:ascii="Arial" w:cs="Arial" w:eastAsia="Arial" w:hAnsi="Arial"/>
                <w:sz w:val="14"/>
                <w:szCs w:val="14"/>
                <w:color w:val="auto"/>
              </w:rPr>
              <w:t>6,060,734</w:t>
            </w:r>
          </w:p>
        </w:tc>
        <w:tc>
          <w:tcPr>
            <w:tcW w:w="0" w:type="dxa"/>
            <w:vAlign w:val="bottom"/>
          </w:tcPr>
          <w:p>
            <w:pPr>
              <w:spacing w:after="0"/>
              <w:rPr>
                <w:sz w:val="1"/>
                <w:szCs w:val="1"/>
                <w:color w:val="auto"/>
              </w:rPr>
            </w:pPr>
          </w:p>
        </w:tc>
      </w:tr>
      <w:tr>
        <w:trPr>
          <w:trHeight w:val="114"/>
        </w:trPr>
        <w:tc>
          <w:tcPr>
            <w:tcW w:w="2060" w:type="dxa"/>
            <w:vAlign w:val="bottom"/>
            <w:tcBorders>
              <w:bottom w:val="single" w:sz="8" w:color="7F7F7F"/>
            </w:tcBorders>
          </w:tcPr>
          <w:p>
            <w:pPr>
              <w:spacing w:after="0"/>
              <w:rPr>
                <w:sz w:val="9"/>
                <w:szCs w:val="9"/>
                <w:color w:val="auto"/>
              </w:rPr>
            </w:pPr>
          </w:p>
        </w:tc>
        <w:tc>
          <w:tcPr>
            <w:tcW w:w="500" w:type="dxa"/>
            <w:vAlign w:val="bottom"/>
            <w:tcBorders>
              <w:bottom w:val="single" w:sz="8" w:color="7F7F7F"/>
            </w:tcBorders>
            <w:shd w:val="clear" w:color="auto" w:fill="F2F2F2"/>
          </w:tcPr>
          <w:p>
            <w:pPr>
              <w:spacing w:after="0"/>
              <w:rPr>
                <w:sz w:val="9"/>
                <w:szCs w:val="9"/>
                <w:color w:val="auto"/>
              </w:rPr>
            </w:pPr>
          </w:p>
        </w:tc>
        <w:tc>
          <w:tcPr>
            <w:tcW w:w="200" w:type="dxa"/>
            <w:vAlign w:val="bottom"/>
            <w:tcBorders>
              <w:bottom w:val="single" w:sz="8" w:color="7F7F7F"/>
            </w:tcBorders>
            <w:shd w:val="clear" w:color="auto" w:fill="F2F2F2"/>
          </w:tcPr>
          <w:p>
            <w:pPr>
              <w:spacing w:after="0"/>
              <w:rPr>
                <w:sz w:val="9"/>
                <w:szCs w:val="9"/>
                <w:color w:val="auto"/>
              </w:rPr>
            </w:pPr>
          </w:p>
        </w:tc>
        <w:tc>
          <w:tcPr>
            <w:tcW w:w="700" w:type="dxa"/>
            <w:vAlign w:val="bottom"/>
            <w:tcBorders>
              <w:bottom w:val="single" w:sz="8" w:color="7F7F7F"/>
            </w:tcBorders>
            <w:shd w:val="clear" w:color="auto" w:fill="F2F2F2"/>
          </w:tcPr>
          <w:p>
            <w:pPr>
              <w:spacing w:after="0"/>
              <w:rPr>
                <w:sz w:val="9"/>
                <w:szCs w:val="9"/>
                <w:color w:val="auto"/>
              </w:rPr>
            </w:pPr>
          </w:p>
        </w:tc>
        <w:tc>
          <w:tcPr>
            <w:tcW w:w="760" w:type="dxa"/>
            <w:vAlign w:val="bottom"/>
            <w:tcBorders>
              <w:bottom w:val="single" w:sz="8" w:color="7F7F7F"/>
            </w:tcBorders>
            <w:shd w:val="clear" w:color="auto" w:fill="F2F2F2"/>
          </w:tcPr>
          <w:p>
            <w:pPr>
              <w:spacing w:after="0"/>
              <w:rPr>
                <w:sz w:val="9"/>
                <w:szCs w:val="9"/>
                <w:color w:val="auto"/>
              </w:rPr>
            </w:pPr>
          </w:p>
        </w:tc>
        <w:tc>
          <w:tcPr>
            <w:tcW w:w="160" w:type="dxa"/>
            <w:vAlign w:val="bottom"/>
            <w:tcBorders>
              <w:bottom w:val="single" w:sz="8" w:color="7F7F7F"/>
            </w:tcBorders>
            <w:shd w:val="clear" w:color="auto" w:fill="F2F2F2"/>
          </w:tcPr>
          <w:p>
            <w:pPr>
              <w:spacing w:after="0"/>
              <w:rPr>
                <w:sz w:val="9"/>
                <w:szCs w:val="9"/>
                <w:color w:val="auto"/>
              </w:rPr>
            </w:pPr>
          </w:p>
        </w:tc>
        <w:tc>
          <w:tcPr>
            <w:tcW w:w="700" w:type="dxa"/>
            <w:vAlign w:val="bottom"/>
            <w:tcBorders>
              <w:bottom w:val="single" w:sz="8" w:color="7F7F7F"/>
            </w:tcBorders>
            <w:shd w:val="clear" w:color="auto" w:fill="F2F2F2"/>
          </w:tcPr>
          <w:p>
            <w:pPr>
              <w:spacing w:after="0"/>
              <w:rPr>
                <w:sz w:val="9"/>
                <w:szCs w:val="9"/>
                <w:color w:val="auto"/>
              </w:rPr>
            </w:pPr>
          </w:p>
        </w:tc>
        <w:tc>
          <w:tcPr>
            <w:tcW w:w="160" w:type="dxa"/>
            <w:vAlign w:val="bottom"/>
            <w:tcBorders>
              <w:bottom w:val="single" w:sz="8" w:color="7F7F7F"/>
            </w:tcBorders>
            <w:shd w:val="clear" w:color="auto" w:fill="F2F2F2"/>
          </w:tcPr>
          <w:p>
            <w:pPr>
              <w:spacing w:after="0"/>
              <w:rPr>
                <w:sz w:val="9"/>
                <w:szCs w:val="9"/>
                <w:color w:val="auto"/>
              </w:rPr>
            </w:pPr>
          </w:p>
        </w:tc>
        <w:tc>
          <w:tcPr>
            <w:tcW w:w="700" w:type="dxa"/>
            <w:vAlign w:val="bottom"/>
            <w:tcBorders>
              <w:bottom w:val="single" w:sz="8" w:color="7F7F7F"/>
            </w:tcBorders>
            <w:shd w:val="clear" w:color="auto" w:fill="F2F2F2"/>
          </w:tcPr>
          <w:p>
            <w:pPr>
              <w:spacing w:after="0"/>
              <w:rPr>
                <w:sz w:val="9"/>
                <w:szCs w:val="9"/>
                <w:color w:val="auto"/>
              </w:rPr>
            </w:pPr>
          </w:p>
        </w:tc>
        <w:tc>
          <w:tcPr>
            <w:tcW w:w="1080" w:type="dxa"/>
            <w:vAlign w:val="bottom"/>
            <w:tcBorders>
              <w:bottom w:val="single" w:sz="8" w:color="7F7F7F"/>
            </w:tcBorders>
            <w:shd w:val="clear" w:color="auto" w:fill="F2F2F2"/>
          </w:tcPr>
          <w:p>
            <w:pPr>
              <w:spacing w:after="0"/>
              <w:rPr>
                <w:sz w:val="9"/>
                <w:szCs w:val="9"/>
                <w:color w:val="auto"/>
              </w:rPr>
            </w:pPr>
          </w:p>
        </w:tc>
        <w:tc>
          <w:tcPr>
            <w:tcW w:w="1220" w:type="dxa"/>
            <w:vAlign w:val="bottom"/>
            <w:tcBorders>
              <w:bottom w:val="single" w:sz="8" w:color="7F7F7F"/>
            </w:tcBorders>
            <w:shd w:val="clear" w:color="auto" w:fill="F2F2F2"/>
          </w:tcPr>
          <w:p>
            <w:pPr>
              <w:spacing w:after="0"/>
              <w:rPr>
                <w:sz w:val="9"/>
                <w:szCs w:val="9"/>
                <w:color w:val="auto"/>
              </w:rPr>
            </w:pPr>
          </w:p>
        </w:tc>
        <w:tc>
          <w:tcPr>
            <w:tcW w:w="1520" w:type="dxa"/>
            <w:vAlign w:val="bottom"/>
            <w:tcBorders>
              <w:bottom w:val="single" w:sz="8" w:color="7F7F7F"/>
            </w:tcBorders>
            <w:shd w:val="clear" w:color="auto" w:fill="F2F2F2"/>
          </w:tcPr>
          <w:p>
            <w:pPr>
              <w:spacing w:after="0"/>
              <w:rPr>
                <w:sz w:val="9"/>
                <w:szCs w:val="9"/>
                <w:color w:val="auto"/>
              </w:rPr>
            </w:pPr>
          </w:p>
        </w:tc>
        <w:tc>
          <w:tcPr>
            <w:tcW w:w="300" w:type="dxa"/>
            <w:vAlign w:val="bottom"/>
            <w:tcBorders>
              <w:bottom w:val="single" w:sz="8" w:color="7F7F7F"/>
            </w:tcBorders>
            <w:shd w:val="clear" w:color="auto" w:fill="F2F2F2"/>
          </w:tcPr>
          <w:p>
            <w:pPr>
              <w:spacing w:after="0"/>
              <w:rPr>
                <w:sz w:val="9"/>
                <w:szCs w:val="9"/>
                <w:color w:val="auto"/>
              </w:rPr>
            </w:pPr>
          </w:p>
        </w:tc>
        <w:tc>
          <w:tcPr>
            <w:tcW w:w="860" w:type="dxa"/>
            <w:vAlign w:val="bottom"/>
            <w:tcBorders>
              <w:bottom w:val="single" w:sz="8" w:color="7F7F7F"/>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60" w:type="dxa"/>
            <w:vAlign w:val="bottom"/>
          </w:tcPr>
          <w:p>
            <w:pPr>
              <w:ind w:left="80"/>
              <w:spacing w:after="0" w:line="198" w:lineRule="exact"/>
              <w:rPr>
                <w:sz w:val="20"/>
                <w:szCs w:val="20"/>
                <w:color w:val="auto"/>
              </w:rPr>
            </w:pPr>
            <w:r>
              <w:rPr>
                <w:rFonts w:ascii="Arial" w:cs="Arial" w:eastAsia="Arial" w:hAnsi="Arial"/>
                <w:sz w:val="14"/>
                <w:szCs w:val="14"/>
                <w:b w:val="1"/>
                <w:bCs w:val="1"/>
                <w:color w:val="auto"/>
              </w:rPr>
              <w:t>Caroline A. Winn</w:t>
            </w:r>
            <w:r>
              <w:rPr>
                <w:rFonts w:ascii="Arial" w:cs="Arial" w:eastAsia="Arial" w:hAnsi="Arial"/>
                <w:sz w:val="21"/>
                <w:szCs w:val="21"/>
                <w:b w:val="1"/>
                <w:bCs w:val="1"/>
                <w:color w:val="auto"/>
                <w:vertAlign w:val="superscript"/>
              </w:rPr>
              <w:t>(A)</w:t>
            </w:r>
          </w:p>
        </w:tc>
        <w:tc>
          <w:tcPr>
            <w:tcW w:w="500" w:type="dxa"/>
            <w:vAlign w:val="bottom"/>
          </w:tcPr>
          <w:p>
            <w:pPr>
              <w:ind w:left="140"/>
              <w:spacing w:after="0"/>
              <w:rPr>
                <w:sz w:val="20"/>
                <w:szCs w:val="20"/>
                <w:color w:val="auto"/>
              </w:rPr>
            </w:pPr>
            <w:r>
              <w:rPr>
                <w:rFonts w:ascii="Arial" w:cs="Arial" w:eastAsia="Arial" w:hAnsi="Arial"/>
                <w:sz w:val="14"/>
                <w:szCs w:val="14"/>
                <w:color w:val="auto"/>
              </w:rPr>
              <w:t>2025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828,877</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w w:val="96"/>
              </w:rPr>
              <w:t>1,732,127</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$1,468,300</w:t>
            </w:r>
          </w:p>
        </w:tc>
        <w:tc>
          <w:tcPr>
            <w:tcW w:w="1220" w:type="dxa"/>
            <w:vAlign w:val="bottom"/>
          </w:tcPr>
          <w:p>
            <w:pPr>
              <w:jc w:val="right"/>
              <w:ind w:right="149"/>
              <w:spacing w:after="0"/>
              <w:rPr>
                <w:sz w:val="20"/>
                <w:szCs w:val="20"/>
                <w:color w:val="auto"/>
              </w:rPr>
            </w:pPr>
            <w:r>
              <w:rPr>
                <w:rFonts w:ascii="Arial" w:cs="Arial" w:eastAsia="Arial" w:hAnsi="Arial"/>
                <w:sz w:val="14"/>
                <w:szCs w:val="14"/>
                <w:color w:val="auto"/>
              </w:rPr>
              <w:t>$1,329,504</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$231,474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5,590,282</w:t>
            </w:r>
          </w:p>
        </w:tc>
        <w:tc>
          <w:tcPr>
            <w:tcW w:w="0" w:type="dxa"/>
            <w:vAlign w:val="bottom"/>
          </w:tcPr>
          <w:p>
            <w:pPr>
              <w:spacing w:after="0"/>
              <w:rPr>
                <w:sz w:val="1"/>
                <w:szCs w:val="1"/>
                <w:color w:val="auto"/>
              </w:rPr>
            </w:pPr>
          </w:p>
        </w:tc>
      </w:tr>
      <w:tr>
        <w:trPr>
          <w:trHeight w:val="160"/>
        </w:trPr>
        <w:tc>
          <w:tcPr>
            <w:tcW w:w="2060" w:type="dxa"/>
            <w:vAlign w:val="bottom"/>
          </w:tcPr>
          <w:p>
            <w:pPr>
              <w:ind w:left="80"/>
              <w:spacing w:after="0"/>
              <w:rPr>
                <w:sz w:val="20"/>
                <w:szCs w:val="20"/>
                <w:color w:val="auto"/>
              </w:rPr>
            </w:pPr>
            <w:r>
              <w:rPr>
                <w:rFonts w:ascii="Arial" w:cs="Arial" w:eastAsia="Arial" w:hAnsi="Arial"/>
                <w:sz w:val="14"/>
                <w:szCs w:val="14"/>
                <w:color w:val="auto"/>
              </w:rPr>
              <w:t>Executive Vice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60" w:type="dxa"/>
            <w:vAlign w:val="bottom"/>
          </w:tcPr>
          <w:p>
            <w:pPr>
              <w:ind w:left="80"/>
              <w:spacing w:after="0"/>
              <w:rPr>
                <w:sz w:val="20"/>
                <w:szCs w:val="20"/>
                <w:color w:val="auto"/>
              </w:rPr>
            </w:pPr>
            <w:r>
              <w:rPr>
                <w:rFonts w:ascii="Arial" w:cs="Arial" w:eastAsia="Arial" w:hAnsi="Arial"/>
                <w:sz w:val="14"/>
                <w:szCs w:val="14"/>
                <w:color w:val="auto"/>
              </w:rPr>
              <w:t>President</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60" w:type="dxa"/>
            <w:vAlign w:val="bottom"/>
            <w:tcBorders>
              <w:bottom w:val="single" w:sz="8" w:color="7F7F7F"/>
            </w:tcBorders>
          </w:tcPr>
          <w:p>
            <w:pPr>
              <w:spacing w:after="0"/>
              <w:rPr>
                <w:sz w:val="5"/>
                <w:szCs w:val="5"/>
                <w:color w:val="auto"/>
              </w:rPr>
            </w:pPr>
          </w:p>
        </w:tc>
        <w:tc>
          <w:tcPr>
            <w:tcW w:w="500" w:type="dxa"/>
            <w:vAlign w:val="bottom"/>
            <w:tcBorders>
              <w:bottom w:val="single" w:sz="8" w:color="7F7F7F"/>
            </w:tcBorders>
          </w:tcPr>
          <w:p>
            <w:pPr>
              <w:spacing w:after="0"/>
              <w:rPr>
                <w:sz w:val="5"/>
                <w:szCs w:val="5"/>
                <w:color w:val="auto"/>
              </w:rPr>
            </w:pPr>
          </w:p>
        </w:tc>
        <w:tc>
          <w:tcPr>
            <w:tcW w:w="20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160" w:type="dxa"/>
            <w:vAlign w:val="bottom"/>
            <w:tcBorders>
              <w:bottom w:val="single" w:sz="8" w:color="7F7F7F"/>
            </w:tcBorders>
          </w:tcPr>
          <w:p>
            <w:pPr>
              <w:spacing w:after="0"/>
              <w:rPr>
                <w:sz w:val="5"/>
                <w:szCs w:val="5"/>
                <w:color w:val="auto"/>
              </w:rPr>
            </w:pPr>
          </w:p>
        </w:tc>
        <w:tc>
          <w:tcPr>
            <w:tcW w:w="700" w:type="dxa"/>
            <w:vAlign w:val="bottom"/>
            <w:tcBorders>
              <w:bottom w:val="single" w:sz="8" w:color="7F7F7F"/>
            </w:tcBorders>
          </w:tcPr>
          <w:p>
            <w:pPr>
              <w:spacing w:after="0"/>
              <w:rPr>
                <w:sz w:val="5"/>
                <w:szCs w:val="5"/>
                <w:color w:val="auto"/>
              </w:rPr>
            </w:pPr>
          </w:p>
        </w:tc>
        <w:tc>
          <w:tcPr>
            <w:tcW w:w="1080" w:type="dxa"/>
            <w:vAlign w:val="bottom"/>
            <w:tcBorders>
              <w:bottom w:val="single" w:sz="8" w:color="7F7F7F"/>
            </w:tcBorders>
          </w:tcPr>
          <w:p>
            <w:pPr>
              <w:spacing w:after="0"/>
              <w:rPr>
                <w:sz w:val="5"/>
                <w:szCs w:val="5"/>
                <w:color w:val="auto"/>
              </w:rPr>
            </w:pPr>
          </w:p>
        </w:tc>
        <w:tc>
          <w:tcPr>
            <w:tcW w:w="1220" w:type="dxa"/>
            <w:vAlign w:val="bottom"/>
            <w:tcBorders>
              <w:bottom w:val="single" w:sz="8" w:color="7F7F7F"/>
            </w:tcBorders>
          </w:tcPr>
          <w:p>
            <w:pPr>
              <w:spacing w:after="0"/>
              <w:rPr>
                <w:sz w:val="5"/>
                <w:szCs w:val="5"/>
                <w:color w:val="auto"/>
              </w:rPr>
            </w:pPr>
          </w:p>
        </w:tc>
        <w:tc>
          <w:tcPr>
            <w:tcW w:w="152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86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Diana L. Day</w:t>
            </w:r>
          </w:p>
        </w:tc>
        <w:tc>
          <w:tcPr>
            <w:tcW w:w="50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2025</w:t>
            </w:r>
          </w:p>
        </w:tc>
        <w:tc>
          <w:tcPr>
            <w:tcW w:w="2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600,000</w:t>
            </w:r>
          </w:p>
        </w:tc>
        <w:tc>
          <w:tcPr>
            <w:tcW w:w="76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F2F2F2"/>
          </w:tcPr>
          <w:p>
            <w:pPr>
              <w:ind w:lef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w w:val="96"/>
              </w:rPr>
              <w:t>1,315,176</w:t>
            </w:r>
          </w:p>
        </w:tc>
        <w:tc>
          <w:tcPr>
            <w:tcW w:w="160" w:type="dxa"/>
            <w:vAlign w:val="bottom"/>
            <w:shd w:val="clear" w:color="auto" w:fill="F2F2F2"/>
          </w:tcPr>
          <w:p>
            <w:pPr>
              <w:spacing w:after="0"/>
              <w:rPr>
                <w:sz w:val="17"/>
                <w:szCs w:val="17"/>
                <w:color w:val="auto"/>
              </w:rPr>
            </w:pPr>
          </w:p>
        </w:tc>
        <w:tc>
          <w:tcPr>
            <w:tcW w:w="7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F2F2F2"/>
          </w:tcPr>
          <w:p>
            <w:pPr>
              <w:jc w:val="right"/>
              <w:ind w:right="9"/>
              <w:spacing w:after="0"/>
              <w:rPr>
                <w:sz w:val="20"/>
                <w:szCs w:val="20"/>
                <w:color w:val="auto"/>
              </w:rPr>
            </w:pPr>
            <w:r>
              <w:rPr>
                <w:rFonts w:ascii="Arial" w:cs="Arial" w:eastAsia="Arial" w:hAnsi="Arial"/>
                <w:sz w:val="14"/>
                <w:szCs w:val="14"/>
                <w:color w:val="auto"/>
              </w:rPr>
              <w:t>$   777,600</w:t>
            </w:r>
          </w:p>
        </w:tc>
        <w:tc>
          <w:tcPr>
            <w:tcW w:w="122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   182,004</w:t>
            </w:r>
          </w:p>
        </w:tc>
        <w:tc>
          <w:tcPr>
            <w:tcW w:w="1520" w:type="dxa"/>
            <w:vAlign w:val="bottom"/>
            <w:shd w:val="clear" w:color="auto" w:fill="F2F2F2"/>
          </w:tcPr>
          <w:p>
            <w:pPr>
              <w:jc w:val="right"/>
              <w:ind w:right="369"/>
              <w:spacing w:after="0"/>
              <w:rPr>
                <w:sz w:val="20"/>
                <w:szCs w:val="20"/>
                <w:color w:val="auto"/>
              </w:rPr>
            </w:pPr>
            <w:r>
              <w:rPr>
                <w:rFonts w:ascii="Arial" w:cs="Arial" w:eastAsia="Arial" w:hAnsi="Arial"/>
                <w:sz w:val="14"/>
                <w:szCs w:val="14"/>
                <w:color w:val="auto"/>
              </w:rPr>
              <w:t>$  58,885</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69"/>
              <w:spacing w:after="0"/>
              <w:rPr>
                <w:sz w:val="20"/>
                <w:szCs w:val="20"/>
                <w:color w:val="auto"/>
              </w:rPr>
            </w:pPr>
            <w:r>
              <w:rPr>
                <w:rFonts w:ascii="Arial" w:cs="Arial" w:eastAsia="Arial" w:hAnsi="Arial"/>
                <w:sz w:val="14"/>
                <w:szCs w:val="14"/>
                <w:color w:val="auto"/>
              </w:rPr>
              <w:t>2,933,665</w:t>
            </w:r>
          </w:p>
        </w:tc>
        <w:tc>
          <w:tcPr>
            <w:tcW w:w="0" w:type="dxa"/>
            <w:vAlign w:val="bottom"/>
          </w:tcPr>
          <w:p>
            <w:pPr>
              <w:spacing w:after="0"/>
              <w:rPr>
                <w:sz w:val="1"/>
                <w:szCs w:val="1"/>
                <w:color w:val="auto"/>
              </w:rPr>
            </w:pPr>
          </w:p>
        </w:tc>
      </w:tr>
      <w:tr>
        <w:trPr>
          <w:trHeight w:val="76"/>
        </w:trPr>
        <w:tc>
          <w:tcPr>
            <w:tcW w:w="2060" w:type="dxa"/>
            <w:vAlign w:val="bottom"/>
            <w:vMerge w:val="restart"/>
          </w:tcPr>
          <w:p>
            <w:pPr>
              <w:ind w:left="80"/>
              <w:spacing w:after="0"/>
              <w:rPr>
                <w:sz w:val="20"/>
                <w:szCs w:val="20"/>
                <w:color w:val="auto"/>
              </w:rPr>
            </w:pPr>
            <w:r>
              <w:rPr>
                <w:rFonts w:ascii="Arial" w:cs="Arial" w:eastAsia="Arial" w:hAnsi="Arial"/>
                <w:sz w:val="14"/>
                <w:szCs w:val="14"/>
                <w:color w:val="auto"/>
              </w:rPr>
              <w:t>Chief Legal Counsel</w:t>
            </w:r>
          </w:p>
        </w:tc>
        <w:tc>
          <w:tcPr>
            <w:tcW w:w="500" w:type="dxa"/>
            <w:vAlign w:val="bottom"/>
            <w:tcBorders>
              <w:bottom w:val="single" w:sz="8" w:color="7F7F7F"/>
            </w:tcBorders>
            <w:shd w:val="clear" w:color="auto" w:fill="F2F2F2"/>
          </w:tcPr>
          <w:p>
            <w:pPr>
              <w:spacing w:after="0"/>
              <w:rPr>
                <w:sz w:val="6"/>
                <w:szCs w:val="6"/>
                <w:color w:val="auto"/>
              </w:rPr>
            </w:pPr>
          </w:p>
        </w:tc>
        <w:tc>
          <w:tcPr>
            <w:tcW w:w="200" w:type="dxa"/>
            <w:vAlign w:val="bottom"/>
            <w:tcBorders>
              <w:bottom w:val="single" w:sz="8" w:color="7F7F7F"/>
            </w:tcBorders>
            <w:shd w:val="clear" w:color="auto" w:fill="F2F2F2"/>
          </w:tcPr>
          <w:p>
            <w:pPr>
              <w:spacing w:after="0"/>
              <w:rPr>
                <w:sz w:val="6"/>
                <w:szCs w:val="6"/>
                <w:color w:val="auto"/>
              </w:rPr>
            </w:pPr>
          </w:p>
        </w:tc>
        <w:tc>
          <w:tcPr>
            <w:tcW w:w="700" w:type="dxa"/>
            <w:vAlign w:val="bottom"/>
            <w:tcBorders>
              <w:bottom w:val="single" w:sz="8" w:color="7F7F7F"/>
            </w:tcBorders>
            <w:shd w:val="clear" w:color="auto" w:fill="F2F2F2"/>
          </w:tcPr>
          <w:p>
            <w:pPr>
              <w:spacing w:after="0"/>
              <w:rPr>
                <w:sz w:val="6"/>
                <w:szCs w:val="6"/>
                <w:color w:val="auto"/>
              </w:rPr>
            </w:pPr>
          </w:p>
        </w:tc>
        <w:tc>
          <w:tcPr>
            <w:tcW w:w="760" w:type="dxa"/>
            <w:vAlign w:val="bottom"/>
            <w:tcBorders>
              <w:bottom w:val="single" w:sz="8" w:color="7F7F7F"/>
            </w:tcBorders>
            <w:shd w:val="clear" w:color="auto" w:fill="F2F2F2"/>
          </w:tcPr>
          <w:p>
            <w:pPr>
              <w:spacing w:after="0"/>
              <w:rPr>
                <w:sz w:val="6"/>
                <w:szCs w:val="6"/>
                <w:color w:val="auto"/>
              </w:rPr>
            </w:pPr>
          </w:p>
        </w:tc>
        <w:tc>
          <w:tcPr>
            <w:tcW w:w="160" w:type="dxa"/>
            <w:vAlign w:val="bottom"/>
            <w:tcBorders>
              <w:bottom w:val="single" w:sz="8" w:color="7F7F7F"/>
            </w:tcBorders>
            <w:shd w:val="clear" w:color="auto" w:fill="F2F2F2"/>
          </w:tcPr>
          <w:p>
            <w:pPr>
              <w:spacing w:after="0"/>
              <w:rPr>
                <w:sz w:val="6"/>
                <w:szCs w:val="6"/>
                <w:color w:val="auto"/>
              </w:rPr>
            </w:pPr>
          </w:p>
        </w:tc>
        <w:tc>
          <w:tcPr>
            <w:tcW w:w="700" w:type="dxa"/>
            <w:vAlign w:val="bottom"/>
            <w:tcBorders>
              <w:bottom w:val="single" w:sz="8" w:color="7F7F7F"/>
            </w:tcBorders>
            <w:shd w:val="clear" w:color="auto" w:fill="F2F2F2"/>
          </w:tcPr>
          <w:p>
            <w:pPr>
              <w:spacing w:after="0"/>
              <w:rPr>
                <w:sz w:val="6"/>
                <w:szCs w:val="6"/>
                <w:color w:val="auto"/>
              </w:rPr>
            </w:pPr>
          </w:p>
        </w:tc>
        <w:tc>
          <w:tcPr>
            <w:tcW w:w="160" w:type="dxa"/>
            <w:vAlign w:val="bottom"/>
            <w:tcBorders>
              <w:bottom w:val="single" w:sz="8" w:color="7F7F7F"/>
            </w:tcBorders>
            <w:shd w:val="clear" w:color="auto" w:fill="F2F2F2"/>
          </w:tcPr>
          <w:p>
            <w:pPr>
              <w:spacing w:after="0"/>
              <w:rPr>
                <w:sz w:val="6"/>
                <w:szCs w:val="6"/>
                <w:color w:val="auto"/>
              </w:rPr>
            </w:pPr>
          </w:p>
        </w:tc>
        <w:tc>
          <w:tcPr>
            <w:tcW w:w="700" w:type="dxa"/>
            <w:vAlign w:val="bottom"/>
            <w:tcBorders>
              <w:bottom w:val="single" w:sz="8" w:color="7F7F7F"/>
            </w:tcBorders>
            <w:shd w:val="clear" w:color="auto" w:fill="F2F2F2"/>
          </w:tcPr>
          <w:p>
            <w:pPr>
              <w:spacing w:after="0"/>
              <w:rPr>
                <w:sz w:val="6"/>
                <w:szCs w:val="6"/>
                <w:color w:val="auto"/>
              </w:rPr>
            </w:pPr>
          </w:p>
        </w:tc>
        <w:tc>
          <w:tcPr>
            <w:tcW w:w="1080" w:type="dxa"/>
            <w:vAlign w:val="bottom"/>
            <w:tcBorders>
              <w:bottom w:val="single" w:sz="8" w:color="7F7F7F"/>
            </w:tcBorders>
            <w:shd w:val="clear" w:color="auto" w:fill="F2F2F2"/>
          </w:tcPr>
          <w:p>
            <w:pPr>
              <w:spacing w:after="0"/>
              <w:rPr>
                <w:sz w:val="6"/>
                <w:szCs w:val="6"/>
                <w:color w:val="auto"/>
              </w:rPr>
            </w:pPr>
          </w:p>
        </w:tc>
        <w:tc>
          <w:tcPr>
            <w:tcW w:w="1220" w:type="dxa"/>
            <w:vAlign w:val="bottom"/>
            <w:tcBorders>
              <w:bottom w:val="single" w:sz="8" w:color="7F7F7F"/>
            </w:tcBorders>
            <w:shd w:val="clear" w:color="auto" w:fill="F2F2F2"/>
          </w:tcPr>
          <w:p>
            <w:pPr>
              <w:spacing w:after="0"/>
              <w:rPr>
                <w:sz w:val="6"/>
                <w:szCs w:val="6"/>
                <w:color w:val="auto"/>
              </w:rPr>
            </w:pPr>
          </w:p>
        </w:tc>
        <w:tc>
          <w:tcPr>
            <w:tcW w:w="152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4"/>
                <w:szCs w:val="14"/>
                <w:color w:val="auto"/>
              </w:rPr>
              <w:t>2024</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510,000</w:t>
            </w:r>
          </w:p>
        </w:tc>
        <w:tc>
          <w:tcPr>
            <w:tcW w:w="7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
              <w:spacing w:after="0"/>
              <w:rPr>
                <w:sz w:val="20"/>
                <w:szCs w:val="20"/>
                <w:color w:val="auto"/>
              </w:rPr>
            </w:pPr>
            <w:r>
              <w:rPr>
                <w:rFonts w:ascii="Arial" w:cs="Arial" w:eastAsia="Arial" w:hAnsi="Arial"/>
                <w:sz w:val="14"/>
                <w:szCs w:val="14"/>
                <w:color w:val="auto"/>
              </w:rPr>
              <w:t>866,171</w:t>
            </w:r>
          </w:p>
        </w:tc>
        <w:tc>
          <w:tcPr>
            <w:tcW w:w="16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9"/>
              <w:spacing w:after="0"/>
              <w:rPr>
                <w:sz w:val="20"/>
                <w:szCs w:val="20"/>
                <w:color w:val="auto"/>
              </w:rPr>
            </w:pPr>
            <w:r>
              <w:rPr>
                <w:rFonts w:ascii="Arial" w:cs="Arial" w:eastAsia="Arial" w:hAnsi="Arial"/>
                <w:sz w:val="14"/>
                <w:szCs w:val="14"/>
                <w:color w:val="auto"/>
              </w:rPr>
              <w:t>$   437,400</w:t>
            </w:r>
          </w:p>
        </w:tc>
        <w:tc>
          <w:tcPr>
            <w:tcW w:w="1220" w:type="dxa"/>
            <w:vAlign w:val="bottom"/>
            <w:vMerge w:val="restart"/>
          </w:tcPr>
          <w:p>
            <w:pPr>
              <w:jc w:val="right"/>
              <w:ind w:right="149"/>
              <w:spacing w:after="0"/>
              <w:rPr>
                <w:sz w:val="20"/>
                <w:szCs w:val="20"/>
                <w:color w:val="auto"/>
              </w:rPr>
            </w:pPr>
            <w:r>
              <w:rPr>
                <w:rFonts w:ascii="Arial" w:cs="Arial" w:eastAsia="Arial" w:hAnsi="Arial"/>
                <w:sz w:val="14"/>
                <w:szCs w:val="14"/>
                <w:color w:val="auto"/>
              </w:rPr>
              <w:t>$   164,985</w:t>
            </w:r>
          </w:p>
        </w:tc>
        <w:tc>
          <w:tcPr>
            <w:tcW w:w="1520" w:type="dxa"/>
            <w:vAlign w:val="bottom"/>
            <w:vMerge w:val="restart"/>
          </w:tcPr>
          <w:p>
            <w:pPr>
              <w:jc w:val="right"/>
              <w:ind w:right="369"/>
              <w:spacing w:after="0"/>
              <w:rPr>
                <w:sz w:val="20"/>
                <w:szCs w:val="20"/>
                <w:color w:val="auto"/>
              </w:rPr>
            </w:pPr>
            <w:r>
              <w:rPr>
                <w:rFonts w:ascii="Arial" w:cs="Arial" w:eastAsia="Arial" w:hAnsi="Arial"/>
                <w:sz w:val="14"/>
                <w:szCs w:val="14"/>
                <w:color w:val="auto"/>
              </w:rPr>
              <w:t>$  57,763</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69"/>
              <w:spacing w:after="0"/>
              <w:rPr>
                <w:sz w:val="20"/>
                <w:szCs w:val="20"/>
                <w:color w:val="auto"/>
              </w:rPr>
            </w:pPr>
            <w:r>
              <w:rPr>
                <w:rFonts w:ascii="Arial" w:cs="Arial" w:eastAsia="Arial" w:hAnsi="Arial"/>
                <w:sz w:val="14"/>
                <w:szCs w:val="14"/>
                <w:color w:val="auto"/>
              </w:rPr>
              <w:t>2,036,319</w:t>
            </w:r>
          </w:p>
        </w:tc>
        <w:tc>
          <w:tcPr>
            <w:tcW w:w="0" w:type="dxa"/>
            <w:vAlign w:val="bottom"/>
          </w:tcPr>
          <w:p>
            <w:pPr>
              <w:spacing w:after="0"/>
              <w:rPr>
                <w:sz w:val="1"/>
                <w:szCs w:val="1"/>
                <w:color w:val="auto"/>
              </w:rPr>
            </w:pPr>
          </w:p>
        </w:tc>
      </w:tr>
      <w:tr>
        <w:trPr>
          <w:trHeight w:val="160"/>
        </w:trPr>
        <w:tc>
          <w:tcPr>
            <w:tcW w:w="20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60" w:type="dxa"/>
            <w:vAlign w:val="bottom"/>
            <w:tcBorders>
              <w:bottom w:val="single" w:sz="8" w:color="7F7F7F"/>
            </w:tcBorders>
          </w:tcPr>
          <w:p>
            <w:pPr>
              <w:spacing w:after="0"/>
              <w:rPr>
                <w:sz w:val="6"/>
                <w:szCs w:val="6"/>
                <w:color w:val="auto"/>
              </w:rPr>
            </w:pPr>
          </w:p>
        </w:tc>
        <w:tc>
          <w:tcPr>
            <w:tcW w:w="500" w:type="dxa"/>
            <w:vAlign w:val="bottom"/>
            <w:tcBorders>
              <w:bottom w:val="single" w:sz="8" w:color="7F7F7F"/>
            </w:tcBorders>
          </w:tcPr>
          <w:p>
            <w:pPr>
              <w:spacing w:after="0"/>
              <w:rPr>
                <w:sz w:val="6"/>
                <w:szCs w:val="6"/>
                <w:color w:val="auto"/>
              </w:rPr>
            </w:pPr>
          </w:p>
        </w:tc>
        <w:tc>
          <w:tcPr>
            <w:tcW w:w="20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76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60" w:type="dxa"/>
            <w:vAlign w:val="bottom"/>
            <w:tcBorders>
              <w:bottom w:val="single" w:sz="8" w:color="7F7F7F"/>
            </w:tcBorders>
          </w:tcPr>
          <w:p>
            <w:pPr>
              <w:spacing w:after="0"/>
              <w:rPr>
                <w:sz w:val="6"/>
                <w:szCs w:val="6"/>
                <w:color w:val="auto"/>
              </w:rPr>
            </w:pPr>
          </w:p>
        </w:tc>
        <w:tc>
          <w:tcPr>
            <w:tcW w:w="700" w:type="dxa"/>
            <w:vAlign w:val="bottom"/>
            <w:tcBorders>
              <w:bottom w:val="single" w:sz="8" w:color="7F7F7F"/>
            </w:tcBorders>
          </w:tcPr>
          <w:p>
            <w:pPr>
              <w:spacing w:after="0"/>
              <w:rPr>
                <w:sz w:val="6"/>
                <w:szCs w:val="6"/>
                <w:color w:val="auto"/>
              </w:rPr>
            </w:pPr>
          </w:p>
        </w:tc>
        <w:tc>
          <w:tcPr>
            <w:tcW w:w="1080" w:type="dxa"/>
            <w:vAlign w:val="bottom"/>
            <w:tcBorders>
              <w:bottom w:val="single" w:sz="8" w:color="7F7F7F"/>
            </w:tcBorders>
          </w:tcPr>
          <w:p>
            <w:pPr>
              <w:spacing w:after="0"/>
              <w:rPr>
                <w:sz w:val="6"/>
                <w:szCs w:val="6"/>
                <w:color w:val="auto"/>
              </w:rPr>
            </w:pPr>
          </w:p>
        </w:tc>
        <w:tc>
          <w:tcPr>
            <w:tcW w:w="1220" w:type="dxa"/>
            <w:vAlign w:val="bottom"/>
            <w:tcBorders>
              <w:bottom w:val="single" w:sz="8" w:color="7F7F7F"/>
            </w:tcBorders>
          </w:tcPr>
          <w:p>
            <w:pPr>
              <w:spacing w:after="0"/>
              <w:rPr>
                <w:sz w:val="6"/>
                <w:szCs w:val="6"/>
                <w:color w:val="auto"/>
              </w:rPr>
            </w:pPr>
          </w:p>
        </w:tc>
        <w:tc>
          <w:tcPr>
            <w:tcW w:w="152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-3302635</wp:posOffset>
            </wp:positionV>
            <wp:extent cx="242062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20620" cy="8255"/>
                    </a:xfrm>
                    <a:prstGeom prst="rect">
                      <a:avLst/>
                    </a:prstGeom>
                    <a:noFill/>
                  </pic:spPr>
                </pic:pic>
              </a:graphicData>
            </a:graphic>
          </wp:anchor>
        </w:drawing>
      </w:r>
    </w:p>
    <w:p>
      <w:pPr>
        <w:spacing w:after="0" w:line="82" w:lineRule="exact"/>
        <w:rPr>
          <w:sz w:val="20"/>
          <w:szCs w:val="20"/>
          <w:color w:val="auto"/>
        </w:rPr>
      </w:pPr>
    </w:p>
    <w:p>
      <w:pPr>
        <w:ind w:left="480" w:hanging="313"/>
        <w:spacing w:after="0"/>
        <w:tabs>
          <w:tab w:leader="none" w:pos="4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Ms. Winn was appointed Executive Vice President effective July 5, 2025. She previously served as Chief Executive Officer of SDG&amp;E.</w:t>
      </w:r>
    </w:p>
    <w:p>
      <w:pPr>
        <w:spacing w:after="0" w:line="35" w:lineRule="exact"/>
        <w:rPr>
          <w:rFonts w:ascii="Arial" w:cs="Arial" w:eastAsia="Arial" w:hAnsi="Arial"/>
          <w:sz w:val="12"/>
          <w:szCs w:val="12"/>
          <w:color w:val="auto"/>
        </w:rPr>
      </w:pPr>
    </w:p>
    <w:p>
      <w:pPr>
        <w:ind w:left="480" w:hanging="313"/>
        <w:spacing w:after="0" w:line="267" w:lineRule="auto"/>
        <w:tabs>
          <w:tab w:leader="none" w:pos="4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Award pursuant to a 2023 recognition and retention agreement with Sempra Infrastructure that was in effect before Mr. Bird became an executive officer of Sempra. The agreement provides for four annual cash payments of $150,000 in April 2023, 2024, 2025 and 2026, in each case subject to Mr. Bird’s continued service for the Sempra family of companies.</w:t>
      </w:r>
    </w:p>
    <w:p>
      <w:pPr>
        <w:ind w:left="480" w:right="100" w:hanging="313"/>
        <w:spacing w:after="0" w:line="255" w:lineRule="auto"/>
        <w:tabs>
          <w:tab w:leader="none" w:pos="4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Represents the grant date fair value of stock and option awards granted during 2025. These amounts reflect our grant date estimate of the aggregate compensation expense that we will recognize over the service period of the awards. They are calculated in accordance with GAAP for financial reporting purposes based on the assumptions described in Note 14 of the Notes to Consolidated Financial Statements included in our 2025 Annual Report to Shareholders but disregarding estimates of forfeitures related to service-based vesting conditions.</w:t>
      </w:r>
    </w:p>
    <w:p>
      <w:pPr>
        <w:spacing w:after="0" w:line="1" w:lineRule="exact"/>
        <w:rPr>
          <w:sz w:val="20"/>
          <w:szCs w:val="20"/>
          <w:color w:val="auto"/>
        </w:rPr>
      </w:pPr>
    </w:p>
    <w:p>
      <w:pPr>
        <w:ind w:left="480" w:right="40" w:hanging="313"/>
        <w:spacing w:after="0"/>
        <w:tabs>
          <w:tab w:leader="none" w:pos="4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Stock awards consist of performance-based and service-based restricted stock units. For the performance-based restricted stock units with a performance measure based on total shareholder return, a Monte Carlo valuation model is used to calculate grant date fair value. For the performance-based restricted stock units with a performance measure based on EPS growth (as adjusted for LTIP purposes), the amounts included in this table assume the target level of performance conditions were achieved. The maximum values for these EPS growth-based awards granted in 2025, assuming the highest level of performance conditions were achieved, would be $9,160,151 for Mr. Martin; $1,680,041 for Ms. Sedgwick; $1,656,690 for Mr. Bird; $1,097,664 for Ms. Winn; and $833,486 for Ms. Day. For the service-based restricted stock units, the awards were valued at the fair market value of shares of our common stock on the grant date without reduction for non-transferability, and the amounts set forth in this table are equal to the number of shares subject to such awards multiplied by the grant date closing price of our common stock. All performance-based and service-based restricted stock units will be settled in shares of Sempra common stock upon vesting, unless deferred in accordance with the terms of the company’s nonqualified deferred compensation plan in the case of performance-based restricted stock units, in which case they will be settled in shares of Sempra common stock following separation of service from the company.</w:t>
      </w:r>
    </w:p>
    <w:p>
      <w:pPr>
        <w:spacing w:after="0" w:line="179" w:lineRule="exact"/>
        <w:rPr>
          <w:rFonts w:ascii="Arial" w:cs="Arial" w:eastAsia="Arial" w:hAnsi="Arial"/>
          <w:sz w:val="12"/>
          <w:szCs w:val="12"/>
          <w:color w:val="auto"/>
        </w:rPr>
      </w:pPr>
    </w:p>
    <w:p>
      <w:pPr>
        <w:ind w:left="480" w:hanging="313"/>
        <w:spacing w:after="0"/>
        <w:tabs>
          <w:tab w:leader="none" w:pos="4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Option awards consist solely of nonqualified stock options. A Black-Scholes valuation model is used to calculate their grant date fair value.</w:t>
      </w:r>
    </w:p>
    <w:p>
      <w:pPr>
        <w:spacing w:after="0" w:line="75" w:lineRule="exact"/>
        <w:rPr>
          <w:rFonts w:ascii="Arial" w:cs="Arial" w:eastAsia="Arial" w:hAnsi="Arial"/>
          <w:sz w:val="12"/>
          <w:szCs w:val="12"/>
          <w:color w:val="auto"/>
        </w:rPr>
      </w:pPr>
    </w:p>
    <w:p>
      <w:pPr>
        <w:ind w:left="480" w:right="220" w:hanging="313"/>
        <w:spacing w:after="0" w:line="279" w:lineRule="auto"/>
        <w:tabs>
          <w:tab w:leader="none" w:pos="4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value actually realized by executives from stock and option awards will depend upon the extent to which performance and service-based vesting conditions are satisfied and the market value of the shares subject to the award upon vesting and sale.</w:t>
      </w:r>
    </w:p>
    <w:p>
      <w:pPr>
        <w:spacing w:after="0" w:line="26" w:lineRule="exact"/>
        <w:rPr>
          <w:rFonts w:ascii="Arial" w:cs="Arial" w:eastAsia="Arial" w:hAnsi="Arial"/>
          <w:sz w:val="12"/>
          <w:szCs w:val="12"/>
          <w:color w:val="auto"/>
        </w:rPr>
      </w:pPr>
    </w:p>
    <w:p>
      <w:pPr>
        <w:ind w:left="480" w:hanging="313"/>
        <w:spacing w:after="0"/>
        <w:tabs>
          <w:tab w:leader="none" w:pos="4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For additional information regarding stock and option awards, see “Grants of Plan-Based Awards” and “Outstanding Equity Awards at Year-End”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238125</wp:posOffset>
            </wp:positionV>
            <wp:extent cx="739140" cy="144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77"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69</w:t>
      </w:r>
    </w:p>
    <w:p>
      <w:pPr>
        <w:sectPr>
          <w:pgSz w:w="11900" w:h="16838" w:orient="portrait"/>
          <w:cols w:equalWidth="0" w:num="1">
            <w:col w:w="11080"/>
          </w:cols>
          <w:pgMar w:left="320" w:top="478"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36" w:lineRule="exact"/>
        <w:rPr>
          <w:sz w:val="20"/>
          <w:szCs w:val="20"/>
          <w:color w:val="auto"/>
        </w:rPr>
      </w:pPr>
    </w:p>
    <w:p>
      <w:pPr>
        <w:ind w:left="480" w:right="180" w:hanging="313"/>
        <w:spacing w:after="0" w:line="279" w:lineRule="auto"/>
        <w:tabs>
          <w:tab w:leader="none" w:pos="4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Represents (i) the aggregate change in the actuarial present value of accumulated benefits under pension plans at year-end over the prior year-end and (ii) above-market interest (interest in excess of 120% of the federal long-term rate) on compensation deferred on a basis that is not tax-qualified. The 2025 amounts are:</w:t>
      </w:r>
    </w:p>
    <w:p>
      <w:pPr>
        <w:spacing w:after="0" w:line="85"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4880" w:type="dxa"/>
            <w:vAlign w:val="bottom"/>
            <w:shd w:val="clear" w:color="auto" w:fill="005CB9"/>
          </w:tcPr>
          <w:p>
            <w:pPr>
              <w:spacing w:after="0"/>
              <w:rPr>
                <w:sz w:val="15"/>
                <w:szCs w:val="15"/>
                <w:color w:val="auto"/>
              </w:rPr>
            </w:pPr>
          </w:p>
        </w:tc>
        <w:tc>
          <w:tcPr>
            <w:tcW w:w="1940" w:type="dxa"/>
            <w:vAlign w:val="bottom"/>
            <w:gridSpan w:val="2"/>
            <w:shd w:val="clear" w:color="auto" w:fill="005CB9"/>
          </w:tcPr>
          <w:p>
            <w:pPr>
              <w:jc w:val="center"/>
              <w:ind w:left="118"/>
              <w:spacing w:after="0"/>
              <w:rPr>
                <w:sz w:val="20"/>
                <w:szCs w:val="20"/>
                <w:color w:val="auto"/>
              </w:rPr>
            </w:pPr>
            <w:r>
              <w:rPr>
                <w:rFonts w:ascii="Arial" w:cs="Arial" w:eastAsia="Arial" w:hAnsi="Arial"/>
                <w:sz w:val="12"/>
                <w:szCs w:val="12"/>
                <w:b w:val="1"/>
                <w:bCs w:val="1"/>
                <w:color w:val="FFFFFF"/>
              </w:rPr>
              <w:t>Change in</w:t>
            </w:r>
          </w:p>
        </w:tc>
        <w:tc>
          <w:tcPr>
            <w:tcW w:w="1840" w:type="dxa"/>
            <w:vAlign w:val="bottom"/>
            <w:vMerge w:val="restart"/>
            <w:shd w:val="clear" w:color="auto" w:fill="005CB9"/>
          </w:tcPr>
          <w:p>
            <w:pPr>
              <w:jc w:val="right"/>
              <w:ind w:right="478"/>
              <w:spacing w:after="0"/>
              <w:rPr>
                <w:sz w:val="20"/>
                <w:szCs w:val="20"/>
                <w:color w:val="auto"/>
              </w:rPr>
            </w:pPr>
            <w:r>
              <w:rPr>
                <w:rFonts w:ascii="Arial" w:cs="Arial" w:eastAsia="Arial" w:hAnsi="Arial"/>
                <w:sz w:val="12"/>
                <w:szCs w:val="12"/>
                <w:b w:val="1"/>
                <w:bCs w:val="1"/>
                <w:color w:val="FFFFFF"/>
              </w:rPr>
              <w:t>Above-Market</w:t>
            </w:r>
          </w:p>
        </w:tc>
        <w:tc>
          <w:tcPr>
            <w:tcW w:w="620" w:type="dxa"/>
            <w:vAlign w:val="bottom"/>
            <w:shd w:val="clear" w:color="auto" w:fill="005CB9"/>
          </w:tcPr>
          <w:p>
            <w:pPr>
              <w:spacing w:after="0"/>
              <w:rPr>
                <w:sz w:val="15"/>
                <w:szCs w:val="15"/>
                <w:color w:val="auto"/>
              </w:rPr>
            </w:pPr>
          </w:p>
        </w:tc>
        <w:tc>
          <w:tcPr>
            <w:tcW w:w="740" w:type="dxa"/>
            <w:vAlign w:val="bottom"/>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880" w:type="dxa"/>
            <w:vAlign w:val="bottom"/>
            <w:shd w:val="clear" w:color="auto" w:fill="005CB9"/>
          </w:tcPr>
          <w:p>
            <w:pPr>
              <w:spacing w:after="0"/>
              <w:rPr>
                <w:sz w:val="11"/>
                <w:szCs w:val="11"/>
                <w:color w:val="auto"/>
              </w:rPr>
            </w:pPr>
          </w:p>
        </w:tc>
        <w:tc>
          <w:tcPr>
            <w:tcW w:w="1940" w:type="dxa"/>
            <w:vAlign w:val="bottom"/>
            <w:gridSpan w:val="2"/>
            <w:shd w:val="clear" w:color="auto" w:fill="005CB9"/>
          </w:tcPr>
          <w:p>
            <w:pPr>
              <w:jc w:val="center"/>
              <w:ind w:left="138"/>
              <w:spacing w:after="0" w:line="134" w:lineRule="exact"/>
              <w:rPr>
                <w:sz w:val="20"/>
                <w:szCs w:val="20"/>
                <w:color w:val="auto"/>
              </w:rPr>
            </w:pPr>
            <w:r>
              <w:rPr>
                <w:rFonts w:ascii="Arial" w:cs="Arial" w:eastAsia="Arial" w:hAnsi="Arial"/>
                <w:sz w:val="12"/>
                <w:szCs w:val="12"/>
                <w:b w:val="1"/>
                <w:bCs w:val="1"/>
                <w:color w:val="FFFFFF"/>
              </w:rPr>
              <w:t>Accumulated</w:t>
            </w:r>
          </w:p>
        </w:tc>
        <w:tc>
          <w:tcPr>
            <w:tcW w:w="1840" w:type="dxa"/>
            <w:vAlign w:val="bottom"/>
            <w:vMerge w:val="continue"/>
            <w:shd w:val="clear" w:color="auto" w:fill="005CB9"/>
          </w:tcPr>
          <w:p>
            <w:pPr>
              <w:spacing w:after="0"/>
              <w:rPr>
                <w:sz w:val="11"/>
                <w:szCs w:val="11"/>
                <w:color w:val="auto"/>
              </w:rPr>
            </w:pPr>
          </w:p>
        </w:tc>
        <w:tc>
          <w:tcPr>
            <w:tcW w:w="620" w:type="dxa"/>
            <w:vAlign w:val="bottom"/>
            <w:shd w:val="clear" w:color="auto" w:fill="005CB9"/>
          </w:tcPr>
          <w:p>
            <w:pPr>
              <w:spacing w:after="0"/>
              <w:rPr>
                <w:sz w:val="11"/>
                <w:szCs w:val="11"/>
                <w:color w:val="auto"/>
              </w:rPr>
            </w:pPr>
          </w:p>
        </w:tc>
        <w:tc>
          <w:tcPr>
            <w:tcW w:w="740" w:type="dxa"/>
            <w:vAlign w:val="bottom"/>
            <w:vMerge w:val="restart"/>
            <w:shd w:val="clear" w:color="auto" w:fill="005CB9"/>
          </w:tcPr>
          <w:p>
            <w:pPr>
              <w:jc w:val="right"/>
              <w:ind w:right="218"/>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219"/>
        </w:trPr>
        <w:tc>
          <w:tcPr>
            <w:tcW w:w="4880" w:type="dxa"/>
            <w:vAlign w:val="bottom"/>
            <w:shd w:val="clear" w:color="auto" w:fill="005CB9"/>
          </w:tcPr>
          <w:p>
            <w:pPr>
              <w:spacing w:after="0"/>
              <w:rPr>
                <w:sz w:val="19"/>
                <w:szCs w:val="19"/>
                <w:color w:val="auto"/>
              </w:rPr>
            </w:pPr>
          </w:p>
        </w:tc>
        <w:tc>
          <w:tcPr>
            <w:tcW w:w="1940" w:type="dxa"/>
            <w:vAlign w:val="bottom"/>
            <w:gridSpan w:val="2"/>
            <w:shd w:val="clear" w:color="auto" w:fill="005CB9"/>
          </w:tcPr>
          <w:p>
            <w:pPr>
              <w:jc w:val="center"/>
              <w:ind w:left="138"/>
              <w:spacing w:after="0"/>
              <w:rPr>
                <w:sz w:val="20"/>
                <w:szCs w:val="20"/>
                <w:color w:val="auto"/>
              </w:rPr>
            </w:pPr>
            <w:r>
              <w:rPr>
                <w:rFonts w:ascii="Arial" w:cs="Arial" w:eastAsia="Arial" w:hAnsi="Arial"/>
                <w:sz w:val="12"/>
                <w:szCs w:val="12"/>
                <w:b w:val="1"/>
                <w:bCs w:val="1"/>
                <w:color w:val="FFFFFF"/>
                <w:w w:val="99"/>
              </w:rPr>
              <w:t>Benefits</w:t>
            </w:r>
            <w:r>
              <w:rPr>
                <w:rFonts w:ascii="Arial" w:cs="Arial" w:eastAsia="Arial" w:hAnsi="Arial"/>
                <w:sz w:val="18"/>
                <w:szCs w:val="18"/>
                <w:b w:val="1"/>
                <w:bCs w:val="1"/>
                <w:color w:val="FFFFFF"/>
                <w:w w:val="99"/>
                <w:vertAlign w:val="superscript"/>
              </w:rPr>
              <w:t>(1)</w:t>
            </w:r>
          </w:p>
        </w:tc>
        <w:tc>
          <w:tcPr>
            <w:tcW w:w="1840" w:type="dxa"/>
            <w:vAlign w:val="bottom"/>
            <w:shd w:val="clear" w:color="auto" w:fill="005CB9"/>
          </w:tcPr>
          <w:p>
            <w:pPr>
              <w:jc w:val="right"/>
              <w:ind w:right="658"/>
              <w:spacing w:after="0"/>
              <w:rPr>
                <w:sz w:val="20"/>
                <w:szCs w:val="20"/>
                <w:color w:val="auto"/>
              </w:rPr>
            </w:pPr>
            <w:r>
              <w:rPr>
                <w:rFonts w:ascii="Arial" w:cs="Arial" w:eastAsia="Arial" w:hAnsi="Arial"/>
                <w:sz w:val="12"/>
                <w:szCs w:val="12"/>
                <w:b w:val="1"/>
                <w:bCs w:val="1"/>
                <w:color w:val="FFFFFF"/>
              </w:rPr>
              <w:t>Interest</w:t>
            </w:r>
          </w:p>
        </w:tc>
        <w:tc>
          <w:tcPr>
            <w:tcW w:w="620" w:type="dxa"/>
            <w:vAlign w:val="bottom"/>
            <w:shd w:val="clear" w:color="auto" w:fill="005CB9"/>
          </w:tcPr>
          <w:p>
            <w:pPr>
              <w:spacing w:after="0"/>
              <w:rPr>
                <w:sz w:val="19"/>
                <w:szCs w:val="19"/>
                <w:color w:val="auto"/>
              </w:rPr>
            </w:pPr>
          </w:p>
        </w:tc>
        <w:tc>
          <w:tcPr>
            <w:tcW w:w="740" w:type="dxa"/>
            <w:vAlign w:val="bottom"/>
            <w:vMerge w:val="continue"/>
            <w:shd w:val="clear" w:color="auto" w:fill="005CB9"/>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80" w:type="dxa"/>
            <w:vAlign w:val="bottom"/>
          </w:tcPr>
          <w:p>
            <w:pPr>
              <w:ind w:left="60"/>
              <w:spacing w:after="0"/>
              <w:rPr>
                <w:sz w:val="20"/>
                <w:szCs w:val="20"/>
                <w:color w:val="auto"/>
              </w:rPr>
            </w:pPr>
            <w:r>
              <w:rPr>
                <w:rFonts w:ascii="Arial" w:cs="Arial" w:eastAsia="Arial" w:hAnsi="Arial"/>
                <w:sz w:val="12"/>
                <w:szCs w:val="12"/>
                <w:color w:val="auto"/>
              </w:rPr>
              <w:t>Jeffrey W. Martin</w:t>
            </w: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tcPr>
          <w:p>
            <w:pPr>
              <w:jc w:val="right"/>
              <w:ind w:right="418"/>
              <w:spacing w:after="0"/>
              <w:rPr>
                <w:sz w:val="20"/>
                <w:szCs w:val="20"/>
                <w:color w:val="auto"/>
              </w:rPr>
            </w:pPr>
            <w:r>
              <w:rPr>
                <w:rFonts w:ascii="Arial" w:cs="Arial" w:eastAsia="Arial" w:hAnsi="Arial"/>
                <w:sz w:val="12"/>
                <w:szCs w:val="12"/>
                <w:color w:val="auto"/>
              </w:rPr>
              <w:t>(2,454,624)</w:t>
            </w:r>
          </w:p>
        </w:tc>
        <w:tc>
          <w:tcPr>
            <w:tcW w:w="1840" w:type="dxa"/>
            <w:vAlign w:val="bottom"/>
          </w:tcPr>
          <w:p>
            <w:pPr>
              <w:jc w:val="right"/>
              <w:ind w:right="518"/>
              <w:spacing w:after="0"/>
              <w:rPr>
                <w:sz w:val="20"/>
                <w:szCs w:val="20"/>
                <w:color w:val="auto"/>
              </w:rPr>
            </w:pPr>
            <w:r>
              <w:rPr>
                <w:rFonts w:ascii="Arial" w:cs="Arial" w:eastAsia="Arial" w:hAnsi="Arial"/>
                <w:sz w:val="12"/>
                <w:szCs w:val="12"/>
                <w:color w:val="auto"/>
              </w:rPr>
              <w:t>$28,388</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(2,426,236)</w:t>
            </w:r>
          </w:p>
        </w:tc>
        <w:tc>
          <w:tcPr>
            <w:tcW w:w="0" w:type="dxa"/>
            <w:vAlign w:val="bottom"/>
          </w:tcPr>
          <w:p>
            <w:pPr>
              <w:spacing w:after="0"/>
              <w:rPr>
                <w:sz w:val="1"/>
                <w:szCs w:val="1"/>
                <w:color w:val="auto"/>
              </w:rPr>
            </w:pPr>
          </w:p>
        </w:tc>
      </w:tr>
      <w:tr>
        <w:trPr>
          <w:trHeight w:val="54"/>
        </w:trPr>
        <w:tc>
          <w:tcPr>
            <w:tcW w:w="488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1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4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Karen L. Sedgwick</w:t>
            </w:r>
          </w:p>
        </w:tc>
        <w:tc>
          <w:tcPr>
            <w:tcW w:w="8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F2F2F2"/>
            </w:tcBorders>
            <w:shd w:val="clear" w:color="auto" w:fill="F2F2F2"/>
          </w:tcPr>
          <w:p>
            <w:pPr>
              <w:jc w:val="right"/>
              <w:ind w:right="478"/>
              <w:spacing w:after="0"/>
              <w:rPr>
                <w:sz w:val="20"/>
                <w:szCs w:val="20"/>
                <w:color w:val="auto"/>
              </w:rPr>
            </w:pPr>
            <w:r>
              <w:rPr>
                <w:rFonts w:ascii="Arial" w:cs="Arial" w:eastAsia="Arial" w:hAnsi="Arial"/>
                <w:sz w:val="12"/>
                <w:szCs w:val="12"/>
                <w:color w:val="auto"/>
              </w:rPr>
              <w:t>2,043,537</w:t>
            </w:r>
          </w:p>
        </w:tc>
        <w:tc>
          <w:tcPr>
            <w:tcW w:w="1840" w:type="dxa"/>
            <w:vAlign w:val="bottom"/>
            <w:tcBorders>
              <w:bottom w:val="single" w:sz="8" w:color="F2F2F2"/>
            </w:tcBorders>
            <w:shd w:val="clear" w:color="auto" w:fill="F2F2F2"/>
          </w:tcPr>
          <w:p>
            <w:pPr>
              <w:jc w:val="right"/>
              <w:ind w:right="518"/>
              <w:spacing w:after="0"/>
              <w:rPr>
                <w:sz w:val="20"/>
                <w:szCs w:val="20"/>
                <w:color w:val="auto"/>
              </w:rPr>
            </w:pPr>
            <w:r>
              <w:rPr>
                <w:rFonts w:ascii="Arial" w:cs="Arial" w:eastAsia="Arial" w:hAnsi="Arial"/>
                <w:sz w:val="12"/>
                <w:szCs w:val="12"/>
                <w:color w:val="auto"/>
              </w:rPr>
              <w:t>$  6,623</w:t>
            </w:r>
          </w:p>
        </w:tc>
        <w:tc>
          <w:tcPr>
            <w:tcW w:w="6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F2F2F2"/>
            </w:tcBorders>
            <w:shd w:val="clear" w:color="auto" w:fill="F2F2F2"/>
          </w:tcPr>
          <w:p>
            <w:pPr>
              <w:jc w:val="right"/>
              <w:ind w:right="78"/>
              <w:spacing w:after="0"/>
              <w:rPr>
                <w:sz w:val="20"/>
                <w:szCs w:val="20"/>
                <w:color w:val="auto"/>
              </w:rPr>
            </w:pPr>
            <w:r>
              <w:rPr>
                <w:rFonts w:ascii="Arial" w:cs="Arial" w:eastAsia="Arial" w:hAnsi="Arial"/>
                <w:sz w:val="12"/>
                <w:szCs w:val="12"/>
                <w:color w:val="auto"/>
              </w:rPr>
              <w:t>2,050,160</w:t>
            </w:r>
          </w:p>
        </w:tc>
        <w:tc>
          <w:tcPr>
            <w:tcW w:w="0" w:type="dxa"/>
            <w:vAlign w:val="bottom"/>
          </w:tcPr>
          <w:p>
            <w:pPr>
              <w:spacing w:after="0"/>
              <w:rPr>
                <w:sz w:val="1"/>
                <w:szCs w:val="1"/>
                <w:color w:val="auto"/>
              </w:rPr>
            </w:pPr>
          </w:p>
        </w:tc>
      </w:tr>
      <w:tr>
        <w:trPr>
          <w:trHeight w:val="194"/>
        </w:trPr>
        <w:tc>
          <w:tcPr>
            <w:tcW w:w="488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Justin C. Bird</w:t>
            </w: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7F7F7F"/>
            </w:tcBorders>
          </w:tcPr>
          <w:p>
            <w:pPr>
              <w:jc w:val="right"/>
              <w:ind w:right="478"/>
              <w:spacing w:after="0"/>
              <w:rPr>
                <w:sz w:val="20"/>
                <w:szCs w:val="20"/>
                <w:color w:val="auto"/>
              </w:rPr>
            </w:pPr>
            <w:r>
              <w:rPr>
                <w:rFonts w:ascii="Arial" w:cs="Arial" w:eastAsia="Arial" w:hAnsi="Arial"/>
                <w:sz w:val="12"/>
                <w:szCs w:val="12"/>
                <w:color w:val="auto"/>
              </w:rPr>
              <w:t>1,407,522</w:t>
            </w:r>
          </w:p>
        </w:tc>
        <w:tc>
          <w:tcPr>
            <w:tcW w:w="1840" w:type="dxa"/>
            <w:vAlign w:val="bottom"/>
            <w:tcBorders>
              <w:top w:val="single" w:sz="8" w:color="7F7F7F"/>
            </w:tcBorders>
          </w:tcPr>
          <w:p>
            <w:pPr>
              <w:jc w:val="right"/>
              <w:ind w:right="518"/>
              <w:spacing w:after="0"/>
              <w:rPr>
                <w:sz w:val="20"/>
                <w:szCs w:val="20"/>
                <w:color w:val="auto"/>
              </w:rPr>
            </w:pPr>
            <w:r>
              <w:rPr>
                <w:rFonts w:ascii="Arial" w:cs="Arial" w:eastAsia="Arial" w:hAnsi="Arial"/>
                <w:sz w:val="12"/>
                <w:szCs w:val="12"/>
                <w:color w:val="auto"/>
              </w:rPr>
              <w:t>$  4,855</w:t>
            </w:r>
          </w:p>
        </w:tc>
        <w:tc>
          <w:tcPr>
            <w:tcW w:w="6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tcBorders>
          </w:tcPr>
          <w:p>
            <w:pPr>
              <w:jc w:val="right"/>
              <w:ind w:right="78"/>
              <w:spacing w:after="0"/>
              <w:rPr>
                <w:sz w:val="20"/>
                <w:szCs w:val="20"/>
                <w:color w:val="auto"/>
              </w:rPr>
            </w:pPr>
            <w:r>
              <w:rPr>
                <w:rFonts w:ascii="Arial" w:cs="Arial" w:eastAsia="Arial" w:hAnsi="Arial"/>
                <w:sz w:val="12"/>
                <w:szCs w:val="12"/>
                <w:color w:val="auto"/>
              </w:rPr>
              <w:t>1,412,377</w:t>
            </w:r>
          </w:p>
        </w:tc>
        <w:tc>
          <w:tcPr>
            <w:tcW w:w="0" w:type="dxa"/>
            <w:vAlign w:val="bottom"/>
          </w:tcPr>
          <w:p>
            <w:pPr>
              <w:spacing w:after="0"/>
              <w:rPr>
                <w:sz w:val="1"/>
                <w:szCs w:val="1"/>
                <w:color w:val="auto"/>
              </w:rPr>
            </w:pPr>
          </w:p>
        </w:tc>
      </w:tr>
      <w:tr>
        <w:trPr>
          <w:trHeight w:val="54"/>
        </w:trPr>
        <w:tc>
          <w:tcPr>
            <w:tcW w:w="488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1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48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Caroline A. Winn</w:t>
            </w:r>
          </w:p>
        </w:tc>
        <w:tc>
          <w:tcPr>
            <w:tcW w:w="8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F2F2F2"/>
            </w:tcBorders>
            <w:shd w:val="clear" w:color="auto" w:fill="F2F2F2"/>
          </w:tcPr>
          <w:p>
            <w:pPr>
              <w:jc w:val="right"/>
              <w:ind w:right="478"/>
              <w:spacing w:after="0"/>
              <w:rPr>
                <w:sz w:val="20"/>
                <w:szCs w:val="20"/>
                <w:color w:val="auto"/>
              </w:rPr>
            </w:pPr>
            <w:r>
              <w:rPr>
                <w:rFonts w:ascii="Arial" w:cs="Arial" w:eastAsia="Arial" w:hAnsi="Arial"/>
                <w:sz w:val="12"/>
                <w:szCs w:val="12"/>
                <w:color w:val="auto"/>
              </w:rPr>
              <w:t>1,308,009</w:t>
            </w:r>
          </w:p>
        </w:tc>
        <w:tc>
          <w:tcPr>
            <w:tcW w:w="1840" w:type="dxa"/>
            <w:vAlign w:val="bottom"/>
            <w:tcBorders>
              <w:bottom w:val="single" w:sz="8" w:color="F2F2F2"/>
            </w:tcBorders>
            <w:shd w:val="clear" w:color="auto" w:fill="F2F2F2"/>
          </w:tcPr>
          <w:p>
            <w:pPr>
              <w:jc w:val="right"/>
              <w:ind w:right="518"/>
              <w:spacing w:after="0"/>
              <w:rPr>
                <w:sz w:val="20"/>
                <w:szCs w:val="20"/>
                <w:color w:val="auto"/>
              </w:rPr>
            </w:pPr>
            <w:r>
              <w:rPr>
                <w:rFonts w:ascii="Arial" w:cs="Arial" w:eastAsia="Arial" w:hAnsi="Arial"/>
                <w:sz w:val="12"/>
                <w:szCs w:val="12"/>
                <w:color w:val="auto"/>
              </w:rPr>
              <w:t>$21,495</w:t>
            </w:r>
          </w:p>
        </w:tc>
        <w:tc>
          <w:tcPr>
            <w:tcW w:w="6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F2F2F2"/>
            </w:tcBorders>
            <w:shd w:val="clear" w:color="auto" w:fill="F2F2F2"/>
          </w:tcPr>
          <w:p>
            <w:pPr>
              <w:jc w:val="right"/>
              <w:ind w:right="78"/>
              <w:spacing w:after="0"/>
              <w:rPr>
                <w:sz w:val="20"/>
                <w:szCs w:val="20"/>
                <w:color w:val="auto"/>
              </w:rPr>
            </w:pPr>
            <w:r>
              <w:rPr>
                <w:rFonts w:ascii="Arial" w:cs="Arial" w:eastAsia="Arial" w:hAnsi="Arial"/>
                <w:sz w:val="12"/>
                <w:szCs w:val="12"/>
                <w:color w:val="auto"/>
              </w:rPr>
              <w:t>1,329,504</w:t>
            </w:r>
          </w:p>
        </w:tc>
        <w:tc>
          <w:tcPr>
            <w:tcW w:w="0" w:type="dxa"/>
            <w:vAlign w:val="bottom"/>
          </w:tcPr>
          <w:p>
            <w:pPr>
              <w:spacing w:after="0"/>
              <w:rPr>
                <w:sz w:val="1"/>
                <w:szCs w:val="1"/>
                <w:color w:val="auto"/>
              </w:rPr>
            </w:pPr>
          </w:p>
        </w:tc>
      </w:tr>
      <w:tr>
        <w:trPr>
          <w:trHeight w:val="194"/>
        </w:trPr>
        <w:tc>
          <w:tcPr>
            <w:tcW w:w="488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Diana L. Day</w:t>
            </w:r>
          </w:p>
        </w:tc>
        <w:tc>
          <w:tcPr>
            <w:tcW w:w="8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7F7F7F"/>
            </w:tcBorders>
          </w:tcPr>
          <w:p>
            <w:pPr>
              <w:jc w:val="right"/>
              <w:ind w:right="478"/>
              <w:spacing w:after="0"/>
              <w:rPr>
                <w:sz w:val="20"/>
                <w:szCs w:val="20"/>
                <w:color w:val="auto"/>
              </w:rPr>
            </w:pPr>
            <w:r>
              <w:rPr>
                <w:rFonts w:ascii="Arial" w:cs="Arial" w:eastAsia="Arial" w:hAnsi="Arial"/>
                <w:sz w:val="12"/>
                <w:szCs w:val="12"/>
                <w:color w:val="auto"/>
              </w:rPr>
              <w:t>172,913</w:t>
            </w:r>
          </w:p>
        </w:tc>
        <w:tc>
          <w:tcPr>
            <w:tcW w:w="1840" w:type="dxa"/>
            <w:vAlign w:val="bottom"/>
            <w:tcBorders>
              <w:top w:val="single" w:sz="8" w:color="7F7F7F"/>
            </w:tcBorders>
          </w:tcPr>
          <w:p>
            <w:pPr>
              <w:jc w:val="right"/>
              <w:ind w:right="518"/>
              <w:spacing w:after="0"/>
              <w:rPr>
                <w:sz w:val="20"/>
                <w:szCs w:val="20"/>
                <w:color w:val="auto"/>
              </w:rPr>
            </w:pPr>
            <w:r>
              <w:rPr>
                <w:rFonts w:ascii="Arial" w:cs="Arial" w:eastAsia="Arial" w:hAnsi="Arial"/>
                <w:sz w:val="12"/>
                <w:szCs w:val="12"/>
                <w:color w:val="auto"/>
              </w:rPr>
              <w:t>$  9,091</w:t>
            </w:r>
          </w:p>
        </w:tc>
        <w:tc>
          <w:tcPr>
            <w:tcW w:w="6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tcBorders>
          </w:tcPr>
          <w:p>
            <w:pPr>
              <w:jc w:val="right"/>
              <w:ind w:right="78"/>
              <w:spacing w:after="0"/>
              <w:rPr>
                <w:sz w:val="20"/>
                <w:szCs w:val="20"/>
                <w:color w:val="auto"/>
              </w:rPr>
            </w:pPr>
            <w:r>
              <w:rPr>
                <w:rFonts w:ascii="Arial" w:cs="Arial" w:eastAsia="Arial" w:hAnsi="Arial"/>
                <w:sz w:val="12"/>
                <w:szCs w:val="12"/>
                <w:color w:val="auto"/>
              </w:rPr>
              <w:t>182,004</w:t>
            </w:r>
          </w:p>
        </w:tc>
        <w:tc>
          <w:tcPr>
            <w:tcW w:w="0" w:type="dxa"/>
            <w:vAlign w:val="bottom"/>
          </w:tcPr>
          <w:p>
            <w:pPr>
              <w:spacing w:after="0"/>
              <w:rPr>
                <w:sz w:val="1"/>
                <w:szCs w:val="1"/>
                <w:color w:val="auto"/>
              </w:rPr>
            </w:pPr>
          </w:p>
        </w:tc>
      </w:tr>
      <w:tr>
        <w:trPr>
          <w:trHeight w:val="54"/>
        </w:trPr>
        <w:tc>
          <w:tcPr>
            <w:tcW w:w="4880" w:type="dxa"/>
            <w:vAlign w:val="bottom"/>
            <w:tcBorders>
              <w:bottom w:val="single" w:sz="8" w:color="7F7F7F"/>
            </w:tcBorders>
          </w:tcPr>
          <w:p>
            <w:pPr>
              <w:spacing w:after="0"/>
              <w:rPr>
                <w:sz w:val="4"/>
                <w:szCs w:val="4"/>
                <w:color w:val="auto"/>
              </w:rPr>
            </w:pPr>
          </w:p>
        </w:tc>
        <w:tc>
          <w:tcPr>
            <w:tcW w:w="800" w:type="dxa"/>
            <w:vAlign w:val="bottom"/>
            <w:tcBorders>
              <w:bottom w:val="single" w:sz="8" w:color="7F7F7F"/>
            </w:tcBorders>
          </w:tcPr>
          <w:p>
            <w:pPr>
              <w:spacing w:after="0"/>
              <w:rPr>
                <w:sz w:val="4"/>
                <w:szCs w:val="4"/>
                <w:color w:val="auto"/>
              </w:rPr>
            </w:pPr>
          </w:p>
        </w:tc>
        <w:tc>
          <w:tcPr>
            <w:tcW w:w="1140" w:type="dxa"/>
            <w:vAlign w:val="bottom"/>
            <w:tcBorders>
              <w:bottom w:val="single" w:sz="8" w:color="7F7F7F"/>
            </w:tcBorders>
          </w:tcPr>
          <w:p>
            <w:pPr>
              <w:spacing w:after="0"/>
              <w:rPr>
                <w:sz w:val="4"/>
                <w:szCs w:val="4"/>
                <w:color w:val="auto"/>
              </w:rPr>
            </w:pPr>
          </w:p>
        </w:tc>
        <w:tc>
          <w:tcPr>
            <w:tcW w:w="18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360" w:hanging="323"/>
        <w:spacing w:after="0"/>
        <w:tabs>
          <w:tab w:leader="none" w:pos="1360" w:val="left"/>
        </w:tabs>
        <w:numPr>
          <w:ilvl w:val="1"/>
          <w:numId w:val="91"/>
        </w:numPr>
        <w:rPr>
          <w:rFonts w:ascii="Arial" w:cs="Arial" w:eastAsia="Arial" w:hAnsi="Arial"/>
          <w:sz w:val="12"/>
          <w:szCs w:val="12"/>
          <w:color w:val="auto"/>
        </w:rPr>
      </w:pPr>
      <w:r>
        <w:rPr>
          <w:rFonts w:ascii="Arial" w:cs="Arial" w:eastAsia="Arial" w:hAnsi="Arial"/>
          <w:sz w:val="12"/>
          <w:szCs w:val="12"/>
          <w:color w:val="auto"/>
        </w:rPr>
        <w:t>The SERP is a traditional defined benefit pension plan. Defined benefit plans are extremely sensitive to interest rate changes and other economic assumptions. The actuarial value of the pension benefit fluctuates significantly from year to year depending on a number of factors, including changes in pay, the accrual of additional age and service, interest rates and changes in actuarial assumptions such as mortality. The change in 2025 pension value for Mr. Martin was ($2,454,624). This negative value is displayed in the table above in this footnote (D), but is not reflected in the Change in Pension Value and Nonqualified Deferred Compensation Earnings or Total columns for Mr. Martin in the 2025 Summary Compensation Table in accordance with applicable disclosure rules. Under the defined benefit formula, final average pay is the average base salary for the two consecutive years of highest base salary prior to retirement plus the average of the three highest annual bonuses during the 10 years prior to retirement. Final average pay does not include long-term equity-based incentives. For additional information regarding pension benefits and deferred compensation, see “Pension Benefits” and “Nonqualified Deferred Compensation” below.</w:t>
      </w:r>
    </w:p>
    <w:p>
      <w:pPr>
        <w:spacing w:after="0" w:line="144" w:lineRule="exact"/>
        <w:rPr>
          <w:rFonts w:ascii="Arial" w:cs="Arial" w:eastAsia="Arial" w:hAnsi="Arial"/>
          <w:sz w:val="12"/>
          <w:szCs w:val="12"/>
          <w:color w:val="auto"/>
        </w:rPr>
      </w:pPr>
    </w:p>
    <w:p>
      <w:pPr>
        <w:ind w:left="480" w:hanging="313"/>
        <w:spacing w:after="0"/>
        <w:tabs>
          <w:tab w:leader="none" w:pos="480" w:val="left"/>
        </w:tabs>
        <w:numPr>
          <w:ilvl w:val="0"/>
          <w:numId w:val="92"/>
        </w:numPr>
        <w:rPr>
          <w:rFonts w:ascii="Arial" w:cs="Arial" w:eastAsia="Arial" w:hAnsi="Arial"/>
          <w:sz w:val="12"/>
          <w:szCs w:val="12"/>
          <w:color w:val="auto"/>
        </w:rPr>
      </w:pPr>
      <w:r>
        <w:rPr>
          <w:rFonts w:ascii="Arial" w:cs="Arial" w:eastAsia="Arial" w:hAnsi="Arial"/>
          <w:sz w:val="12"/>
          <w:szCs w:val="12"/>
          <w:color w:val="auto"/>
        </w:rPr>
        <w:t>All Other Compensation amounts for 2025 are:</w:t>
      </w:r>
    </w:p>
    <w:p>
      <w:pPr>
        <w:spacing w:after="0" w:line="134"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2520" w:type="dxa"/>
            <w:vAlign w:val="bottom"/>
            <w:shd w:val="clear" w:color="auto" w:fill="005CB9"/>
          </w:tcPr>
          <w:p>
            <w:pPr>
              <w:spacing w:after="0"/>
              <w:rPr>
                <w:sz w:val="15"/>
                <w:szCs w:val="15"/>
                <w:color w:val="auto"/>
              </w:rPr>
            </w:pPr>
          </w:p>
        </w:tc>
        <w:tc>
          <w:tcPr>
            <w:tcW w:w="1960" w:type="dxa"/>
            <w:vAlign w:val="bottom"/>
            <w:shd w:val="clear" w:color="auto" w:fill="005CB9"/>
          </w:tcPr>
          <w:p>
            <w:pPr>
              <w:jc w:val="center"/>
              <w:ind w:left="58"/>
              <w:spacing w:after="0"/>
              <w:rPr>
                <w:sz w:val="20"/>
                <w:szCs w:val="20"/>
                <w:color w:val="auto"/>
              </w:rPr>
            </w:pPr>
            <w:r>
              <w:rPr>
                <w:rFonts w:ascii="Arial" w:cs="Arial" w:eastAsia="Arial" w:hAnsi="Arial"/>
                <w:sz w:val="12"/>
                <w:szCs w:val="12"/>
                <w:b w:val="1"/>
                <w:bCs w:val="1"/>
                <w:color w:val="FFFFFF"/>
              </w:rPr>
              <w:t>Company 401(k)</w:t>
            </w:r>
          </w:p>
        </w:tc>
        <w:tc>
          <w:tcPr>
            <w:tcW w:w="1540" w:type="dxa"/>
            <w:vAlign w:val="bottom"/>
            <w:shd w:val="clear" w:color="auto" w:fill="005CB9"/>
          </w:tcPr>
          <w:p>
            <w:pPr>
              <w:spacing w:after="0"/>
              <w:rPr>
                <w:sz w:val="15"/>
                <w:szCs w:val="15"/>
                <w:color w:val="auto"/>
              </w:rPr>
            </w:pPr>
          </w:p>
        </w:tc>
        <w:tc>
          <w:tcPr>
            <w:tcW w:w="166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Matching of</w:t>
            </w:r>
          </w:p>
        </w:tc>
        <w:tc>
          <w:tcPr>
            <w:tcW w:w="460" w:type="dxa"/>
            <w:vAlign w:val="bottom"/>
            <w:shd w:val="clear" w:color="auto" w:fill="005CB9"/>
          </w:tcPr>
          <w:p>
            <w:pPr>
              <w:spacing w:after="0"/>
              <w:rPr>
                <w:sz w:val="15"/>
                <w:szCs w:val="15"/>
                <w:color w:val="auto"/>
              </w:rPr>
            </w:pPr>
          </w:p>
        </w:tc>
        <w:tc>
          <w:tcPr>
            <w:tcW w:w="840" w:type="dxa"/>
            <w:vAlign w:val="bottom"/>
            <w:shd w:val="clear" w:color="auto" w:fill="005CB9"/>
          </w:tcPr>
          <w:p>
            <w:pPr>
              <w:spacing w:after="0"/>
              <w:rPr>
                <w:sz w:val="15"/>
                <w:szCs w:val="15"/>
                <w:color w:val="auto"/>
              </w:rPr>
            </w:pPr>
          </w:p>
        </w:tc>
        <w:tc>
          <w:tcPr>
            <w:tcW w:w="440" w:type="dxa"/>
            <w:vAlign w:val="bottom"/>
            <w:shd w:val="clear" w:color="auto" w:fill="005CB9"/>
          </w:tcPr>
          <w:p>
            <w:pPr>
              <w:spacing w:after="0"/>
              <w:rPr>
                <w:sz w:val="15"/>
                <w:szCs w:val="15"/>
                <w:color w:val="auto"/>
              </w:rPr>
            </w:pPr>
          </w:p>
        </w:tc>
        <w:tc>
          <w:tcPr>
            <w:tcW w:w="600" w:type="dxa"/>
            <w:vAlign w:val="bottom"/>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20" w:type="dxa"/>
            <w:vAlign w:val="bottom"/>
            <w:shd w:val="clear" w:color="auto" w:fill="005CB9"/>
          </w:tcPr>
          <w:p>
            <w:pPr>
              <w:spacing w:after="0"/>
              <w:rPr>
                <w:sz w:val="11"/>
                <w:szCs w:val="11"/>
                <w:color w:val="auto"/>
              </w:rPr>
            </w:pPr>
          </w:p>
        </w:tc>
        <w:tc>
          <w:tcPr>
            <w:tcW w:w="1960" w:type="dxa"/>
            <w:vAlign w:val="bottom"/>
            <w:shd w:val="clear" w:color="auto" w:fill="005CB9"/>
          </w:tcPr>
          <w:p>
            <w:pPr>
              <w:jc w:val="center"/>
              <w:ind w:left="58"/>
              <w:spacing w:after="0" w:line="134" w:lineRule="exact"/>
              <w:rPr>
                <w:sz w:val="20"/>
                <w:szCs w:val="20"/>
                <w:color w:val="auto"/>
              </w:rPr>
            </w:pPr>
            <w:r>
              <w:rPr>
                <w:rFonts w:ascii="Arial" w:cs="Arial" w:eastAsia="Arial" w:hAnsi="Arial"/>
                <w:sz w:val="12"/>
                <w:szCs w:val="12"/>
                <w:b w:val="1"/>
                <w:bCs w:val="1"/>
                <w:color w:val="FFFFFF"/>
              </w:rPr>
              <w:t>and Deferred</w:t>
            </w:r>
          </w:p>
        </w:tc>
        <w:tc>
          <w:tcPr>
            <w:tcW w:w="1540" w:type="dxa"/>
            <w:vAlign w:val="bottom"/>
            <w:vMerge w:val="restart"/>
            <w:shd w:val="clear" w:color="auto" w:fill="005CB9"/>
          </w:tcPr>
          <w:p>
            <w:pPr>
              <w:jc w:val="right"/>
              <w:ind w:right="418"/>
              <w:spacing w:after="0"/>
              <w:rPr>
                <w:sz w:val="20"/>
                <w:szCs w:val="20"/>
                <w:color w:val="auto"/>
              </w:rPr>
            </w:pPr>
            <w:r>
              <w:rPr>
                <w:rFonts w:ascii="Arial" w:cs="Arial" w:eastAsia="Arial" w:hAnsi="Arial"/>
                <w:sz w:val="12"/>
                <w:szCs w:val="12"/>
                <w:b w:val="1"/>
                <w:bCs w:val="1"/>
                <w:color w:val="FFFFFF"/>
              </w:rPr>
              <w:t>Insurance</w:t>
            </w:r>
          </w:p>
        </w:tc>
        <w:tc>
          <w:tcPr>
            <w:tcW w:w="1660" w:type="dxa"/>
            <w:vAlign w:val="bottom"/>
            <w:vMerge w:val="continue"/>
            <w:shd w:val="clear" w:color="auto" w:fill="005CB9"/>
          </w:tcPr>
          <w:p>
            <w:pPr>
              <w:spacing w:after="0"/>
              <w:rPr>
                <w:sz w:val="11"/>
                <w:szCs w:val="11"/>
                <w:color w:val="auto"/>
              </w:rPr>
            </w:pPr>
          </w:p>
        </w:tc>
        <w:tc>
          <w:tcPr>
            <w:tcW w:w="460" w:type="dxa"/>
            <w:vAlign w:val="bottom"/>
            <w:shd w:val="clear" w:color="auto" w:fill="005CB9"/>
          </w:tcPr>
          <w:p>
            <w:pPr>
              <w:spacing w:after="0"/>
              <w:rPr>
                <w:sz w:val="11"/>
                <w:szCs w:val="11"/>
                <w:color w:val="auto"/>
              </w:rPr>
            </w:pPr>
          </w:p>
        </w:tc>
        <w:tc>
          <w:tcPr>
            <w:tcW w:w="840" w:type="dxa"/>
            <w:vAlign w:val="bottom"/>
            <w:shd w:val="clear" w:color="auto" w:fill="005CB9"/>
          </w:tcPr>
          <w:p>
            <w:pPr>
              <w:spacing w:after="0"/>
              <w:rPr>
                <w:sz w:val="11"/>
                <w:szCs w:val="11"/>
                <w:color w:val="auto"/>
              </w:rPr>
            </w:pPr>
          </w:p>
        </w:tc>
        <w:tc>
          <w:tcPr>
            <w:tcW w:w="440" w:type="dxa"/>
            <w:vAlign w:val="bottom"/>
            <w:shd w:val="clear" w:color="auto" w:fill="005CB9"/>
          </w:tcPr>
          <w:p>
            <w:pPr>
              <w:spacing w:after="0"/>
              <w:rPr>
                <w:sz w:val="11"/>
                <w:szCs w:val="11"/>
                <w:color w:val="auto"/>
              </w:rPr>
            </w:pPr>
          </w:p>
        </w:tc>
        <w:tc>
          <w:tcPr>
            <w:tcW w:w="600" w:type="dxa"/>
            <w:vAlign w:val="bottom"/>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520" w:type="dxa"/>
            <w:vAlign w:val="bottom"/>
            <w:shd w:val="clear" w:color="auto" w:fill="005CB9"/>
          </w:tcPr>
          <w:p>
            <w:pPr>
              <w:spacing w:after="0"/>
              <w:rPr>
                <w:sz w:val="11"/>
                <w:szCs w:val="11"/>
                <w:color w:val="auto"/>
              </w:rPr>
            </w:pPr>
          </w:p>
        </w:tc>
        <w:tc>
          <w:tcPr>
            <w:tcW w:w="1960" w:type="dxa"/>
            <w:vAlign w:val="bottom"/>
            <w:shd w:val="clear" w:color="auto" w:fill="005CB9"/>
          </w:tcPr>
          <w:p>
            <w:pPr>
              <w:jc w:val="center"/>
              <w:ind w:left="58"/>
              <w:spacing w:after="0" w:line="134" w:lineRule="exact"/>
              <w:rPr>
                <w:sz w:val="20"/>
                <w:szCs w:val="20"/>
                <w:color w:val="auto"/>
              </w:rPr>
            </w:pPr>
            <w:r>
              <w:rPr>
                <w:rFonts w:ascii="Arial" w:cs="Arial" w:eastAsia="Arial" w:hAnsi="Arial"/>
                <w:sz w:val="12"/>
                <w:szCs w:val="12"/>
                <w:b w:val="1"/>
                <w:bCs w:val="1"/>
                <w:color w:val="FFFFFF"/>
              </w:rPr>
              <w:t>Compensation</w:t>
            </w:r>
          </w:p>
        </w:tc>
        <w:tc>
          <w:tcPr>
            <w:tcW w:w="1540" w:type="dxa"/>
            <w:vAlign w:val="bottom"/>
            <w:vMerge w:val="continue"/>
            <w:shd w:val="clear" w:color="auto" w:fill="005CB9"/>
          </w:tcPr>
          <w:p>
            <w:pPr>
              <w:spacing w:after="0"/>
              <w:rPr>
                <w:sz w:val="11"/>
                <w:szCs w:val="11"/>
                <w:color w:val="auto"/>
              </w:rPr>
            </w:pPr>
          </w:p>
        </w:tc>
        <w:tc>
          <w:tcPr>
            <w:tcW w:w="1660" w:type="dxa"/>
            <w:vAlign w:val="bottom"/>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Charitable</w:t>
            </w:r>
          </w:p>
        </w:tc>
        <w:tc>
          <w:tcPr>
            <w:tcW w:w="1300" w:type="dxa"/>
            <w:vAlign w:val="bottom"/>
            <w:gridSpan w:val="2"/>
            <w:vMerge w:val="restart"/>
            <w:shd w:val="clear" w:color="auto" w:fill="005CB9"/>
          </w:tcPr>
          <w:p>
            <w:pPr>
              <w:jc w:val="right"/>
              <w:ind w:right="318"/>
              <w:spacing w:after="0"/>
              <w:rPr>
                <w:sz w:val="20"/>
                <w:szCs w:val="20"/>
                <w:color w:val="auto"/>
              </w:rPr>
            </w:pPr>
            <w:r>
              <w:rPr>
                <w:rFonts w:ascii="Arial" w:cs="Arial" w:eastAsia="Arial" w:hAnsi="Arial"/>
                <w:sz w:val="24"/>
                <w:szCs w:val="24"/>
                <w:b w:val="1"/>
                <w:bCs w:val="1"/>
                <w:color w:val="FFFFFF"/>
                <w:vertAlign w:val="subscript"/>
              </w:rPr>
              <w:t>Other</w:t>
            </w:r>
            <w:r>
              <w:rPr>
                <w:rFonts w:ascii="Arial" w:cs="Arial" w:eastAsia="Arial" w:hAnsi="Arial"/>
                <w:sz w:val="9"/>
                <w:szCs w:val="9"/>
                <w:b w:val="1"/>
                <w:bCs w:val="1"/>
                <w:color w:val="FFFFFF"/>
              </w:rPr>
              <w:t>(2)(4)</w:t>
            </w:r>
          </w:p>
        </w:tc>
        <w:tc>
          <w:tcPr>
            <w:tcW w:w="440" w:type="dxa"/>
            <w:vAlign w:val="bottom"/>
            <w:shd w:val="clear" w:color="auto" w:fill="005CB9"/>
          </w:tcPr>
          <w:p>
            <w:pPr>
              <w:spacing w:after="0"/>
              <w:rPr>
                <w:sz w:val="11"/>
                <w:szCs w:val="11"/>
                <w:color w:val="auto"/>
              </w:rPr>
            </w:pPr>
          </w:p>
        </w:tc>
        <w:tc>
          <w:tcPr>
            <w:tcW w:w="600" w:type="dxa"/>
            <w:vAlign w:val="bottom"/>
            <w:vMerge w:val="restart"/>
            <w:shd w:val="clear" w:color="auto" w:fill="005CB9"/>
          </w:tcPr>
          <w:p>
            <w:pPr>
              <w:jc w:val="right"/>
              <w:ind w:right="138"/>
              <w:spacing w:after="0"/>
              <w:rPr>
                <w:sz w:val="20"/>
                <w:szCs w:val="20"/>
                <w:color w:val="auto"/>
              </w:rPr>
            </w:pPr>
            <w:r>
              <w:rPr>
                <w:rFonts w:ascii="Arial" w:cs="Arial" w:eastAsia="Arial" w:hAnsi="Arial"/>
                <w:sz w:val="12"/>
                <w:szCs w:val="12"/>
                <w:b w:val="1"/>
                <w:bCs w:val="1"/>
                <w:color w:val="FFFFFF"/>
              </w:rPr>
              <w:t>Total</w:t>
            </w:r>
          </w:p>
        </w:tc>
        <w:tc>
          <w:tcPr>
            <w:tcW w:w="0" w:type="dxa"/>
            <w:vAlign w:val="bottom"/>
          </w:tcPr>
          <w:p>
            <w:pPr>
              <w:spacing w:after="0"/>
              <w:rPr>
                <w:sz w:val="1"/>
                <w:szCs w:val="1"/>
                <w:color w:val="auto"/>
              </w:rPr>
            </w:pPr>
          </w:p>
        </w:tc>
      </w:tr>
      <w:tr>
        <w:trPr>
          <w:trHeight w:val="219"/>
        </w:trPr>
        <w:tc>
          <w:tcPr>
            <w:tcW w:w="2520" w:type="dxa"/>
            <w:vAlign w:val="bottom"/>
            <w:shd w:val="clear" w:color="auto" w:fill="005CB9"/>
          </w:tcPr>
          <w:p>
            <w:pPr>
              <w:spacing w:after="0"/>
              <w:rPr>
                <w:sz w:val="19"/>
                <w:szCs w:val="19"/>
                <w:color w:val="auto"/>
              </w:rPr>
            </w:pPr>
          </w:p>
        </w:tc>
        <w:tc>
          <w:tcPr>
            <w:tcW w:w="1960" w:type="dxa"/>
            <w:vAlign w:val="bottom"/>
            <w:shd w:val="clear" w:color="auto" w:fill="005CB9"/>
          </w:tcPr>
          <w:p>
            <w:pPr>
              <w:jc w:val="center"/>
              <w:ind w:left="58"/>
              <w:spacing w:after="0"/>
              <w:rPr>
                <w:sz w:val="20"/>
                <w:szCs w:val="20"/>
                <w:color w:val="auto"/>
              </w:rPr>
            </w:pPr>
            <w:r>
              <w:rPr>
                <w:rFonts w:ascii="Arial" w:cs="Arial" w:eastAsia="Arial" w:hAnsi="Arial"/>
                <w:sz w:val="12"/>
                <w:szCs w:val="12"/>
                <w:b w:val="1"/>
                <w:bCs w:val="1"/>
                <w:color w:val="FFFFFF"/>
              </w:rPr>
              <w:t>Plan Contributions</w:t>
            </w:r>
          </w:p>
        </w:tc>
        <w:tc>
          <w:tcPr>
            <w:tcW w:w="1540" w:type="dxa"/>
            <w:vAlign w:val="bottom"/>
            <w:shd w:val="clear" w:color="auto" w:fill="005CB9"/>
          </w:tcPr>
          <w:p>
            <w:pPr>
              <w:jc w:val="right"/>
              <w:ind w:right="298"/>
              <w:spacing w:after="0"/>
              <w:rPr>
                <w:sz w:val="20"/>
                <w:szCs w:val="20"/>
                <w:color w:val="auto"/>
              </w:rPr>
            </w:pPr>
            <w:r>
              <w:rPr>
                <w:rFonts w:ascii="Arial" w:cs="Arial" w:eastAsia="Arial" w:hAnsi="Arial"/>
                <w:sz w:val="12"/>
                <w:szCs w:val="12"/>
                <w:b w:val="1"/>
                <w:bCs w:val="1"/>
                <w:color w:val="FFFFFF"/>
              </w:rPr>
              <w:t>Premiums</w:t>
            </w:r>
            <w:r>
              <w:rPr>
                <w:rFonts w:ascii="Arial" w:cs="Arial" w:eastAsia="Arial" w:hAnsi="Arial"/>
                <w:sz w:val="18"/>
                <w:szCs w:val="18"/>
                <w:b w:val="1"/>
                <w:bCs w:val="1"/>
                <w:color w:val="FFFFFF"/>
                <w:vertAlign w:val="superscript"/>
              </w:rPr>
              <w:t>(1)(2)</w:t>
            </w:r>
          </w:p>
        </w:tc>
        <w:tc>
          <w:tcPr>
            <w:tcW w:w="166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Contributions</w:t>
            </w:r>
            <w:r>
              <w:rPr>
                <w:rFonts w:ascii="Arial" w:cs="Arial" w:eastAsia="Arial" w:hAnsi="Arial"/>
                <w:sz w:val="18"/>
                <w:szCs w:val="18"/>
                <w:b w:val="1"/>
                <w:bCs w:val="1"/>
                <w:color w:val="FFFFFF"/>
                <w:vertAlign w:val="superscript"/>
              </w:rPr>
              <w:t>(3)</w:t>
            </w:r>
          </w:p>
        </w:tc>
        <w:tc>
          <w:tcPr>
            <w:tcW w:w="1300" w:type="dxa"/>
            <w:vAlign w:val="bottom"/>
            <w:gridSpan w:val="2"/>
            <w:vMerge w:val="continue"/>
            <w:shd w:val="clear" w:color="auto" w:fill="005CB9"/>
          </w:tcPr>
          <w:p>
            <w:pPr>
              <w:spacing w:after="0"/>
              <w:rPr>
                <w:sz w:val="19"/>
                <w:szCs w:val="19"/>
                <w:color w:val="auto"/>
              </w:rPr>
            </w:pPr>
          </w:p>
        </w:tc>
        <w:tc>
          <w:tcPr>
            <w:tcW w:w="440" w:type="dxa"/>
            <w:vAlign w:val="bottom"/>
            <w:shd w:val="clear" w:color="auto" w:fill="005CB9"/>
          </w:tcPr>
          <w:p>
            <w:pPr>
              <w:spacing w:after="0"/>
              <w:rPr>
                <w:sz w:val="19"/>
                <w:szCs w:val="19"/>
                <w:color w:val="auto"/>
              </w:rPr>
            </w:pPr>
          </w:p>
        </w:tc>
        <w:tc>
          <w:tcPr>
            <w:tcW w:w="600" w:type="dxa"/>
            <w:vAlign w:val="bottom"/>
            <w:vMerge w:val="continue"/>
            <w:shd w:val="clear" w:color="auto" w:fill="005CB9"/>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20" w:type="dxa"/>
            <w:vAlign w:val="bottom"/>
          </w:tcPr>
          <w:p>
            <w:pPr>
              <w:ind w:left="60"/>
              <w:spacing w:after="0"/>
              <w:rPr>
                <w:sz w:val="20"/>
                <w:szCs w:val="20"/>
                <w:color w:val="auto"/>
              </w:rPr>
            </w:pPr>
            <w:r>
              <w:rPr>
                <w:rFonts w:ascii="Arial" w:cs="Arial" w:eastAsia="Arial" w:hAnsi="Arial"/>
                <w:sz w:val="12"/>
                <w:szCs w:val="12"/>
                <w:color w:val="auto"/>
              </w:rPr>
              <w:t>Jeffrey W. Martin</w:t>
            </w:r>
          </w:p>
        </w:tc>
        <w:tc>
          <w:tcPr>
            <w:tcW w:w="1960" w:type="dxa"/>
            <w:vAlign w:val="bottom"/>
          </w:tcPr>
          <w:p>
            <w:pPr>
              <w:jc w:val="right"/>
              <w:ind w:right="358"/>
              <w:spacing w:after="0"/>
              <w:rPr>
                <w:sz w:val="20"/>
                <w:szCs w:val="20"/>
                <w:color w:val="auto"/>
              </w:rPr>
            </w:pPr>
            <w:r>
              <w:rPr>
                <w:rFonts w:ascii="Arial" w:cs="Arial" w:eastAsia="Arial" w:hAnsi="Arial"/>
                <w:sz w:val="12"/>
                <w:szCs w:val="12"/>
                <w:color w:val="auto"/>
              </w:rPr>
              <w:t>$227,976</w:t>
            </w:r>
          </w:p>
        </w:tc>
        <w:tc>
          <w:tcPr>
            <w:tcW w:w="1540" w:type="dxa"/>
            <w:vAlign w:val="bottom"/>
          </w:tcPr>
          <w:p>
            <w:pPr>
              <w:jc w:val="right"/>
              <w:ind w:right="318"/>
              <w:spacing w:after="0"/>
              <w:rPr>
                <w:sz w:val="20"/>
                <w:szCs w:val="20"/>
                <w:color w:val="auto"/>
              </w:rPr>
            </w:pPr>
            <w:r>
              <w:rPr>
                <w:rFonts w:ascii="Arial" w:cs="Arial" w:eastAsia="Arial" w:hAnsi="Arial"/>
                <w:sz w:val="12"/>
                <w:szCs w:val="12"/>
                <w:color w:val="auto"/>
              </w:rPr>
              <w:t>$83,996</w:t>
            </w:r>
          </w:p>
        </w:tc>
        <w:tc>
          <w:tcPr>
            <w:tcW w:w="1660" w:type="dxa"/>
            <w:vAlign w:val="bottom"/>
          </w:tcPr>
          <w:p>
            <w:pPr>
              <w:jc w:val="right"/>
              <w:ind w:right="298"/>
              <w:spacing w:after="0"/>
              <w:rPr>
                <w:sz w:val="20"/>
                <w:szCs w:val="20"/>
                <w:color w:val="auto"/>
              </w:rPr>
            </w:pPr>
            <w:r>
              <w:rPr>
                <w:rFonts w:ascii="Arial" w:cs="Arial" w:eastAsia="Arial" w:hAnsi="Arial"/>
                <w:sz w:val="12"/>
                <w:szCs w:val="12"/>
                <w:color w:val="auto"/>
              </w:rPr>
              <w:t>$153,332</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318"/>
              <w:spacing w:after="0"/>
              <w:rPr>
                <w:sz w:val="20"/>
                <w:szCs w:val="20"/>
                <w:color w:val="auto"/>
              </w:rPr>
            </w:pPr>
            <w:r>
              <w:rPr>
                <w:rFonts w:ascii="Arial" w:cs="Arial" w:eastAsia="Arial" w:hAnsi="Arial"/>
                <w:sz w:val="12"/>
                <w:szCs w:val="12"/>
                <w:color w:val="auto"/>
              </w:rPr>
              <w:t>310,564</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78"/>
              <w:spacing w:after="0"/>
              <w:rPr>
                <w:sz w:val="20"/>
                <w:szCs w:val="20"/>
                <w:color w:val="auto"/>
              </w:rPr>
            </w:pPr>
            <w:r>
              <w:rPr>
                <w:rFonts w:ascii="Arial" w:cs="Arial" w:eastAsia="Arial" w:hAnsi="Arial"/>
                <w:sz w:val="12"/>
                <w:szCs w:val="12"/>
                <w:color w:val="auto"/>
              </w:rPr>
              <w:t>775,868</w:t>
            </w:r>
          </w:p>
        </w:tc>
        <w:tc>
          <w:tcPr>
            <w:tcW w:w="0" w:type="dxa"/>
            <w:vAlign w:val="bottom"/>
          </w:tcPr>
          <w:p>
            <w:pPr>
              <w:spacing w:after="0"/>
              <w:rPr>
                <w:sz w:val="1"/>
                <w:szCs w:val="1"/>
                <w:color w:val="auto"/>
              </w:rPr>
            </w:pPr>
          </w:p>
        </w:tc>
      </w:tr>
      <w:tr>
        <w:trPr>
          <w:trHeight w:val="54"/>
        </w:trPr>
        <w:tc>
          <w:tcPr>
            <w:tcW w:w="252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154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5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Karen L. Sedgwick</w:t>
            </w:r>
          </w:p>
        </w:tc>
        <w:tc>
          <w:tcPr>
            <w:tcW w:w="196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  60,345</w:t>
            </w:r>
          </w:p>
        </w:tc>
        <w:tc>
          <w:tcPr>
            <w:tcW w:w="1540" w:type="dxa"/>
            <w:vAlign w:val="bottom"/>
            <w:tcBorders>
              <w:bottom w:val="single" w:sz="8" w:color="F2F2F2"/>
            </w:tcBorders>
            <w:shd w:val="clear" w:color="auto" w:fill="F2F2F2"/>
          </w:tcPr>
          <w:p>
            <w:pPr>
              <w:jc w:val="right"/>
              <w:ind w:right="318"/>
              <w:spacing w:after="0"/>
              <w:rPr>
                <w:sz w:val="20"/>
                <w:szCs w:val="20"/>
                <w:color w:val="auto"/>
              </w:rPr>
            </w:pPr>
            <w:r>
              <w:rPr>
                <w:rFonts w:ascii="Arial" w:cs="Arial" w:eastAsia="Arial" w:hAnsi="Arial"/>
                <w:sz w:val="12"/>
                <w:szCs w:val="12"/>
                <w:color w:val="auto"/>
              </w:rPr>
              <w:t>$11,809</w:t>
            </w:r>
          </w:p>
        </w:tc>
        <w:tc>
          <w:tcPr>
            <w:tcW w:w="166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    5,480</w:t>
            </w:r>
          </w:p>
        </w:tc>
        <w:tc>
          <w:tcPr>
            <w:tcW w:w="4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right"/>
              <w:ind w:right="318"/>
              <w:spacing w:after="0"/>
              <w:rPr>
                <w:sz w:val="20"/>
                <w:szCs w:val="20"/>
                <w:color w:val="auto"/>
              </w:rPr>
            </w:pPr>
            <w:r>
              <w:rPr>
                <w:rFonts w:ascii="Arial" w:cs="Arial" w:eastAsia="Arial" w:hAnsi="Arial"/>
                <w:sz w:val="12"/>
                <w:szCs w:val="12"/>
                <w:color w:val="auto"/>
              </w:rPr>
              <w:t>52,010</w:t>
            </w:r>
          </w:p>
        </w:tc>
        <w:tc>
          <w:tcPr>
            <w:tcW w:w="4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F2F2F2"/>
            </w:tcBorders>
            <w:shd w:val="clear" w:color="auto" w:fill="F2F2F2"/>
          </w:tcPr>
          <w:p>
            <w:pPr>
              <w:jc w:val="right"/>
              <w:ind w:right="78"/>
              <w:spacing w:after="0"/>
              <w:rPr>
                <w:sz w:val="20"/>
                <w:szCs w:val="20"/>
                <w:color w:val="auto"/>
              </w:rPr>
            </w:pPr>
            <w:r>
              <w:rPr>
                <w:rFonts w:ascii="Arial" w:cs="Arial" w:eastAsia="Arial" w:hAnsi="Arial"/>
                <w:sz w:val="12"/>
                <w:szCs w:val="12"/>
                <w:color w:val="auto"/>
              </w:rPr>
              <w:t>129,644</w:t>
            </w:r>
          </w:p>
        </w:tc>
        <w:tc>
          <w:tcPr>
            <w:tcW w:w="0" w:type="dxa"/>
            <w:vAlign w:val="bottom"/>
          </w:tcPr>
          <w:p>
            <w:pPr>
              <w:spacing w:after="0"/>
              <w:rPr>
                <w:sz w:val="1"/>
                <w:szCs w:val="1"/>
                <w:color w:val="auto"/>
              </w:rPr>
            </w:pPr>
          </w:p>
        </w:tc>
      </w:tr>
      <w:tr>
        <w:trPr>
          <w:trHeight w:val="194"/>
        </w:trPr>
        <w:tc>
          <w:tcPr>
            <w:tcW w:w="252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Justin C. Bird</w:t>
            </w:r>
          </w:p>
        </w:tc>
        <w:tc>
          <w:tcPr>
            <w:tcW w:w="1960" w:type="dxa"/>
            <w:vAlign w:val="bottom"/>
            <w:tcBorders>
              <w:top w:val="single" w:sz="8" w:color="7F7F7F"/>
            </w:tcBorders>
          </w:tcPr>
          <w:p>
            <w:pPr>
              <w:jc w:val="right"/>
              <w:ind w:right="358"/>
              <w:spacing w:after="0"/>
              <w:rPr>
                <w:sz w:val="20"/>
                <w:szCs w:val="20"/>
                <w:color w:val="auto"/>
              </w:rPr>
            </w:pPr>
            <w:r>
              <w:rPr>
                <w:rFonts w:ascii="Arial" w:cs="Arial" w:eastAsia="Arial" w:hAnsi="Arial"/>
                <w:sz w:val="12"/>
                <w:szCs w:val="12"/>
                <w:color w:val="auto"/>
              </w:rPr>
              <w:t>$  70,346</w:t>
            </w:r>
          </w:p>
        </w:tc>
        <w:tc>
          <w:tcPr>
            <w:tcW w:w="1540" w:type="dxa"/>
            <w:vAlign w:val="bottom"/>
            <w:tcBorders>
              <w:top w:val="single" w:sz="8" w:color="7F7F7F"/>
            </w:tcBorders>
          </w:tcPr>
          <w:p>
            <w:pPr>
              <w:jc w:val="right"/>
              <w:ind w:right="318"/>
              <w:spacing w:after="0"/>
              <w:rPr>
                <w:sz w:val="20"/>
                <w:szCs w:val="20"/>
                <w:color w:val="auto"/>
              </w:rPr>
            </w:pPr>
            <w:r>
              <w:rPr>
                <w:rFonts w:ascii="Arial" w:cs="Arial" w:eastAsia="Arial" w:hAnsi="Arial"/>
                <w:sz w:val="12"/>
                <w:szCs w:val="12"/>
                <w:color w:val="auto"/>
              </w:rPr>
              <w:t>$  8,485</w:t>
            </w:r>
          </w:p>
        </w:tc>
        <w:tc>
          <w:tcPr>
            <w:tcW w:w="1660" w:type="dxa"/>
            <w:vAlign w:val="bottom"/>
            <w:tcBorders>
              <w:top w:val="single" w:sz="8" w:color="7F7F7F"/>
            </w:tcBorders>
          </w:tcPr>
          <w:p>
            <w:pPr>
              <w:jc w:val="right"/>
              <w:ind w:right="298"/>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7F7F7F"/>
            </w:tcBorders>
          </w:tcPr>
          <w:p>
            <w:pPr>
              <w:jc w:val="right"/>
              <w:ind w:right="318"/>
              <w:spacing w:after="0"/>
              <w:rPr>
                <w:sz w:val="20"/>
                <w:szCs w:val="20"/>
                <w:color w:val="auto"/>
              </w:rPr>
            </w:pPr>
            <w:r>
              <w:rPr>
                <w:rFonts w:ascii="Arial" w:cs="Arial" w:eastAsia="Arial" w:hAnsi="Arial"/>
                <w:sz w:val="12"/>
                <w:szCs w:val="12"/>
                <w:color w:val="auto"/>
              </w:rPr>
              <w:t>53,819</w:t>
            </w:r>
          </w:p>
        </w:tc>
        <w:tc>
          <w:tcPr>
            <w:tcW w:w="4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7F7F7F"/>
            </w:tcBorders>
          </w:tcPr>
          <w:p>
            <w:pPr>
              <w:jc w:val="right"/>
              <w:ind w:right="78"/>
              <w:spacing w:after="0"/>
              <w:rPr>
                <w:sz w:val="20"/>
                <w:szCs w:val="20"/>
                <w:color w:val="auto"/>
              </w:rPr>
            </w:pPr>
            <w:r>
              <w:rPr>
                <w:rFonts w:ascii="Arial" w:cs="Arial" w:eastAsia="Arial" w:hAnsi="Arial"/>
                <w:sz w:val="12"/>
                <w:szCs w:val="12"/>
                <w:color w:val="auto"/>
              </w:rPr>
              <w:t>132,650</w:t>
            </w:r>
          </w:p>
        </w:tc>
        <w:tc>
          <w:tcPr>
            <w:tcW w:w="0" w:type="dxa"/>
            <w:vAlign w:val="bottom"/>
          </w:tcPr>
          <w:p>
            <w:pPr>
              <w:spacing w:after="0"/>
              <w:rPr>
                <w:sz w:val="1"/>
                <w:szCs w:val="1"/>
                <w:color w:val="auto"/>
              </w:rPr>
            </w:pPr>
          </w:p>
        </w:tc>
      </w:tr>
      <w:tr>
        <w:trPr>
          <w:trHeight w:val="54"/>
        </w:trPr>
        <w:tc>
          <w:tcPr>
            <w:tcW w:w="252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154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52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Caroline A. Winn</w:t>
            </w:r>
          </w:p>
        </w:tc>
        <w:tc>
          <w:tcPr>
            <w:tcW w:w="196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  16,154</w:t>
            </w:r>
          </w:p>
        </w:tc>
        <w:tc>
          <w:tcPr>
            <w:tcW w:w="1540" w:type="dxa"/>
            <w:vAlign w:val="bottom"/>
            <w:tcBorders>
              <w:bottom w:val="single" w:sz="8" w:color="F2F2F2"/>
            </w:tcBorders>
            <w:shd w:val="clear" w:color="auto" w:fill="F2F2F2"/>
          </w:tcPr>
          <w:p>
            <w:pPr>
              <w:jc w:val="right"/>
              <w:ind w:right="318"/>
              <w:spacing w:after="0"/>
              <w:rPr>
                <w:sz w:val="20"/>
                <w:szCs w:val="20"/>
                <w:color w:val="auto"/>
              </w:rPr>
            </w:pPr>
            <w:r>
              <w:rPr>
                <w:rFonts w:ascii="Arial" w:cs="Arial" w:eastAsia="Arial" w:hAnsi="Arial"/>
                <w:sz w:val="12"/>
                <w:szCs w:val="12"/>
                <w:color w:val="auto"/>
              </w:rPr>
              <w:t>$11,809</w:t>
            </w:r>
          </w:p>
        </w:tc>
        <w:tc>
          <w:tcPr>
            <w:tcW w:w="166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  13,273</w:t>
            </w:r>
          </w:p>
        </w:tc>
        <w:tc>
          <w:tcPr>
            <w:tcW w:w="4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right"/>
              <w:ind w:right="318"/>
              <w:spacing w:after="0"/>
              <w:rPr>
                <w:sz w:val="20"/>
                <w:szCs w:val="20"/>
                <w:color w:val="auto"/>
              </w:rPr>
            </w:pPr>
            <w:r>
              <w:rPr>
                <w:rFonts w:ascii="Arial" w:cs="Arial" w:eastAsia="Arial" w:hAnsi="Arial"/>
                <w:sz w:val="12"/>
                <w:szCs w:val="12"/>
                <w:color w:val="auto"/>
              </w:rPr>
              <w:t>190,238</w:t>
            </w:r>
          </w:p>
        </w:tc>
        <w:tc>
          <w:tcPr>
            <w:tcW w:w="4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F2F2F2"/>
            </w:tcBorders>
            <w:shd w:val="clear" w:color="auto" w:fill="F2F2F2"/>
          </w:tcPr>
          <w:p>
            <w:pPr>
              <w:jc w:val="right"/>
              <w:ind w:right="78"/>
              <w:spacing w:after="0"/>
              <w:rPr>
                <w:sz w:val="20"/>
                <w:szCs w:val="20"/>
                <w:color w:val="auto"/>
              </w:rPr>
            </w:pPr>
            <w:r>
              <w:rPr>
                <w:rFonts w:ascii="Arial" w:cs="Arial" w:eastAsia="Arial" w:hAnsi="Arial"/>
                <w:sz w:val="12"/>
                <w:szCs w:val="12"/>
                <w:color w:val="auto"/>
              </w:rPr>
              <w:t>231,474</w:t>
            </w:r>
          </w:p>
        </w:tc>
        <w:tc>
          <w:tcPr>
            <w:tcW w:w="0" w:type="dxa"/>
            <w:vAlign w:val="bottom"/>
          </w:tcPr>
          <w:p>
            <w:pPr>
              <w:spacing w:after="0"/>
              <w:rPr>
                <w:sz w:val="1"/>
                <w:szCs w:val="1"/>
                <w:color w:val="auto"/>
              </w:rPr>
            </w:pPr>
          </w:p>
        </w:tc>
      </w:tr>
      <w:tr>
        <w:trPr>
          <w:trHeight w:val="194"/>
        </w:trPr>
        <w:tc>
          <w:tcPr>
            <w:tcW w:w="252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Diana L. Day</w:t>
            </w:r>
          </w:p>
        </w:tc>
        <w:tc>
          <w:tcPr>
            <w:tcW w:w="1960" w:type="dxa"/>
            <w:vAlign w:val="bottom"/>
            <w:tcBorders>
              <w:top w:val="single" w:sz="8" w:color="7F7F7F"/>
            </w:tcBorders>
          </w:tcPr>
          <w:p>
            <w:pPr>
              <w:jc w:val="right"/>
              <w:ind w:right="358"/>
              <w:spacing w:after="0"/>
              <w:rPr>
                <w:sz w:val="20"/>
                <w:szCs w:val="20"/>
                <w:color w:val="auto"/>
              </w:rPr>
            </w:pPr>
            <w:r>
              <w:rPr>
                <w:rFonts w:ascii="Arial" w:cs="Arial" w:eastAsia="Arial" w:hAnsi="Arial"/>
                <w:sz w:val="12"/>
                <w:szCs w:val="12"/>
                <w:color w:val="auto"/>
              </w:rPr>
              <w:t>$  41,399</w:t>
            </w:r>
          </w:p>
        </w:tc>
        <w:tc>
          <w:tcPr>
            <w:tcW w:w="1540" w:type="dxa"/>
            <w:vAlign w:val="bottom"/>
            <w:tcBorders>
              <w:top w:val="single" w:sz="8" w:color="7F7F7F"/>
            </w:tcBorders>
          </w:tcPr>
          <w:p>
            <w:pPr>
              <w:jc w:val="right"/>
              <w:ind w:right="318"/>
              <w:spacing w:after="0"/>
              <w:rPr>
                <w:sz w:val="20"/>
                <w:szCs w:val="20"/>
                <w:color w:val="auto"/>
              </w:rPr>
            </w:pPr>
            <w:r>
              <w:rPr>
                <w:rFonts w:ascii="Arial" w:cs="Arial" w:eastAsia="Arial" w:hAnsi="Arial"/>
                <w:sz w:val="12"/>
                <w:szCs w:val="12"/>
                <w:color w:val="auto"/>
              </w:rPr>
              <w:t>$  3,886</w:t>
            </w:r>
          </w:p>
        </w:tc>
        <w:tc>
          <w:tcPr>
            <w:tcW w:w="1660" w:type="dxa"/>
            <w:vAlign w:val="bottom"/>
            <w:tcBorders>
              <w:top w:val="single" w:sz="8" w:color="7F7F7F"/>
            </w:tcBorders>
          </w:tcPr>
          <w:p>
            <w:pPr>
              <w:jc w:val="right"/>
              <w:ind w:right="298"/>
              <w:spacing w:after="0"/>
              <w:rPr>
                <w:sz w:val="20"/>
                <w:szCs w:val="20"/>
                <w:color w:val="auto"/>
              </w:rPr>
            </w:pPr>
            <w:r>
              <w:rPr>
                <w:rFonts w:ascii="Arial" w:cs="Arial" w:eastAsia="Arial" w:hAnsi="Arial"/>
                <w:sz w:val="12"/>
                <w:szCs w:val="12"/>
                <w:color w:val="auto"/>
              </w:rPr>
              <w:t>$    3,600</w:t>
            </w:r>
          </w:p>
        </w:tc>
        <w:tc>
          <w:tcPr>
            <w:tcW w:w="4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7F7F7F"/>
            </w:tcBorders>
          </w:tcPr>
          <w:p>
            <w:pPr>
              <w:jc w:val="right"/>
              <w:ind w:right="318"/>
              <w:spacing w:after="0"/>
              <w:rPr>
                <w:sz w:val="20"/>
                <w:szCs w:val="20"/>
                <w:color w:val="auto"/>
              </w:rPr>
            </w:pPr>
            <w:r>
              <w:rPr>
                <w:rFonts w:ascii="Arial" w:cs="Arial" w:eastAsia="Arial" w:hAnsi="Arial"/>
                <w:sz w:val="12"/>
                <w:szCs w:val="12"/>
                <w:color w:val="auto"/>
              </w:rPr>
              <w:t>10,000</w:t>
            </w:r>
          </w:p>
        </w:tc>
        <w:tc>
          <w:tcPr>
            <w:tcW w:w="4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7F7F7F"/>
            </w:tcBorders>
          </w:tcPr>
          <w:p>
            <w:pPr>
              <w:jc w:val="right"/>
              <w:ind w:right="78"/>
              <w:spacing w:after="0"/>
              <w:rPr>
                <w:sz w:val="20"/>
                <w:szCs w:val="20"/>
                <w:color w:val="auto"/>
              </w:rPr>
            </w:pPr>
            <w:r>
              <w:rPr>
                <w:rFonts w:ascii="Arial" w:cs="Arial" w:eastAsia="Arial" w:hAnsi="Arial"/>
                <w:sz w:val="12"/>
                <w:szCs w:val="12"/>
                <w:color w:val="auto"/>
              </w:rPr>
              <w:t>58,885</w:t>
            </w:r>
          </w:p>
        </w:tc>
        <w:tc>
          <w:tcPr>
            <w:tcW w:w="0" w:type="dxa"/>
            <w:vAlign w:val="bottom"/>
          </w:tcPr>
          <w:p>
            <w:pPr>
              <w:spacing w:after="0"/>
              <w:rPr>
                <w:sz w:val="1"/>
                <w:szCs w:val="1"/>
                <w:color w:val="auto"/>
              </w:rPr>
            </w:pPr>
          </w:p>
        </w:tc>
      </w:tr>
      <w:tr>
        <w:trPr>
          <w:trHeight w:val="54"/>
        </w:trPr>
        <w:tc>
          <w:tcPr>
            <w:tcW w:w="2520" w:type="dxa"/>
            <w:vAlign w:val="bottom"/>
            <w:tcBorders>
              <w:bottom w:val="single" w:sz="8" w:color="7F7F7F"/>
            </w:tcBorders>
          </w:tcPr>
          <w:p>
            <w:pPr>
              <w:spacing w:after="0"/>
              <w:rPr>
                <w:sz w:val="4"/>
                <w:szCs w:val="4"/>
                <w:color w:val="auto"/>
              </w:rPr>
            </w:pPr>
          </w:p>
        </w:tc>
        <w:tc>
          <w:tcPr>
            <w:tcW w:w="1960" w:type="dxa"/>
            <w:vAlign w:val="bottom"/>
            <w:tcBorders>
              <w:bottom w:val="single" w:sz="8" w:color="7F7F7F"/>
            </w:tcBorders>
          </w:tcPr>
          <w:p>
            <w:pPr>
              <w:spacing w:after="0"/>
              <w:rPr>
                <w:sz w:val="4"/>
                <w:szCs w:val="4"/>
                <w:color w:val="auto"/>
              </w:rPr>
            </w:pPr>
          </w:p>
        </w:tc>
        <w:tc>
          <w:tcPr>
            <w:tcW w:w="154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44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360" w:right="80" w:hanging="323"/>
        <w:spacing w:after="0" w:line="249" w:lineRule="auto"/>
        <w:tabs>
          <w:tab w:leader="none" w:pos="13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Amounts consist of premiums for supplemental disability benefits for Messrs. Martin and Bird and Mss. Sedgwick and Winn, excess personal liability insurance benefits for Ms. Day, medical transport coverage for each named executive officer, and life insurance premiums of $74,228 for Mr. Martin. Information on these programs is provided under “Compensation Discussion and Analysis—Compensation Components—Benefit Plans and Other Executive Benefits—Health, Life Insurance and Disability Plans and Other Executive Benefits.”</w:t>
      </w:r>
    </w:p>
    <w:p>
      <w:pPr>
        <w:spacing w:after="0" w:line="145" w:lineRule="exact"/>
        <w:rPr>
          <w:rFonts w:ascii="Arial" w:cs="Arial" w:eastAsia="Arial" w:hAnsi="Arial"/>
          <w:sz w:val="12"/>
          <w:szCs w:val="12"/>
          <w:color w:val="auto"/>
        </w:rPr>
      </w:pPr>
    </w:p>
    <w:p>
      <w:pPr>
        <w:ind w:left="1360" w:right="40" w:hanging="323"/>
        <w:spacing w:after="0" w:line="267" w:lineRule="auto"/>
        <w:tabs>
          <w:tab w:leader="none" w:pos="13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Excess personal liability insurance benefits for Messrs. Martin and Bird and Mss. Sedgwick and Winn are included within their executive benefit program allowances reported in this table under “Other.”</w:t>
      </w:r>
    </w:p>
    <w:p>
      <w:pPr>
        <w:ind w:left="1360" w:hanging="323"/>
        <w:spacing w:after="0" w:line="244" w:lineRule="auto"/>
        <w:tabs>
          <w:tab w:leader="none" w:pos="13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Amounts consist of contributions to charitable, educational and other non-profit organizations to match the personal contributions of each named executive officer. In 2025, we offered a program that matches employee contributions on a dollar-for-dollar basis and matches volunteer hours with per-hour monetary donations up to an annual maximum match, the amount of which varies based on employee seniority and was $25,000 for Messrs. Martin and Bird and Mss. Sedgwick and Winn and $15,000 for Ms. Day, as well as a special double-match program in which company match donations are made equal to two times an employee’s contributions on a specific day of the calendar year. These programs are available to all employees. All matching contributions are made by the Sempra Foundation, which was founded and is solely funded by Sempra.</w:t>
      </w:r>
    </w:p>
    <w:p>
      <w:pPr>
        <w:spacing w:after="0" w:line="7" w:lineRule="exact"/>
        <w:rPr>
          <w:rFonts w:ascii="Arial" w:cs="Arial" w:eastAsia="Arial" w:hAnsi="Arial"/>
          <w:sz w:val="12"/>
          <w:szCs w:val="12"/>
          <w:color w:val="auto"/>
        </w:rPr>
      </w:pPr>
    </w:p>
    <w:p>
      <w:pPr>
        <w:ind w:left="1360" w:right="40" w:hanging="323"/>
        <w:spacing w:after="0"/>
        <w:tabs>
          <w:tab w:leader="none" w:pos="1360" w:val="left"/>
        </w:tabs>
        <w:numPr>
          <w:ilvl w:val="0"/>
          <w:numId w:val="93"/>
        </w:numPr>
        <w:rPr>
          <w:rFonts w:ascii="Arial" w:cs="Arial" w:eastAsia="Arial" w:hAnsi="Arial"/>
          <w:sz w:val="12"/>
          <w:szCs w:val="12"/>
          <w:color w:val="auto"/>
        </w:rPr>
      </w:pPr>
      <w:r>
        <w:rPr>
          <w:rFonts w:ascii="Arial" w:cs="Arial" w:eastAsia="Arial" w:hAnsi="Arial"/>
          <w:sz w:val="12"/>
          <w:szCs w:val="12"/>
          <w:color w:val="auto"/>
        </w:rPr>
        <w:t>For Messrs. Martin and Bird and Mss. Sedgwick and Winn, amounts include the incremental cost to the company for security-related services, including the use of a car and security personnel, such as a security driver, for commuting and other transportation needs (in the amount of $53,438 for Ms. Winn, with the incremental cost calculated based on the hourly rate of drivers, plus estimates for fuel, vehicle maintenance and depreciation expense), physical and online security assessments conducted by an independent security consultant for each of Messrs. Martin and Bird and Mss. Sedgwick and Winn, which we periodically commission to support the company’s executive security programs (in the amount of $22,000 for each such executive, with the incremental cost calculated based on the amounts invoiced to the company for each assessment), enhanced residential security for Mr. Martin and Ms. Winn on a temporary basis in response to specific heightened security threats (in the amount of $79,864 for Mr. Martin and $84,800 for Ms. Winn, with the incremental cost calculated based on the amounts invoiced to the company for the hourly rates of security personnel), and personal use of the company’s aircraft service for Mr. Martin as encouraged by our Board of Directors for security, safety and health reasons (in the amount of $130,590, with the incremental cost calculated based on the amounts invoiced to the company for the applicable flights). The company considers costs for these security-related services to be business expenses rather than personal benefits because they mitigate risk to the company by supporting the security, health and safety of our top executives; however, disclosure regulations require certain security expenses to be reported as personal benefits. On rare occasions, family members and guests travel on non-commercial aircraft when the aircraft is already going to a specific destination for a business purpose. This use has a nominal incremental cost to the company and, if calculable, this nominal amount is included in the amounts shown in this column.</w:t>
      </w:r>
    </w:p>
    <w:p>
      <w:pPr>
        <w:spacing w:after="0" w:line="123" w:lineRule="exact"/>
        <w:rPr>
          <w:sz w:val="20"/>
          <w:szCs w:val="20"/>
          <w:color w:val="auto"/>
        </w:rPr>
      </w:pPr>
    </w:p>
    <w:p>
      <w:pPr>
        <w:ind w:left="1360" w:right="100" w:hanging="323"/>
        <w:spacing w:after="0" w:line="248" w:lineRule="auto"/>
        <w:tabs>
          <w:tab w:leader="none" w:pos="13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Amounts also include financial and estate planning services and an executive benefit program allowance of $40,000 for Mr. Martin and $30,000 for Mss. Sedgwick and Winn and Mr. Bird. Amounts do not include parking at company offices and the occasional personal use by executive officers of company property and services (including entertainment events which would not otherwise be used for the business purposes for which they were obtained) for which we incur no more than nominal incremental cost or for which we are reimbursed by the executive for the incremental cost of personal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90805</wp:posOffset>
            </wp:positionV>
            <wp:extent cx="69297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70               </w:t>
      </w:r>
      <w:r>
        <w:rPr>
          <w:sz w:val="1"/>
          <w:szCs w:val="1"/>
          <w:color w:val="auto"/>
        </w:rPr>
        <w:drawing>
          <wp:inline distT="0" distB="0" distL="0" distR="0">
            <wp:extent cx="739140" cy="144145"/>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52" w:lineRule="exact"/>
        <w:rPr>
          <w:sz w:val="20"/>
          <w:szCs w:val="20"/>
          <w:color w:val="auto"/>
        </w:rPr>
      </w:pPr>
    </w:p>
    <w:p>
      <w:pPr>
        <w:ind w:left="160" w:right="380"/>
        <w:spacing w:after="0" w:line="292" w:lineRule="auto"/>
        <w:rPr>
          <w:sz w:val="20"/>
          <w:szCs w:val="20"/>
          <w:color w:val="auto"/>
        </w:rPr>
      </w:pPr>
      <w:r>
        <w:rPr>
          <w:rFonts w:ascii="Arial" w:cs="Arial" w:eastAsia="Arial" w:hAnsi="Arial"/>
          <w:sz w:val="16"/>
          <w:szCs w:val="16"/>
          <w:b w:val="1"/>
          <w:bCs w:val="1"/>
          <w:color w:val="001689"/>
        </w:rPr>
        <w:t>SUMMARY OF TOTAL DIRECT COMPENSATION (BASE SALARY, STOCK AWARDS, OPTION AWARDS AND NON-EQUITY INCENTIVE PLAN COMPENSATION)</w:t>
      </w:r>
    </w:p>
    <w:p>
      <w:pPr>
        <w:spacing w:after="0" w:line="39"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The table below presents an alternative version of the 2025 Summary Compensation Table that excludes the change in actuarial value of pension benefits, nonqualified deferred compensation earnings and the amounts in the “All Other Compensation” column. The purpose of this table is to provide readers with a view of the elements of total direct compensation that are reviewed and determined annually by the Compensation and Talent Development Committee. This table is not a substitute for the 2025 Summary Compensation Table and related footnotes shown above.</w:t>
      </w:r>
    </w:p>
    <w:p>
      <w:pPr>
        <w:spacing w:after="0" w:line="213"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4040" w:type="dxa"/>
            <w:vAlign w:val="bottom"/>
            <w:shd w:val="clear" w:color="auto" w:fill="005CB9"/>
          </w:tcPr>
          <w:p>
            <w:pPr>
              <w:spacing w:after="0"/>
              <w:rPr>
                <w:sz w:val="18"/>
                <w:szCs w:val="18"/>
                <w:color w:val="auto"/>
              </w:rPr>
            </w:pPr>
          </w:p>
        </w:tc>
        <w:tc>
          <w:tcPr>
            <w:tcW w:w="560" w:type="dxa"/>
            <w:vAlign w:val="bottom"/>
            <w:shd w:val="clear" w:color="auto" w:fill="005CB9"/>
          </w:tcPr>
          <w:p>
            <w:pPr>
              <w:spacing w:after="0"/>
              <w:rPr>
                <w:sz w:val="18"/>
                <w:szCs w:val="18"/>
                <w:color w:val="auto"/>
              </w:rPr>
            </w:pPr>
          </w:p>
        </w:tc>
        <w:tc>
          <w:tcPr>
            <w:tcW w:w="300" w:type="dxa"/>
            <w:vAlign w:val="bottom"/>
            <w:shd w:val="clear" w:color="auto" w:fill="005CB9"/>
          </w:tcPr>
          <w:p>
            <w:pPr>
              <w:spacing w:after="0"/>
              <w:rPr>
                <w:sz w:val="18"/>
                <w:szCs w:val="18"/>
                <w:color w:val="auto"/>
              </w:rPr>
            </w:pPr>
          </w:p>
        </w:tc>
        <w:tc>
          <w:tcPr>
            <w:tcW w:w="860" w:type="dxa"/>
            <w:vAlign w:val="bottom"/>
            <w:shd w:val="clear" w:color="auto" w:fill="005CB9"/>
          </w:tcPr>
          <w:p>
            <w:pPr>
              <w:spacing w:after="0"/>
              <w:rPr>
                <w:sz w:val="18"/>
                <w:szCs w:val="18"/>
                <w:color w:val="auto"/>
              </w:rPr>
            </w:pPr>
          </w:p>
        </w:tc>
        <w:tc>
          <w:tcPr>
            <w:tcW w:w="300" w:type="dxa"/>
            <w:vAlign w:val="bottom"/>
            <w:shd w:val="clear" w:color="auto" w:fill="005CB9"/>
          </w:tcPr>
          <w:p>
            <w:pPr>
              <w:spacing w:after="0"/>
              <w:rPr>
                <w:sz w:val="18"/>
                <w:szCs w:val="18"/>
                <w:color w:val="auto"/>
              </w:rPr>
            </w:pPr>
          </w:p>
        </w:tc>
        <w:tc>
          <w:tcPr>
            <w:tcW w:w="840" w:type="dxa"/>
            <w:vAlign w:val="bottom"/>
            <w:shd w:val="clear" w:color="auto" w:fill="005CB9"/>
          </w:tcPr>
          <w:p>
            <w:pPr>
              <w:spacing w:after="0"/>
              <w:rPr>
                <w:sz w:val="18"/>
                <w:szCs w:val="18"/>
                <w:color w:val="auto"/>
              </w:rPr>
            </w:pPr>
          </w:p>
        </w:tc>
        <w:tc>
          <w:tcPr>
            <w:tcW w:w="300" w:type="dxa"/>
            <w:vAlign w:val="bottom"/>
            <w:shd w:val="clear" w:color="auto" w:fill="005CB9"/>
          </w:tcPr>
          <w:p>
            <w:pPr>
              <w:spacing w:after="0"/>
              <w:rPr>
                <w:sz w:val="18"/>
                <w:szCs w:val="18"/>
                <w:color w:val="auto"/>
              </w:rPr>
            </w:pPr>
          </w:p>
        </w:tc>
        <w:tc>
          <w:tcPr>
            <w:tcW w:w="860" w:type="dxa"/>
            <w:vAlign w:val="bottom"/>
            <w:shd w:val="clear" w:color="auto" w:fill="005CB9"/>
          </w:tcPr>
          <w:p>
            <w:pPr>
              <w:spacing w:after="0"/>
              <w:rPr>
                <w:sz w:val="18"/>
                <w:szCs w:val="18"/>
                <w:color w:val="auto"/>
              </w:rPr>
            </w:pPr>
          </w:p>
        </w:tc>
        <w:tc>
          <w:tcPr>
            <w:tcW w:w="14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Non-Equity</w:t>
            </w:r>
          </w:p>
        </w:tc>
        <w:tc>
          <w:tcPr>
            <w:tcW w:w="1420" w:type="dxa"/>
            <w:vAlign w:val="bottom"/>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40" w:type="dxa"/>
            <w:vAlign w:val="bottom"/>
            <w:shd w:val="clear" w:color="auto" w:fill="005CB9"/>
          </w:tcPr>
          <w:p>
            <w:pPr>
              <w:spacing w:after="0"/>
              <w:rPr>
                <w:sz w:val="13"/>
                <w:szCs w:val="13"/>
                <w:color w:val="auto"/>
              </w:rPr>
            </w:pPr>
          </w:p>
        </w:tc>
        <w:tc>
          <w:tcPr>
            <w:tcW w:w="56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40" w:type="dxa"/>
            <w:vAlign w:val="bottom"/>
            <w:shd w:val="clear" w:color="auto" w:fill="005CB9"/>
          </w:tcPr>
          <w:p>
            <w:pPr>
              <w:jc w:val="center"/>
              <w:ind w:right="229"/>
              <w:spacing w:after="0"/>
              <w:rPr>
                <w:sz w:val="20"/>
                <w:szCs w:val="20"/>
                <w:color w:val="auto"/>
              </w:rPr>
            </w:pPr>
            <w:r>
              <w:rPr>
                <w:rFonts w:ascii="Arial" w:cs="Arial" w:eastAsia="Arial" w:hAnsi="Arial"/>
                <w:sz w:val="14"/>
                <w:szCs w:val="14"/>
                <w:b w:val="1"/>
                <w:bCs w:val="1"/>
                <w:color w:val="FFFFFF"/>
                <w:w w:val="99"/>
              </w:rPr>
              <w:t>Stock</w:t>
            </w: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jc w:val="center"/>
              <w:ind w:right="209"/>
              <w:spacing w:after="0"/>
              <w:rPr>
                <w:sz w:val="20"/>
                <w:szCs w:val="20"/>
                <w:color w:val="auto"/>
              </w:rPr>
            </w:pPr>
            <w:r>
              <w:rPr>
                <w:rFonts w:ascii="Arial" w:cs="Arial" w:eastAsia="Arial" w:hAnsi="Arial"/>
                <w:sz w:val="14"/>
                <w:szCs w:val="14"/>
                <w:b w:val="1"/>
                <w:bCs w:val="1"/>
                <w:color w:val="FFFFFF"/>
              </w:rPr>
              <w:t>Option</w:t>
            </w:r>
          </w:p>
        </w:tc>
        <w:tc>
          <w:tcPr>
            <w:tcW w:w="14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420" w:type="dxa"/>
            <w:vAlign w:val="bottom"/>
            <w:shd w:val="clear" w:color="auto" w:fill="005CB9"/>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40" w:type="dxa"/>
            <w:vAlign w:val="bottom"/>
            <w:shd w:val="clear" w:color="auto" w:fill="005CB9"/>
          </w:tcPr>
          <w:p>
            <w:pPr>
              <w:spacing w:after="0"/>
              <w:rPr>
                <w:sz w:val="14"/>
                <w:szCs w:val="14"/>
                <w:color w:val="auto"/>
              </w:rPr>
            </w:pPr>
          </w:p>
        </w:tc>
        <w:tc>
          <w:tcPr>
            <w:tcW w:w="560" w:type="dxa"/>
            <w:vAlign w:val="bottom"/>
            <w:shd w:val="clear" w:color="auto" w:fill="005CB9"/>
          </w:tcPr>
          <w:p>
            <w:pPr>
              <w:spacing w:after="0"/>
              <w:rPr>
                <w:sz w:val="14"/>
                <w:szCs w:val="14"/>
                <w:color w:val="auto"/>
              </w:rPr>
            </w:pPr>
          </w:p>
        </w:tc>
        <w:tc>
          <w:tcPr>
            <w:tcW w:w="3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300" w:type="dxa"/>
            <w:vAlign w:val="bottom"/>
            <w:shd w:val="clear" w:color="auto" w:fill="005CB9"/>
          </w:tcPr>
          <w:p>
            <w:pPr>
              <w:spacing w:after="0"/>
              <w:rPr>
                <w:sz w:val="14"/>
                <w:szCs w:val="14"/>
                <w:color w:val="auto"/>
              </w:rPr>
            </w:pPr>
          </w:p>
        </w:tc>
        <w:tc>
          <w:tcPr>
            <w:tcW w:w="840" w:type="dxa"/>
            <w:vAlign w:val="bottom"/>
            <w:shd w:val="clear" w:color="auto" w:fill="005CB9"/>
          </w:tcPr>
          <w:p>
            <w:pPr>
              <w:jc w:val="center"/>
              <w:ind w:right="229"/>
              <w:spacing w:after="0"/>
              <w:rPr>
                <w:sz w:val="20"/>
                <w:szCs w:val="20"/>
                <w:color w:val="auto"/>
              </w:rPr>
            </w:pPr>
            <w:r>
              <w:rPr>
                <w:rFonts w:ascii="Arial" w:cs="Arial" w:eastAsia="Arial" w:hAnsi="Arial"/>
                <w:sz w:val="14"/>
                <w:szCs w:val="14"/>
                <w:b w:val="1"/>
                <w:bCs w:val="1"/>
                <w:color w:val="FFFFFF"/>
                <w:w w:val="98"/>
              </w:rPr>
              <w:t>Awards</w:t>
            </w:r>
          </w:p>
        </w:tc>
        <w:tc>
          <w:tcPr>
            <w:tcW w:w="300" w:type="dxa"/>
            <w:vAlign w:val="bottom"/>
            <w:shd w:val="clear" w:color="auto" w:fill="005CB9"/>
          </w:tcPr>
          <w:p>
            <w:pPr>
              <w:spacing w:after="0"/>
              <w:rPr>
                <w:sz w:val="14"/>
                <w:szCs w:val="14"/>
                <w:color w:val="auto"/>
              </w:rPr>
            </w:pPr>
          </w:p>
        </w:tc>
        <w:tc>
          <w:tcPr>
            <w:tcW w:w="860" w:type="dxa"/>
            <w:vAlign w:val="bottom"/>
            <w:shd w:val="clear" w:color="auto" w:fill="005CB9"/>
          </w:tcPr>
          <w:p>
            <w:pPr>
              <w:jc w:val="center"/>
              <w:ind w:right="229"/>
              <w:spacing w:after="0"/>
              <w:rPr>
                <w:sz w:val="20"/>
                <w:szCs w:val="20"/>
                <w:color w:val="auto"/>
              </w:rPr>
            </w:pPr>
            <w:r>
              <w:rPr>
                <w:rFonts w:ascii="Arial" w:cs="Arial" w:eastAsia="Arial" w:hAnsi="Arial"/>
                <w:sz w:val="14"/>
                <w:szCs w:val="14"/>
                <w:b w:val="1"/>
                <w:bCs w:val="1"/>
                <w:color w:val="FFFFFF"/>
              </w:rPr>
              <w:t>Awards</w:t>
            </w:r>
          </w:p>
        </w:tc>
        <w:tc>
          <w:tcPr>
            <w:tcW w:w="14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Compensation</w:t>
            </w:r>
          </w:p>
        </w:tc>
        <w:tc>
          <w:tcPr>
            <w:tcW w:w="142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005CB9"/>
          </w:tcPr>
          <w:p>
            <w:pPr>
              <w:spacing w:after="0"/>
              <w:rPr>
                <w:sz w:val="18"/>
                <w:szCs w:val="18"/>
                <w:color w:val="auto"/>
              </w:rPr>
            </w:pPr>
          </w:p>
        </w:tc>
        <w:tc>
          <w:tcPr>
            <w:tcW w:w="560" w:type="dxa"/>
            <w:vAlign w:val="bottom"/>
            <w:shd w:val="clear" w:color="auto" w:fill="005CB9"/>
          </w:tcPr>
          <w:p>
            <w:pPr>
              <w:spacing w:after="0"/>
              <w:rPr>
                <w:sz w:val="18"/>
                <w:szCs w:val="18"/>
                <w:color w:val="auto"/>
              </w:rPr>
            </w:pPr>
          </w:p>
        </w:tc>
        <w:tc>
          <w:tcPr>
            <w:tcW w:w="300" w:type="dxa"/>
            <w:vAlign w:val="bottom"/>
            <w:shd w:val="clear" w:color="auto" w:fill="005CB9"/>
          </w:tcPr>
          <w:p>
            <w:pPr>
              <w:spacing w:after="0"/>
              <w:rPr>
                <w:sz w:val="18"/>
                <w:szCs w:val="18"/>
                <w:color w:val="auto"/>
              </w:rPr>
            </w:pPr>
          </w:p>
        </w:tc>
        <w:tc>
          <w:tcPr>
            <w:tcW w:w="860" w:type="dxa"/>
            <w:vAlign w:val="bottom"/>
            <w:shd w:val="clear" w:color="auto" w:fill="005CB9"/>
          </w:tcPr>
          <w:p>
            <w:pPr>
              <w:spacing w:after="0"/>
              <w:rPr>
                <w:sz w:val="18"/>
                <w:szCs w:val="18"/>
                <w:color w:val="auto"/>
              </w:rPr>
            </w:pPr>
          </w:p>
        </w:tc>
        <w:tc>
          <w:tcPr>
            <w:tcW w:w="1140" w:type="dxa"/>
            <w:vAlign w:val="bottom"/>
            <w:gridSpan w:val="2"/>
            <w:shd w:val="clear" w:color="auto" w:fill="005CB9"/>
          </w:tcPr>
          <w:p>
            <w:pPr>
              <w:ind w:left="220"/>
              <w:spacing w:after="0"/>
              <w:rPr>
                <w:sz w:val="20"/>
                <w:szCs w:val="20"/>
                <w:color w:val="auto"/>
              </w:rPr>
            </w:pPr>
            <w:r>
              <w:rPr>
                <w:rFonts w:ascii="Arial" w:cs="Arial" w:eastAsia="Arial" w:hAnsi="Arial"/>
                <w:sz w:val="14"/>
                <w:szCs w:val="14"/>
                <w:b w:val="1"/>
                <w:bCs w:val="1"/>
                <w:color w:val="FFFFFF"/>
              </w:rPr>
              <w:t>Restricted</w:t>
            </w:r>
          </w:p>
        </w:tc>
        <w:tc>
          <w:tcPr>
            <w:tcW w:w="300" w:type="dxa"/>
            <w:vAlign w:val="bottom"/>
            <w:shd w:val="clear" w:color="auto" w:fill="005CB9"/>
          </w:tcPr>
          <w:p>
            <w:pPr>
              <w:spacing w:after="0"/>
              <w:rPr>
                <w:sz w:val="18"/>
                <w:szCs w:val="18"/>
                <w:color w:val="auto"/>
              </w:rPr>
            </w:pPr>
          </w:p>
        </w:tc>
        <w:tc>
          <w:tcPr>
            <w:tcW w:w="860" w:type="dxa"/>
            <w:vAlign w:val="bottom"/>
            <w:shd w:val="clear" w:color="auto" w:fill="005CB9"/>
          </w:tcPr>
          <w:p>
            <w:pPr>
              <w:spacing w:after="0"/>
              <w:rPr>
                <w:sz w:val="18"/>
                <w:szCs w:val="18"/>
                <w:color w:val="auto"/>
              </w:rPr>
            </w:pPr>
          </w:p>
        </w:tc>
        <w:tc>
          <w:tcPr>
            <w:tcW w:w="14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Performance-</w:t>
            </w:r>
          </w:p>
        </w:tc>
        <w:tc>
          <w:tcPr>
            <w:tcW w:w="1420" w:type="dxa"/>
            <w:vAlign w:val="bottom"/>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40" w:type="dxa"/>
            <w:vAlign w:val="bottom"/>
            <w:shd w:val="clear" w:color="auto" w:fill="005CB9"/>
          </w:tcPr>
          <w:p>
            <w:pPr>
              <w:spacing w:after="0"/>
              <w:rPr>
                <w:sz w:val="13"/>
                <w:szCs w:val="13"/>
                <w:color w:val="auto"/>
              </w:rPr>
            </w:pPr>
          </w:p>
        </w:tc>
        <w:tc>
          <w:tcPr>
            <w:tcW w:w="56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840" w:type="dxa"/>
            <w:vAlign w:val="bottom"/>
            <w:shd w:val="clear" w:color="auto" w:fill="005CB9"/>
          </w:tcPr>
          <w:p>
            <w:pPr>
              <w:jc w:val="center"/>
              <w:ind w:right="229"/>
              <w:spacing w:after="0"/>
              <w:rPr>
                <w:sz w:val="20"/>
                <w:szCs w:val="20"/>
                <w:color w:val="auto"/>
              </w:rPr>
            </w:pPr>
            <w:r>
              <w:rPr>
                <w:rFonts w:ascii="Arial" w:cs="Arial" w:eastAsia="Arial" w:hAnsi="Arial"/>
                <w:sz w:val="14"/>
                <w:szCs w:val="14"/>
                <w:b w:val="1"/>
                <w:bCs w:val="1"/>
                <w:color w:val="FFFFFF"/>
                <w:w w:val="99"/>
              </w:rPr>
              <w:t>Stock</w:t>
            </w:r>
          </w:p>
        </w:tc>
        <w:tc>
          <w:tcPr>
            <w:tcW w:w="300" w:type="dxa"/>
            <w:vAlign w:val="bottom"/>
            <w:shd w:val="clear" w:color="auto" w:fill="005CB9"/>
          </w:tcPr>
          <w:p>
            <w:pPr>
              <w:spacing w:after="0"/>
              <w:rPr>
                <w:sz w:val="13"/>
                <w:szCs w:val="13"/>
                <w:color w:val="auto"/>
              </w:rPr>
            </w:pPr>
          </w:p>
        </w:tc>
        <w:tc>
          <w:tcPr>
            <w:tcW w:w="860" w:type="dxa"/>
            <w:vAlign w:val="bottom"/>
            <w:shd w:val="clear" w:color="auto" w:fill="005CB9"/>
          </w:tcPr>
          <w:p>
            <w:pPr>
              <w:jc w:val="center"/>
              <w:ind w:right="229"/>
              <w:spacing w:after="0"/>
              <w:rPr>
                <w:sz w:val="20"/>
                <w:szCs w:val="20"/>
                <w:color w:val="auto"/>
              </w:rPr>
            </w:pPr>
            <w:r>
              <w:rPr>
                <w:rFonts w:ascii="Arial" w:cs="Arial" w:eastAsia="Arial" w:hAnsi="Arial"/>
                <w:sz w:val="14"/>
                <w:szCs w:val="14"/>
                <w:b w:val="1"/>
                <w:bCs w:val="1"/>
                <w:color w:val="FFFFFF"/>
              </w:rPr>
              <w:t>Stock</w:t>
            </w:r>
          </w:p>
        </w:tc>
        <w:tc>
          <w:tcPr>
            <w:tcW w:w="1440" w:type="dxa"/>
            <w:vAlign w:val="bottom"/>
            <w:shd w:val="clear" w:color="auto" w:fill="005CB9"/>
          </w:tcPr>
          <w:p>
            <w:pPr>
              <w:jc w:val="center"/>
              <w:spacing w:after="0"/>
              <w:rPr>
                <w:sz w:val="20"/>
                <w:szCs w:val="20"/>
                <w:color w:val="auto"/>
              </w:rPr>
            </w:pPr>
            <w:r>
              <w:rPr>
                <w:rFonts w:ascii="Arial" w:cs="Arial" w:eastAsia="Arial" w:hAnsi="Arial"/>
                <w:sz w:val="14"/>
                <w:szCs w:val="14"/>
                <w:b w:val="1"/>
                <w:bCs w:val="1"/>
                <w:color w:val="FFFFFF"/>
              </w:rPr>
              <w:t>Based Annual</w:t>
            </w:r>
          </w:p>
        </w:tc>
        <w:tc>
          <w:tcPr>
            <w:tcW w:w="1420" w:type="dxa"/>
            <w:vAlign w:val="bottom"/>
            <w:shd w:val="clear" w:color="auto" w:fill="005CB9"/>
          </w:tcPr>
          <w:p>
            <w:pPr>
              <w:jc w:val="right"/>
              <w:ind w:right="249"/>
              <w:spacing w:after="0"/>
              <w:rPr>
                <w:sz w:val="20"/>
                <w:szCs w:val="20"/>
                <w:color w:val="auto"/>
              </w:rPr>
            </w:pPr>
            <w:r>
              <w:rPr>
                <w:rFonts w:ascii="Arial" w:cs="Arial" w:eastAsia="Arial" w:hAnsi="Arial"/>
                <w:sz w:val="14"/>
                <w:szCs w:val="14"/>
                <w:b w:val="1"/>
                <w:bCs w:val="1"/>
                <w:color w:val="FFFFFF"/>
              </w:rPr>
              <w:t>Total Direct</w:t>
            </w:r>
          </w:p>
        </w:tc>
        <w:tc>
          <w:tcPr>
            <w:tcW w:w="0" w:type="dxa"/>
            <w:vAlign w:val="bottom"/>
          </w:tcPr>
          <w:p>
            <w:pPr>
              <w:spacing w:after="0"/>
              <w:rPr>
                <w:sz w:val="1"/>
                <w:szCs w:val="1"/>
                <w:color w:val="auto"/>
              </w:rPr>
            </w:pPr>
          </w:p>
        </w:tc>
      </w:tr>
      <w:tr>
        <w:trPr>
          <w:trHeight w:val="217"/>
        </w:trPr>
        <w:tc>
          <w:tcPr>
            <w:tcW w:w="4040" w:type="dxa"/>
            <w:vAlign w:val="bottom"/>
            <w:tcBorders>
              <w:bottom w:val="single" w:sz="8" w:color="005CB9"/>
            </w:tcBorders>
            <w:shd w:val="clear" w:color="auto" w:fill="005CB9"/>
          </w:tcPr>
          <w:p>
            <w:pPr>
              <w:spacing w:after="0"/>
              <w:rPr>
                <w:sz w:val="18"/>
                <w:szCs w:val="18"/>
                <w:color w:val="auto"/>
              </w:rPr>
            </w:pPr>
          </w:p>
        </w:tc>
        <w:tc>
          <w:tcPr>
            <w:tcW w:w="560" w:type="dxa"/>
            <w:vAlign w:val="bottom"/>
            <w:tcBorders>
              <w:bottom w:val="single" w:sz="8" w:color="005CB9"/>
            </w:tcBorders>
            <w:shd w:val="clear" w:color="auto" w:fill="005CB9"/>
          </w:tcPr>
          <w:p>
            <w:pPr>
              <w:ind w:left="120"/>
              <w:spacing w:after="0"/>
              <w:rPr>
                <w:sz w:val="20"/>
                <w:szCs w:val="20"/>
                <w:color w:val="auto"/>
              </w:rPr>
            </w:pPr>
            <w:r>
              <w:rPr>
                <w:rFonts w:ascii="Arial" w:cs="Arial" w:eastAsia="Arial" w:hAnsi="Arial"/>
                <w:sz w:val="14"/>
                <w:szCs w:val="14"/>
                <w:b w:val="1"/>
                <w:bCs w:val="1"/>
                <w:color w:val="FFFFFF"/>
              </w:rPr>
              <w:t>Year</w:t>
            </w:r>
          </w:p>
        </w:tc>
        <w:tc>
          <w:tcPr>
            <w:tcW w:w="300" w:type="dxa"/>
            <w:vAlign w:val="bottom"/>
            <w:tcBorders>
              <w:bottom w:val="single" w:sz="8" w:color="005CB9"/>
            </w:tcBorders>
            <w:shd w:val="clear" w:color="auto" w:fill="005CB9"/>
          </w:tcPr>
          <w:p>
            <w:pPr>
              <w:spacing w:after="0"/>
              <w:rPr>
                <w:sz w:val="18"/>
                <w:szCs w:val="18"/>
                <w:color w:val="auto"/>
              </w:rPr>
            </w:pPr>
          </w:p>
        </w:tc>
        <w:tc>
          <w:tcPr>
            <w:tcW w:w="860" w:type="dxa"/>
            <w:vAlign w:val="bottom"/>
            <w:tcBorders>
              <w:bottom w:val="single" w:sz="8" w:color="005CB9"/>
            </w:tcBorders>
            <w:shd w:val="clear" w:color="auto" w:fill="005CB9"/>
          </w:tcPr>
          <w:p>
            <w:pPr>
              <w:jc w:val="right"/>
              <w:ind w:right="289"/>
              <w:spacing w:after="0"/>
              <w:rPr>
                <w:sz w:val="20"/>
                <w:szCs w:val="20"/>
                <w:color w:val="auto"/>
              </w:rPr>
            </w:pPr>
            <w:r>
              <w:rPr>
                <w:rFonts w:ascii="Arial" w:cs="Arial" w:eastAsia="Arial" w:hAnsi="Arial"/>
                <w:sz w:val="14"/>
                <w:szCs w:val="14"/>
                <w:b w:val="1"/>
                <w:bCs w:val="1"/>
                <w:color w:val="FFFFFF"/>
              </w:rPr>
              <w:t>Salary</w:t>
            </w:r>
          </w:p>
        </w:tc>
        <w:tc>
          <w:tcPr>
            <w:tcW w:w="300" w:type="dxa"/>
            <w:vAlign w:val="bottom"/>
            <w:tcBorders>
              <w:bottom w:val="single" w:sz="8" w:color="005CB9"/>
            </w:tcBorders>
            <w:shd w:val="clear" w:color="auto" w:fill="005CB9"/>
          </w:tcPr>
          <w:p>
            <w:pPr>
              <w:spacing w:after="0"/>
              <w:rPr>
                <w:sz w:val="18"/>
                <w:szCs w:val="18"/>
                <w:color w:val="auto"/>
              </w:rPr>
            </w:pPr>
          </w:p>
        </w:tc>
        <w:tc>
          <w:tcPr>
            <w:tcW w:w="840" w:type="dxa"/>
            <w:vAlign w:val="bottom"/>
            <w:tcBorders>
              <w:bottom w:val="single" w:sz="8" w:color="005CB9"/>
            </w:tcBorders>
            <w:shd w:val="clear" w:color="auto" w:fill="005CB9"/>
          </w:tcPr>
          <w:p>
            <w:pPr>
              <w:jc w:val="center"/>
              <w:ind w:right="209"/>
              <w:spacing w:after="0"/>
              <w:rPr>
                <w:sz w:val="20"/>
                <w:szCs w:val="20"/>
                <w:color w:val="auto"/>
              </w:rPr>
            </w:pPr>
            <w:r>
              <w:rPr>
                <w:rFonts w:ascii="Arial" w:cs="Arial" w:eastAsia="Arial" w:hAnsi="Arial"/>
                <w:sz w:val="14"/>
                <w:szCs w:val="14"/>
                <w:b w:val="1"/>
                <w:bCs w:val="1"/>
                <w:color w:val="FFFFFF"/>
              </w:rPr>
              <w:t>Units</w:t>
            </w:r>
          </w:p>
        </w:tc>
        <w:tc>
          <w:tcPr>
            <w:tcW w:w="300" w:type="dxa"/>
            <w:vAlign w:val="bottom"/>
            <w:tcBorders>
              <w:bottom w:val="single" w:sz="8" w:color="005CB9"/>
            </w:tcBorders>
            <w:shd w:val="clear" w:color="auto" w:fill="005CB9"/>
          </w:tcPr>
          <w:p>
            <w:pPr>
              <w:spacing w:after="0"/>
              <w:rPr>
                <w:sz w:val="18"/>
                <w:szCs w:val="18"/>
                <w:color w:val="auto"/>
              </w:rPr>
            </w:pPr>
          </w:p>
        </w:tc>
        <w:tc>
          <w:tcPr>
            <w:tcW w:w="860" w:type="dxa"/>
            <w:vAlign w:val="bottom"/>
            <w:tcBorders>
              <w:bottom w:val="single" w:sz="8" w:color="005CB9"/>
            </w:tcBorders>
            <w:shd w:val="clear" w:color="auto" w:fill="005CB9"/>
          </w:tcPr>
          <w:p>
            <w:pPr>
              <w:jc w:val="center"/>
              <w:ind w:right="209"/>
              <w:spacing w:after="0"/>
              <w:rPr>
                <w:sz w:val="20"/>
                <w:szCs w:val="20"/>
                <w:color w:val="auto"/>
              </w:rPr>
            </w:pPr>
            <w:r>
              <w:rPr>
                <w:rFonts w:ascii="Arial" w:cs="Arial" w:eastAsia="Arial" w:hAnsi="Arial"/>
                <w:sz w:val="14"/>
                <w:szCs w:val="14"/>
                <w:b w:val="1"/>
                <w:bCs w:val="1"/>
                <w:color w:val="FFFFFF"/>
              </w:rPr>
              <w:t>Options</w:t>
            </w:r>
          </w:p>
        </w:tc>
        <w:tc>
          <w:tcPr>
            <w:tcW w:w="144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Cash Bonus</w:t>
            </w:r>
          </w:p>
        </w:tc>
        <w:tc>
          <w:tcPr>
            <w:tcW w:w="1420" w:type="dxa"/>
            <w:vAlign w:val="bottom"/>
            <w:tcBorders>
              <w:bottom w:val="single" w:sz="8" w:color="005CB9"/>
            </w:tcBorders>
            <w:shd w:val="clear" w:color="auto" w:fill="005CB9"/>
          </w:tcPr>
          <w:p>
            <w:pPr>
              <w:jc w:val="right"/>
              <w:ind w:right="149"/>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218"/>
        </w:trPr>
        <w:tc>
          <w:tcPr>
            <w:tcW w:w="4040" w:type="dxa"/>
            <w:vAlign w:val="bottom"/>
          </w:tcPr>
          <w:p>
            <w:pPr>
              <w:ind w:left="80"/>
              <w:spacing w:after="0"/>
              <w:rPr>
                <w:sz w:val="20"/>
                <w:szCs w:val="20"/>
                <w:color w:val="auto"/>
              </w:rPr>
            </w:pPr>
            <w:r>
              <w:rPr>
                <w:rFonts w:ascii="Arial" w:cs="Arial" w:eastAsia="Arial" w:hAnsi="Arial"/>
                <w:sz w:val="14"/>
                <w:szCs w:val="14"/>
                <w:b w:val="1"/>
                <w:bCs w:val="1"/>
                <w:color w:val="auto"/>
              </w:rPr>
              <w:t>Jeffrey W. Martin</w:t>
            </w:r>
          </w:p>
        </w:tc>
        <w:tc>
          <w:tcPr>
            <w:tcW w:w="560" w:type="dxa"/>
            <w:vAlign w:val="bottom"/>
          </w:tcPr>
          <w:p>
            <w:pPr>
              <w:ind w:left="140"/>
              <w:spacing w:after="0"/>
              <w:rPr>
                <w:sz w:val="20"/>
                <w:szCs w:val="20"/>
                <w:color w:val="auto"/>
              </w:rPr>
            </w:pPr>
            <w:r>
              <w:rPr>
                <w:rFonts w:ascii="Arial" w:cs="Arial" w:eastAsia="Arial" w:hAnsi="Arial"/>
                <w:sz w:val="14"/>
                <w:szCs w:val="14"/>
                <w:color w:val="auto"/>
              </w:rPr>
              <w:t>2025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w w:val="99"/>
              </w:rPr>
              <w:t>1,700,000</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w w:val="99"/>
              </w:rPr>
              <w:t>9,873,916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w w:val="99"/>
              </w:rPr>
              <w:t>4,580,017</w:t>
            </w:r>
          </w:p>
        </w:tc>
        <w:tc>
          <w:tcPr>
            <w:tcW w:w="1440" w:type="dxa"/>
            <w:vAlign w:val="bottom"/>
          </w:tcPr>
          <w:p>
            <w:pPr>
              <w:jc w:val="right"/>
              <w:ind w:right="149"/>
              <w:spacing w:after="0"/>
              <w:rPr>
                <w:sz w:val="20"/>
                <w:szCs w:val="20"/>
                <w:color w:val="auto"/>
              </w:rPr>
            </w:pPr>
            <w:r>
              <w:rPr>
                <w:rFonts w:ascii="Arial" w:cs="Arial" w:eastAsia="Arial" w:hAnsi="Arial"/>
                <w:sz w:val="14"/>
                <w:szCs w:val="14"/>
                <w:color w:val="auto"/>
              </w:rPr>
              <w:t>$5,287,400</w:t>
            </w:r>
          </w:p>
        </w:tc>
        <w:tc>
          <w:tcPr>
            <w:tcW w:w="1420" w:type="dxa"/>
            <w:vAlign w:val="bottom"/>
          </w:tcPr>
          <w:p>
            <w:pPr>
              <w:jc w:val="right"/>
              <w:ind w:right="149"/>
              <w:spacing w:after="0"/>
              <w:rPr>
                <w:sz w:val="20"/>
                <w:szCs w:val="20"/>
                <w:color w:val="auto"/>
              </w:rPr>
            </w:pPr>
            <w:r>
              <w:rPr>
                <w:rFonts w:ascii="Arial" w:cs="Arial" w:eastAsia="Arial" w:hAnsi="Arial"/>
                <w:sz w:val="14"/>
                <w:szCs w:val="14"/>
                <w:color w:val="auto"/>
              </w:rPr>
              <w:t>$21,441,333</w:t>
            </w:r>
          </w:p>
        </w:tc>
        <w:tc>
          <w:tcPr>
            <w:tcW w:w="0" w:type="dxa"/>
            <w:vAlign w:val="bottom"/>
          </w:tcPr>
          <w:p>
            <w:pPr>
              <w:spacing w:after="0"/>
              <w:rPr>
                <w:sz w:val="1"/>
                <w:szCs w:val="1"/>
                <w:color w:val="auto"/>
              </w:rPr>
            </w:pPr>
          </w:p>
        </w:tc>
      </w:tr>
      <w:tr>
        <w:trPr>
          <w:trHeight w:val="76"/>
        </w:trPr>
        <w:tc>
          <w:tcPr>
            <w:tcW w:w="4040" w:type="dxa"/>
            <w:vAlign w:val="bottom"/>
            <w:vMerge w:val="restart"/>
          </w:tcPr>
          <w:p>
            <w:pPr>
              <w:ind w:left="80"/>
              <w:spacing w:after="0"/>
              <w:rPr>
                <w:sz w:val="20"/>
                <w:szCs w:val="20"/>
                <w:color w:val="auto"/>
              </w:rPr>
            </w:pPr>
            <w:r>
              <w:rPr>
                <w:rFonts w:ascii="Arial" w:cs="Arial" w:eastAsia="Arial" w:hAnsi="Arial"/>
                <w:sz w:val="14"/>
                <w:szCs w:val="14"/>
                <w:color w:val="auto"/>
              </w:rPr>
              <w:t>Chairman, Chief Executive Officer</w:t>
            </w:r>
          </w:p>
        </w:tc>
        <w:tc>
          <w:tcPr>
            <w:tcW w:w="5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4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1440" w:type="dxa"/>
            <w:vAlign w:val="bottom"/>
            <w:tcBorders>
              <w:bottom w:val="single" w:sz="8" w:color="7F7F7F"/>
            </w:tcBorders>
          </w:tcPr>
          <w:p>
            <w:pPr>
              <w:spacing w:after="0"/>
              <w:rPr>
                <w:sz w:val="6"/>
                <w:szCs w:val="6"/>
                <w:color w:val="auto"/>
              </w:rPr>
            </w:pPr>
          </w:p>
        </w:tc>
        <w:tc>
          <w:tcPr>
            <w:tcW w:w="142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40" w:type="dxa"/>
            <w:vAlign w:val="bottom"/>
            <w:vMerge w:val="continue"/>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86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840" w:type="dxa"/>
            <w:vAlign w:val="bottom"/>
            <w:shd w:val="clear" w:color="auto" w:fill="F2F2F2"/>
          </w:tcPr>
          <w:p>
            <w:pPr>
              <w:spacing w:after="0"/>
              <w:rPr>
                <w:sz w:val="5"/>
                <w:szCs w:val="5"/>
                <w:color w:val="auto"/>
              </w:rPr>
            </w:pPr>
          </w:p>
        </w:tc>
        <w:tc>
          <w:tcPr>
            <w:tcW w:w="300" w:type="dxa"/>
            <w:vAlign w:val="bottom"/>
            <w:shd w:val="clear" w:color="auto" w:fill="F2F2F2"/>
          </w:tcPr>
          <w:p>
            <w:pPr>
              <w:spacing w:after="0"/>
              <w:rPr>
                <w:sz w:val="5"/>
                <w:szCs w:val="5"/>
                <w:color w:val="auto"/>
              </w:rPr>
            </w:pPr>
          </w:p>
        </w:tc>
        <w:tc>
          <w:tcPr>
            <w:tcW w:w="860" w:type="dxa"/>
            <w:vAlign w:val="bottom"/>
            <w:shd w:val="clear" w:color="auto" w:fill="F2F2F2"/>
          </w:tcPr>
          <w:p>
            <w:pPr>
              <w:spacing w:after="0"/>
              <w:rPr>
                <w:sz w:val="5"/>
                <w:szCs w:val="5"/>
                <w:color w:val="auto"/>
              </w:rPr>
            </w:pPr>
          </w:p>
        </w:tc>
        <w:tc>
          <w:tcPr>
            <w:tcW w:w="1440" w:type="dxa"/>
            <w:vAlign w:val="bottom"/>
            <w:shd w:val="clear" w:color="auto" w:fill="F2F2F2"/>
          </w:tcPr>
          <w:p>
            <w:pPr>
              <w:spacing w:after="0"/>
              <w:rPr>
                <w:sz w:val="5"/>
                <w:szCs w:val="5"/>
                <w:color w:val="auto"/>
              </w:rPr>
            </w:pPr>
          </w:p>
        </w:tc>
        <w:tc>
          <w:tcPr>
            <w:tcW w:w="142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80"/>
              <w:spacing w:after="0"/>
              <w:rPr>
                <w:sz w:val="20"/>
                <w:szCs w:val="20"/>
                <w:color w:val="auto"/>
              </w:rPr>
            </w:pPr>
            <w:r>
              <w:rPr>
                <w:rFonts w:ascii="Arial" w:cs="Arial" w:eastAsia="Arial" w:hAnsi="Arial"/>
                <w:sz w:val="14"/>
                <w:szCs w:val="14"/>
                <w:color w:val="auto"/>
              </w:rPr>
              <w:t>and President</w:t>
            </w: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2024</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w w:val="99"/>
              </w:rPr>
              <w:t>1,600,000</w:t>
            </w:r>
          </w:p>
        </w:tc>
        <w:tc>
          <w:tcPr>
            <w:tcW w:w="300" w:type="dxa"/>
            <w:vAlign w:val="bottom"/>
            <w:shd w:val="clear" w:color="auto" w:fill="F2F2F2"/>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2F2F2"/>
          </w:tcPr>
          <w:p>
            <w:pPr>
              <w:jc w:val="right"/>
              <w:ind w:right="129"/>
              <w:spacing w:after="0"/>
              <w:rPr>
                <w:sz w:val="20"/>
                <w:szCs w:val="20"/>
                <w:color w:val="auto"/>
              </w:rPr>
            </w:pPr>
            <w:r>
              <w:rPr>
                <w:rFonts w:ascii="Arial" w:cs="Arial" w:eastAsia="Arial" w:hAnsi="Arial"/>
                <w:sz w:val="14"/>
                <w:szCs w:val="14"/>
                <w:color w:val="auto"/>
                <w:w w:val="99"/>
              </w:rPr>
              <w:t>9,262,310</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w w:val="99"/>
              </w:rPr>
              <w:t>4,241,667</w:t>
            </w:r>
          </w:p>
        </w:tc>
        <w:tc>
          <w:tcPr>
            <w:tcW w:w="144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$4,002,100</w:t>
            </w:r>
          </w:p>
        </w:tc>
        <w:tc>
          <w:tcPr>
            <w:tcW w:w="142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$19,106,077</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5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4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1440" w:type="dxa"/>
            <w:vAlign w:val="bottom"/>
            <w:tcBorders>
              <w:bottom w:val="single" w:sz="8" w:color="7F7F7F"/>
            </w:tcBorders>
            <w:shd w:val="clear" w:color="auto" w:fill="F2F2F2"/>
          </w:tcPr>
          <w:p>
            <w:pPr>
              <w:spacing w:after="0"/>
              <w:rPr>
                <w:sz w:val="6"/>
                <w:szCs w:val="6"/>
                <w:color w:val="auto"/>
              </w:rPr>
            </w:pPr>
          </w:p>
        </w:tc>
        <w:tc>
          <w:tcPr>
            <w:tcW w:w="1420" w:type="dxa"/>
            <w:vAlign w:val="bottom"/>
            <w:tcBorders>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040" w:type="dxa"/>
            <w:vAlign w:val="bottom"/>
          </w:tcPr>
          <w:p>
            <w:pPr>
              <w:spacing w:after="0"/>
              <w:rPr>
                <w:sz w:val="22"/>
                <w:szCs w:val="22"/>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rPr>
              <w:t>2023</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w w:val="99"/>
              </w:rPr>
              <w:t>1,500,000</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w w:val="99"/>
              </w:rPr>
              <w:t>8,252,705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w w:val="99"/>
              </w:rPr>
              <w:t>3,833,364</w:t>
            </w:r>
          </w:p>
        </w:tc>
        <w:tc>
          <w:tcPr>
            <w:tcW w:w="1440" w:type="dxa"/>
            <w:vAlign w:val="bottom"/>
          </w:tcPr>
          <w:p>
            <w:pPr>
              <w:jc w:val="right"/>
              <w:ind w:right="149"/>
              <w:spacing w:after="0"/>
              <w:rPr>
                <w:sz w:val="20"/>
                <w:szCs w:val="20"/>
                <w:color w:val="auto"/>
              </w:rPr>
            </w:pPr>
            <w:r>
              <w:rPr>
                <w:rFonts w:ascii="Arial" w:cs="Arial" w:eastAsia="Arial" w:hAnsi="Arial"/>
                <w:sz w:val="14"/>
                <w:szCs w:val="14"/>
                <w:color w:val="auto"/>
              </w:rPr>
              <w:t>$4,631,300</w:t>
            </w:r>
          </w:p>
        </w:tc>
        <w:tc>
          <w:tcPr>
            <w:tcW w:w="1420" w:type="dxa"/>
            <w:vAlign w:val="bottom"/>
          </w:tcPr>
          <w:p>
            <w:pPr>
              <w:jc w:val="right"/>
              <w:ind w:right="149"/>
              <w:spacing w:after="0"/>
              <w:rPr>
                <w:sz w:val="20"/>
                <w:szCs w:val="20"/>
                <w:color w:val="auto"/>
              </w:rPr>
            </w:pPr>
            <w:r>
              <w:rPr>
                <w:rFonts w:ascii="Arial" w:cs="Arial" w:eastAsia="Arial" w:hAnsi="Arial"/>
                <w:sz w:val="14"/>
                <w:szCs w:val="14"/>
                <w:color w:val="auto"/>
              </w:rPr>
              <w:t>$18,217,369</w:t>
            </w:r>
          </w:p>
        </w:tc>
        <w:tc>
          <w:tcPr>
            <w:tcW w:w="0" w:type="dxa"/>
            <w:vAlign w:val="bottom"/>
          </w:tcPr>
          <w:p>
            <w:pPr>
              <w:spacing w:after="0"/>
              <w:rPr>
                <w:sz w:val="1"/>
                <w:szCs w:val="1"/>
                <w:color w:val="auto"/>
              </w:rPr>
            </w:pPr>
          </w:p>
        </w:tc>
      </w:tr>
      <w:tr>
        <w:trPr>
          <w:trHeight w:val="74"/>
        </w:trPr>
        <w:tc>
          <w:tcPr>
            <w:tcW w:w="4040" w:type="dxa"/>
            <w:vAlign w:val="bottom"/>
            <w:tcBorders>
              <w:bottom w:val="single" w:sz="8" w:color="7F7F7F"/>
            </w:tcBorders>
          </w:tcPr>
          <w:p>
            <w:pPr>
              <w:spacing w:after="0"/>
              <w:rPr>
                <w:sz w:val="6"/>
                <w:szCs w:val="6"/>
                <w:color w:val="auto"/>
              </w:rPr>
            </w:pPr>
          </w:p>
        </w:tc>
        <w:tc>
          <w:tcPr>
            <w:tcW w:w="5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4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1440" w:type="dxa"/>
            <w:vAlign w:val="bottom"/>
            <w:tcBorders>
              <w:bottom w:val="single" w:sz="8" w:color="7F7F7F"/>
            </w:tcBorders>
          </w:tcPr>
          <w:p>
            <w:pPr>
              <w:spacing w:after="0"/>
              <w:rPr>
                <w:sz w:val="6"/>
                <w:szCs w:val="6"/>
                <w:color w:val="auto"/>
              </w:rPr>
            </w:pPr>
          </w:p>
        </w:tc>
        <w:tc>
          <w:tcPr>
            <w:tcW w:w="142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80"/>
              <w:spacing w:after="0"/>
              <w:rPr>
                <w:sz w:val="20"/>
                <w:szCs w:val="20"/>
                <w:color w:val="auto"/>
              </w:rPr>
            </w:pPr>
            <w:r>
              <w:rPr>
                <w:rFonts w:ascii="Arial" w:cs="Arial" w:eastAsia="Arial" w:hAnsi="Arial"/>
                <w:sz w:val="14"/>
                <w:szCs w:val="14"/>
                <w:b w:val="1"/>
                <w:bCs w:val="1"/>
                <w:color w:val="auto"/>
              </w:rPr>
              <w:t>Karen L. Sedgwick</w:t>
            </w: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2025</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700,000</w:t>
            </w:r>
          </w:p>
        </w:tc>
        <w:tc>
          <w:tcPr>
            <w:tcW w:w="300" w:type="dxa"/>
            <w:vAlign w:val="bottom"/>
            <w:shd w:val="clear" w:color="auto" w:fill="F2F2F2"/>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2F2F2"/>
          </w:tcPr>
          <w:p>
            <w:pPr>
              <w:jc w:val="right"/>
              <w:ind w:right="129"/>
              <w:spacing w:after="0"/>
              <w:rPr>
                <w:sz w:val="20"/>
                <w:szCs w:val="20"/>
                <w:color w:val="auto"/>
              </w:rPr>
            </w:pPr>
            <w:r>
              <w:rPr>
                <w:rFonts w:ascii="Arial" w:cs="Arial" w:eastAsia="Arial" w:hAnsi="Arial"/>
                <w:sz w:val="14"/>
                <w:szCs w:val="14"/>
                <w:color w:val="auto"/>
                <w:w w:val="99"/>
              </w:rPr>
              <w:t>1,811,056</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840,014</w:t>
            </w:r>
          </w:p>
        </w:tc>
        <w:tc>
          <w:tcPr>
            <w:tcW w:w="144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$1,088,600</w:t>
            </w:r>
          </w:p>
        </w:tc>
        <w:tc>
          <w:tcPr>
            <w:tcW w:w="142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  4,439,670</w:t>
            </w:r>
          </w:p>
        </w:tc>
        <w:tc>
          <w:tcPr>
            <w:tcW w:w="0" w:type="dxa"/>
            <w:vAlign w:val="bottom"/>
          </w:tcPr>
          <w:p>
            <w:pPr>
              <w:spacing w:after="0"/>
              <w:rPr>
                <w:sz w:val="1"/>
                <w:szCs w:val="1"/>
                <w:color w:val="auto"/>
              </w:rPr>
            </w:pPr>
          </w:p>
        </w:tc>
      </w:tr>
      <w:tr>
        <w:trPr>
          <w:trHeight w:val="76"/>
        </w:trPr>
        <w:tc>
          <w:tcPr>
            <w:tcW w:w="4040" w:type="dxa"/>
            <w:vAlign w:val="bottom"/>
            <w:vMerge w:val="restart"/>
          </w:tcPr>
          <w:p>
            <w:pPr>
              <w:ind w:left="80"/>
              <w:spacing w:after="0"/>
              <w:rPr>
                <w:sz w:val="20"/>
                <w:szCs w:val="20"/>
                <w:color w:val="auto"/>
              </w:rPr>
            </w:pPr>
            <w:r>
              <w:rPr>
                <w:rFonts w:ascii="Arial" w:cs="Arial" w:eastAsia="Arial" w:hAnsi="Arial"/>
                <w:sz w:val="14"/>
                <w:szCs w:val="14"/>
                <w:color w:val="auto"/>
              </w:rPr>
              <w:t>Executive Vice President and</w:t>
            </w:r>
          </w:p>
        </w:tc>
        <w:tc>
          <w:tcPr>
            <w:tcW w:w="5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4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1440" w:type="dxa"/>
            <w:vAlign w:val="bottom"/>
            <w:tcBorders>
              <w:bottom w:val="single" w:sz="8" w:color="7F7F7F"/>
            </w:tcBorders>
            <w:shd w:val="clear" w:color="auto" w:fill="F2F2F2"/>
          </w:tcPr>
          <w:p>
            <w:pPr>
              <w:spacing w:after="0"/>
              <w:rPr>
                <w:sz w:val="6"/>
                <w:szCs w:val="6"/>
                <w:color w:val="auto"/>
              </w:rPr>
            </w:pPr>
          </w:p>
        </w:tc>
        <w:tc>
          <w:tcPr>
            <w:tcW w:w="1420" w:type="dxa"/>
            <w:vAlign w:val="bottom"/>
            <w:tcBorders>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40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40" w:type="dxa"/>
            <w:vAlign w:val="bottom"/>
          </w:tcPr>
          <w:p>
            <w:pPr>
              <w:ind w:left="80"/>
              <w:spacing w:after="0"/>
              <w:rPr>
                <w:sz w:val="20"/>
                <w:szCs w:val="20"/>
                <w:color w:val="auto"/>
              </w:rPr>
            </w:pPr>
            <w:r>
              <w:rPr>
                <w:rFonts w:ascii="Arial" w:cs="Arial" w:eastAsia="Arial" w:hAnsi="Arial"/>
                <w:sz w:val="14"/>
                <w:szCs w:val="14"/>
                <w:color w:val="auto"/>
              </w:rPr>
              <w:t>Chief Financial Officer</w:t>
            </w:r>
          </w:p>
        </w:tc>
        <w:tc>
          <w:tcPr>
            <w:tcW w:w="560" w:type="dxa"/>
            <w:vAlign w:val="bottom"/>
          </w:tcPr>
          <w:p>
            <w:pPr>
              <w:ind w:left="140"/>
              <w:spacing w:after="0"/>
              <w:rPr>
                <w:sz w:val="20"/>
                <w:szCs w:val="20"/>
                <w:color w:val="auto"/>
              </w:rPr>
            </w:pPr>
            <w:r>
              <w:rPr>
                <w:rFonts w:ascii="Arial" w:cs="Arial" w:eastAsia="Arial" w:hAnsi="Arial"/>
                <w:sz w:val="14"/>
                <w:szCs w:val="14"/>
                <w:color w:val="auto"/>
              </w:rPr>
              <w:t>2024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630,000</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w w:val="99"/>
              </w:rPr>
              <w:t>1,458,030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667,682</w:t>
            </w:r>
          </w:p>
        </w:tc>
        <w:tc>
          <w:tcPr>
            <w:tcW w:w="1440" w:type="dxa"/>
            <w:vAlign w:val="bottom"/>
          </w:tcPr>
          <w:p>
            <w:pPr>
              <w:jc w:val="right"/>
              <w:ind w:right="149"/>
              <w:spacing w:after="0"/>
              <w:rPr>
                <w:sz w:val="20"/>
                <w:szCs w:val="20"/>
                <w:color w:val="auto"/>
              </w:rPr>
            </w:pPr>
            <w:r>
              <w:rPr>
                <w:rFonts w:ascii="Arial" w:cs="Arial" w:eastAsia="Arial" w:hAnsi="Arial"/>
                <w:sz w:val="14"/>
                <w:szCs w:val="14"/>
                <w:color w:val="auto"/>
              </w:rPr>
              <w:t>$   810,500</w:t>
            </w:r>
          </w:p>
        </w:tc>
        <w:tc>
          <w:tcPr>
            <w:tcW w:w="1420" w:type="dxa"/>
            <w:vAlign w:val="bottom"/>
          </w:tcPr>
          <w:p>
            <w:pPr>
              <w:jc w:val="right"/>
              <w:ind w:right="149"/>
              <w:spacing w:after="0"/>
              <w:rPr>
                <w:sz w:val="20"/>
                <w:szCs w:val="20"/>
                <w:color w:val="auto"/>
              </w:rPr>
            </w:pPr>
            <w:r>
              <w:rPr>
                <w:rFonts w:ascii="Arial" w:cs="Arial" w:eastAsia="Arial" w:hAnsi="Arial"/>
                <w:sz w:val="14"/>
                <w:szCs w:val="14"/>
                <w:color w:val="auto"/>
              </w:rPr>
              <w:t>$  3,566,212</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5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4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1440" w:type="dxa"/>
            <w:vAlign w:val="bottom"/>
            <w:tcBorders>
              <w:bottom w:val="single" w:sz="8" w:color="7F7F7F"/>
            </w:tcBorders>
          </w:tcPr>
          <w:p>
            <w:pPr>
              <w:spacing w:after="0"/>
              <w:rPr>
                <w:sz w:val="6"/>
                <w:szCs w:val="6"/>
                <w:color w:val="auto"/>
              </w:rPr>
            </w:pPr>
          </w:p>
        </w:tc>
        <w:tc>
          <w:tcPr>
            <w:tcW w:w="142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4040" w:type="dxa"/>
            <w:vAlign w:val="bottom"/>
          </w:tcPr>
          <w:p>
            <w:pPr>
              <w:spacing w:after="0"/>
              <w:rPr>
                <w:sz w:val="22"/>
                <w:szCs w:val="22"/>
                <w:color w:val="auto"/>
              </w:rPr>
            </w:pP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2023</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560,000</w:t>
            </w:r>
          </w:p>
        </w:tc>
        <w:tc>
          <w:tcPr>
            <w:tcW w:w="300" w:type="dxa"/>
            <w:vAlign w:val="bottom"/>
            <w:shd w:val="clear" w:color="auto" w:fill="F2F2F2"/>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2F2F2"/>
          </w:tcPr>
          <w:p>
            <w:pPr>
              <w:jc w:val="right"/>
              <w:ind w:right="129"/>
              <w:spacing w:after="0"/>
              <w:rPr>
                <w:sz w:val="20"/>
                <w:szCs w:val="20"/>
                <w:color w:val="auto"/>
              </w:rPr>
            </w:pPr>
            <w:r>
              <w:rPr>
                <w:rFonts w:ascii="Arial" w:cs="Arial" w:eastAsia="Arial" w:hAnsi="Arial"/>
                <w:sz w:val="14"/>
                <w:szCs w:val="14"/>
                <w:color w:val="auto"/>
                <w:w w:val="99"/>
              </w:rPr>
              <w:t>1,627,040</w:t>
            </w:r>
          </w:p>
        </w:tc>
        <w:tc>
          <w:tcPr>
            <w:tcW w:w="300" w:type="dxa"/>
            <w:vAlign w:val="bottom"/>
            <w:shd w:val="clear" w:color="auto" w:fill="F2F2F2"/>
          </w:tcPr>
          <w:p>
            <w:pPr>
              <w:spacing w:after="0"/>
              <w:rPr>
                <w:sz w:val="22"/>
                <w:szCs w:val="22"/>
                <w:color w:val="auto"/>
              </w:rPr>
            </w:pPr>
          </w:p>
        </w:tc>
        <w:tc>
          <w:tcPr>
            <w:tcW w:w="86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w:t>
            </w:r>
          </w:p>
        </w:tc>
        <w:tc>
          <w:tcPr>
            <w:tcW w:w="144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   691,700</w:t>
            </w:r>
          </w:p>
        </w:tc>
        <w:tc>
          <w:tcPr>
            <w:tcW w:w="142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  2,878,740</w:t>
            </w:r>
          </w:p>
        </w:tc>
        <w:tc>
          <w:tcPr>
            <w:tcW w:w="0" w:type="dxa"/>
            <w:vAlign w:val="bottom"/>
          </w:tcPr>
          <w:p>
            <w:pPr>
              <w:spacing w:after="0"/>
              <w:rPr>
                <w:sz w:val="1"/>
                <w:szCs w:val="1"/>
                <w:color w:val="auto"/>
              </w:rPr>
            </w:pPr>
          </w:p>
        </w:tc>
      </w:tr>
      <w:tr>
        <w:trPr>
          <w:trHeight w:val="74"/>
        </w:trPr>
        <w:tc>
          <w:tcPr>
            <w:tcW w:w="4040" w:type="dxa"/>
            <w:vAlign w:val="bottom"/>
            <w:tcBorders>
              <w:bottom w:val="single" w:sz="8" w:color="7F7F7F"/>
            </w:tcBorders>
          </w:tcPr>
          <w:p>
            <w:pPr>
              <w:spacing w:after="0"/>
              <w:rPr>
                <w:sz w:val="6"/>
                <w:szCs w:val="6"/>
                <w:color w:val="auto"/>
              </w:rPr>
            </w:pPr>
          </w:p>
        </w:tc>
        <w:tc>
          <w:tcPr>
            <w:tcW w:w="5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4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1440" w:type="dxa"/>
            <w:vAlign w:val="bottom"/>
            <w:tcBorders>
              <w:bottom w:val="single" w:sz="8" w:color="7F7F7F"/>
            </w:tcBorders>
            <w:shd w:val="clear" w:color="auto" w:fill="F2F2F2"/>
          </w:tcPr>
          <w:p>
            <w:pPr>
              <w:spacing w:after="0"/>
              <w:rPr>
                <w:sz w:val="6"/>
                <w:szCs w:val="6"/>
                <w:color w:val="auto"/>
              </w:rPr>
            </w:pPr>
          </w:p>
        </w:tc>
        <w:tc>
          <w:tcPr>
            <w:tcW w:w="1420" w:type="dxa"/>
            <w:vAlign w:val="bottom"/>
            <w:tcBorders>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80"/>
              <w:spacing w:after="0"/>
              <w:rPr>
                <w:sz w:val="20"/>
                <w:szCs w:val="20"/>
                <w:color w:val="auto"/>
              </w:rPr>
            </w:pPr>
            <w:r>
              <w:rPr>
                <w:rFonts w:ascii="Arial" w:cs="Arial" w:eastAsia="Arial" w:hAnsi="Arial"/>
                <w:sz w:val="14"/>
                <w:szCs w:val="14"/>
                <w:b w:val="1"/>
                <w:bCs w:val="1"/>
                <w:color w:val="auto"/>
              </w:rPr>
              <w:t>Justin C. Bird</w:t>
            </w:r>
          </w:p>
        </w:tc>
        <w:tc>
          <w:tcPr>
            <w:tcW w:w="560" w:type="dxa"/>
            <w:vAlign w:val="bottom"/>
          </w:tcPr>
          <w:p>
            <w:pPr>
              <w:ind w:left="140"/>
              <w:spacing w:after="0"/>
              <w:rPr>
                <w:sz w:val="20"/>
                <w:szCs w:val="20"/>
                <w:color w:val="auto"/>
              </w:rPr>
            </w:pPr>
            <w:r>
              <w:rPr>
                <w:rFonts w:ascii="Arial" w:cs="Arial" w:eastAsia="Arial" w:hAnsi="Arial"/>
                <w:sz w:val="14"/>
                <w:szCs w:val="14"/>
                <w:color w:val="auto"/>
              </w:rPr>
              <w:t>2025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897,836</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w w:val="99"/>
              </w:rPr>
              <w:t>1,785,888</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828,345</w:t>
            </w:r>
          </w:p>
        </w:tc>
        <w:tc>
          <w:tcPr>
            <w:tcW w:w="1440" w:type="dxa"/>
            <w:vAlign w:val="bottom"/>
          </w:tcPr>
          <w:p>
            <w:pPr>
              <w:jc w:val="right"/>
              <w:ind w:right="149"/>
              <w:spacing w:after="0"/>
              <w:rPr>
                <w:sz w:val="20"/>
                <w:szCs w:val="20"/>
                <w:color w:val="auto"/>
              </w:rPr>
            </w:pPr>
            <w:r>
              <w:rPr>
                <w:rFonts w:ascii="Arial" w:cs="Arial" w:eastAsia="Arial" w:hAnsi="Arial"/>
                <w:sz w:val="14"/>
                <w:szCs w:val="14"/>
                <w:color w:val="auto"/>
              </w:rPr>
              <w:t>$1,548,200</w:t>
            </w:r>
          </w:p>
        </w:tc>
        <w:tc>
          <w:tcPr>
            <w:tcW w:w="1420" w:type="dxa"/>
            <w:vAlign w:val="bottom"/>
          </w:tcPr>
          <w:p>
            <w:pPr>
              <w:jc w:val="right"/>
              <w:ind w:right="149"/>
              <w:spacing w:after="0"/>
              <w:rPr>
                <w:sz w:val="20"/>
                <w:szCs w:val="20"/>
                <w:color w:val="auto"/>
              </w:rPr>
            </w:pPr>
            <w:r>
              <w:rPr>
                <w:rFonts w:ascii="Arial" w:cs="Arial" w:eastAsia="Arial" w:hAnsi="Arial"/>
                <w:sz w:val="14"/>
                <w:szCs w:val="14"/>
                <w:color w:val="auto"/>
              </w:rPr>
              <w:t>$  5,060,269</w:t>
            </w:r>
          </w:p>
        </w:tc>
        <w:tc>
          <w:tcPr>
            <w:tcW w:w="0" w:type="dxa"/>
            <w:vAlign w:val="bottom"/>
          </w:tcPr>
          <w:p>
            <w:pPr>
              <w:spacing w:after="0"/>
              <w:rPr>
                <w:sz w:val="1"/>
                <w:szCs w:val="1"/>
                <w:color w:val="auto"/>
              </w:rPr>
            </w:pPr>
          </w:p>
        </w:tc>
      </w:tr>
      <w:tr>
        <w:trPr>
          <w:trHeight w:val="76"/>
        </w:trPr>
        <w:tc>
          <w:tcPr>
            <w:tcW w:w="4040" w:type="dxa"/>
            <w:vAlign w:val="bottom"/>
            <w:vMerge w:val="restart"/>
          </w:tcPr>
          <w:p>
            <w:pPr>
              <w:ind w:left="80"/>
              <w:spacing w:after="0"/>
              <w:rPr>
                <w:sz w:val="20"/>
                <w:szCs w:val="20"/>
                <w:color w:val="auto"/>
              </w:rPr>
            </w:pPr>
            <w:r>
              <w:rPr>
                <w:rFonts w:ascii="Arial" w:cs="Arial" w:eastAsia="Arial" w:hAnsi="Arial"/>
                <w:sz w:val="14"/>
                <w:szCs w:val="14"/>
                <w:color w:val="auto"/>
              </w:rPr>
              <w:t>Executive Vice President</w:t>
            </w:r>
          </w:p>
        </w:tc>
        <w:tc>
          <w:tcPr>
            <w:tcW w:w="5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4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1440" w:type="dxa"/>
            <w:vAlign w:val="bottom"/>
            <w:tcBorders>
              <w:bottom w:val="single" w:sz="8" w:color="7F7F7F"/>
            </w:tcBorders>
          </w:tcPr>
          <w:p>
            <w:pPr>
              <w:spacing w:after="0"/>
              <w:rPr>
                <w:sz w:val="6"/>
                <w:szCs w:val="6"/>
                <w:color w:val="auto"/>
              </w:rPr>
            </w:pPr>
          </w:p>
        </w:tc>
        <w:tc>
          <w:tcPr>
            <w:tcW w:w="142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040" w:type="dxa"/>
            <w:vAlign w:val="bottom"/>
            <w:vMerge w:val="continue"/>
          </w:tcPr>
          <w:p>
            <w:pPr>
              <w:spacing w:after="0"/>
              <w:rPr>
                <w:sz w:val="8"/>
                <w:szCs w:val="8"/>
                <w:color w:val="auto"/>
              </w:rPr>
            </w:pPr>
          </w:p>
        </w:tc>
        <w:tc>
          <w:tcPr>
            <w:tcW w:w="560" w:type="dxa"/>
            <w:vAlign w:val="bottom"/>
            <w:vMerge w:val="restart"/>
            <w:shd w:val="clear" w:color="auto" w:fill="F2F2F2"/>
          </w:tcPr>
          <w:p>
            <w:pPr>
              <w:ind w:left="140"/>
              <w:spacing w:after="0"/>
              <w:rPr>
                <w:sz w:val="20"/>
                <w:szCs w:val="20"/>
                <w:color w:val="auto"/>
              </w:rPr>
            </w:pPr>
            <w:r>
              <w:rPr>
                <w:rFonts w:ascii="Arial" w:cs="Arial" w:eastAsia="Arial" w:hAnsi="Arial"/>
                <w:sz w:val="14"/>
                <w:szCs w:val="14"/>
                <w:color w:val="auto"/>
              </w:rPr>
              <w:t>2024</w:t>
            </w:r>
          </w:p>
        </w:tc>
        <w:tc>
          <w:tcPr>
            <w:tcW w:w="3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F2F2F2"/>
          </w:tcPr>
          <w:p>
            <w:pPr>
              <w:jc w:val="right"/>
              <w:ind w:right="149"/>
              <w:spacing w:after="0"/>
              <w:rPr>
                <w:sz w:val="20"/>
                <w:szCs w:val="20"/>
                <w:color w:val="auto"/>
              </w:rPr>
            </w:pPr>
            <w:r>
              <w:rPr>
                <w:rFonts w:ascii="Arial" w:cs="Arial" w:eastAsia="Arial" w:hAnsi="Arial"/>
                <w:sz w:val="14"/>
                <w:szCs w:val="14"/>
                <w:color w:val="auto"/>
              </w:rPr>
              <w:t>780,000</w:t>
            </w:r>
          </w:p>
        </w:tc>
        <w:tc>
          <w:tcPr>
            <w:tcW w:w="300" w:type="dxa"/>
            <w:vAlign w:val="bottom"/>
            <w:vMerge w:val="restart"/>
            <w:shd w:val="clear" w:color="auto" w:fill="F2F2F2"/>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F2F2F2"/>
          </w:tcPr>
          <w:p>
            <w:pPr>
              <w:jc w:val="right"/>
              <w:ind w:right="129"/>
              <w:spacing w:after="0"/>
              <w:rPr>
                <w:sz w:val="20"/>
                <w:szCs w:val="20"/>
                <w:color w:val="auto"/>
              </w:rPr>
            </w:pPr>
            <w:r>
              <w:rPr>
                <w:rFonts w:ascii="Arial" w:cs="Arial" w:eastAsia="Arial" w:hAnsi="Arial"/>
                <w:sz w:val="14"/>
                <w:szCs w:val="14"/>
                <w:color w:val="auto"/>
                <w:w w:val="99"/>
              </w:rPr>
              <w:t>1,396,187</w:t>
            </w:r>
          </w:p>
        </w:tc>
        <w:tc>
          <w:tcPr>
            <w:tcW w:w="300" w:type="dxa"/>
            <w:vAlign w:val="bottom"/>
            <w:vMerge w:val="restart"/>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F2F2F2"/>
          </w:tcPr>
          <w:p>
            <w:pPr>
              <w:jc w:val="right"/>
              <w:ind w:right="149"/>
              <w:spacing w:after="0"/>
              <w:rPr>
                <w:sz w:val="20"/>
                <w:szCs w:val="20"/>
                <w:color w:val="auto"/>
              </w:rPr>
            </w:pPr>
            <w:r>
              <w:rPr>
                <w:rFonts w:ascii="Arial" w:cs="Arial" w:eastAsia="Arial" w:hAnsi="Arial"/>
                <w:sz w:val="14"/>
                <w:szCs w:val="14"/>
                <w:color w:val="auto"/>
              </w:rPr>
              <w:t>639,341</w:t>
            </w:r>
          </w:p>
        </w:tc>
        <w:tc>
          <w:tcPr>
            <w:tcW w:w="1440" w:type="dxa"/>
            <w:vAlign w:val="bottom"/>
            <w:vMerge w:val="restart"/>
            <w:shd w:val="clear" w:color="auto" w:fill="F2F2F2"/>
          </w:tcPr>
          <w:p>
            <w:pPr>
              <w:jc w:val="right"/>
              <w:ind w:right="149"/>
              <w:spacing w:after="0"/>
              <w:rPr>
                <w:sz w:val="20"/>
                <w:szCs w:val="20"/>
                <w:color w:val="auto"/>
              </w:rPr>
            </w:pPr>
            <w:r>
              <w:rPr>
                <w:rFonts w:ascii="Arial" w:cs="Arial" w:eastAsia="Arial" w:hAnsi="Arial"/>
                <w:sz w:val="14"/>
                <w:szCs w:val="14"/>
                <w:color w:val="auto"/>
              </w:rPr>
              <w:t>$1,003,400</w:t>
            </w:r>
          </w:p>
        </w:tc>
        <w:tc>
          <w:tcPr>
            <w:tcW w:w="1420" w:type="dxa"/>
            <w:vAlign w:val="bottom"/>
            <w:vMerge w:val="restart"/>
            <w:shd w:val="clear" w:color="auto" w:fill="F2F2F2"/>
          </w:tcPr>
          <w:p>
            <w:pPr>
              <w:jc w:val="right"/>
              <w:ind w:right="149"/>
              <w:spacing w:after="0"/>
              <w:rPr>
                <w:sz w:val="20"/>
                <w:szCs w:val="20"/>
                <w:color w:val="auto"/>
              </w:rPr>
            </w:pPr>
            <w:r>
              <w:rPr>
                <w:rFonts w:ascii="Arial" w:cs="Arial" w:eastAsia="Arial" w:hAnsi="Arial"/>
                <w:sz w:val="14"/>
                <w:szCs w:val="14"/>
                <w:color w:val="auto"/>
              </w:rPr>
              <w:t>$  3,818,928</w:t>
            </w: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560" w:type="dxa"/>
            <w:vAlign w:val="bottom"/>
            <w:vMerge w:val="continue"/>
            <w:shd w:val="clear" w:color="auto" w:fill="F2F2F2"/>
          </w:tcPr>
          <w:p>
            <w:pPr>
              <w:spacing w:after="0"/>
              <w:rPr>
                <w:sz w:val="13"/>
                <w:szCs w:val="13"/>
                <w:color w:val="auto"/>
              </w:rPr>
            </w:pPr>
          </w:p>
        </w:tc>
        <w:tc>
          <w:tcPr>
            <w:tcW w:w="300" w:type="dxa"/>
            <w:vAlign w:val="bottom"/>
            <w:vMerge w:val="continue"/>
            <w:shd w:val="clear" w:color="auto" w:fill="F2F2F2"/>
          </w:tcPr>
          <w:p>
            <w:pPr>
              <w:spacing w:after="0"/>
              <w:rPr>
                <w:sz w:val="13"/>
                <w:szCs w:val="13"/>
                <w:color w:val="auto"/>
              </w:rPr>
            </w:pPr>
          </w:p>
        </w:tc>
        <w:tc>
          <w:tcPr>
            <w:tcW w:w="860" w:type="dxa"/>
            <w:vAlign w:val="bottom"/>
            <w:vMerge w:val="continue"/>
            <w:shd w:val="clear" w:color="auto" w:fill="F2F2F2"/>
          </w:tcPr>
          <w:p>
            <w:pPr>
              <w:spacing w:after="0"/>
              <w:rPr>
                <w:sz w:val="13"/>
                <w:szCs w:val="13"/>
                <w:color w:val="auto"/>
              </w:rPr>
            </w:pPr>
          </w:p>
        </w:tc>
        <w:tc>
          <w:tcPr>
            <w:tcW w:w="300" w:type="dxa"/>
            <w:vAlign w:val="bottom"/>
            <w:vMerge w:val="continue"/>
            <w:shd w:val="clear" w:color="auto" w:fill="F2F2F2"/>
          </w:tcPr>
          <w:p>
            <w:pPr>
              <w:spacing w:after="0"/>
              <w:rPr>
                <w:sz w:val="13"/>
                <w:szCs w:val="13"/>
                <w:color w:val="auto"/>
              </w:rPr>
            </w:pPr>
          </w:p>
        </w:tc>
        <w:tc>
          <w:tcPr>
            <w:tcW w:w="840" w:type="dxa"/>
            <w:vAlign w:val="bottom"/>
            <w:vMerge w:val="continue"/>
            <w:shd w:val="clear" w:color="auto" w:fill="F2F2F2"/>
          </w:tcPr>
          <w:p>
            <w:pPr>
              <w:spacing w:after="0"/>
              <w:rPr>
                <w:sz w:val="13"/>
                <w:szCs w:val="13"/>
                <w:color w:val="auto"/>
              </w:rPr>
            </w:pPr>
          </w:p>
        </w:tc>
        <w:tc>
          <w:tcPr>
            <w:tcW w:w="300" w:type="dxa"/>
            <w:vAlign w:val="bottom"/>
            <w:vMerge w:val="continue"/>
            <w:shd w:val="clear" w:color="auto" w:fill="F2F2F2"/>
          </w:tcPr>
          <w:p>
            <w:pPr>
              <w:spacing w:after="0"/>
              <w:rPr>
                <w:sz w:val="13"/>
                <w:szCs w:val="13"/>
                <w:color w:val="auto"/>
              </w:rPr>
            </w:pPr>
          </w:p>
        </w:tc>
        <w:tc>
          <w:tcPr>
            <w:tcW w:w="860" w:type="dxa"/>
            <w:vAlign w:val="bottom"/>
            <w:vMerge w:val="continue"/>
            <w:shd w:val="clear" w:color="auto" w:fill="F2F2F2"/>
          </w:tcPr>
          <w:p>
            <w:pPr>
              <w:spacing w:after="0"/>
              <w:rPr>
                <w:sz w:val="13"/>
                <w:szCs w:val="13"/>
                <w:color w:val="auto"/>
              </w:rPr>
            </w:pPr>
          </w:p>
        </w:tc>
        <w:tc>
          <w:tcPr>
            <w:tcW w:w="1440" w:type="dxa"/>
            <w:vAlign w:val="bottom"/>
            <w:vMerge w:val="continue"/>
            <w:shd w:val="clear" w:color="auto" w:fill="F2F2F2"/>
          </w:tcPr>
          <w:p>
            <w:pPr>
              <w:spacing w:after="0"/>
              <w:rPr>
                <w:sz w:val="13"/>
                <w:szCs w:val="13"/>
                <w:color w:val="auto"/>
              </w:rPr>
            </w:pPr>
          </w:p>
        </w:tc>
        <w:tc>
          <w:tcPr>
            <w:tcW w:w="142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040" w:type="dxa"/>
            <w:vAlign w:val="bottom"/>
            <w:tcBorders>
              <w:bottom w:val="single" w:sz="8" w:color="7F7F7F"/>
            </w:tcBorders>
          </w:tcPr>
          <w:p>
            <w:pPr>
              <w:spacing w:after="0"/>
              <w:rPr>
                <w:sz w:val="6"/>
                <w:szCs w:val="6"/>
                <w:color w:val="auto"/>
              </w:rPr>
            </w:pPr>
          </w:p>
        </w:tc>
        <w:tc>
          <w:tcPr>
            <w:tcW w:w="5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4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1440" w:type="dxa"/>
            <w:vAlign w:val="bottom"/>
            <w:tcBorders>
              <w:bottom w:val="single" w:sz="8" w:color="7F7F7F"/>
            </w:tcBorders>
            <w:shd w:val="clear" w:color="auto" w:fill="F2F2F2"/>
          </w:tcPr>
          <w:p>
            <w:pPr>
              <w:spacing w:after="0"/>
              <w:rPr>
                <w:sz w:val="6"/>
                <w:szCs w:val="6"/>
                <w:color w:val="auto"/>
              </w:rPr>
            </w:pPr>
          </w:p>
        </w:tc>
        <w:tc>
          <w:tcPr>
            <w:tcW w:w="1420" w:type="dxa"/>
            <w:vAlign w:val="bottom"/>
            <w:tcBorders>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80"/>
              <w:spacing w:after="0"/>
              <w:rPr>
                <w:sz w:val="20"/>
                <w:szCs w:val="20"/>
                <w:color w:val="auto"/>
              </w:rPr>
            </w:pPr>
            <w:r>
              <w:rPr>
                <w:rFonts w:ascii="Arial" w:cs="Arial" w:eastAsia="Arial" w:hAnsi="Arial"/>
                <w:sz w:val="14"/>
                <w:szCs w:val="14"/>
                <w:b w:val="1"/>
                <w:bCs w:val="1"/>
                <w:color w:val="auto"/>
              </w:rPr>
              <w:t>Caroline A. Winn</w:t>
            </w:r>
          </w:p>
        </w:tc>
        <w:tc>
          <w:tcPr>
            <w:tcW w:w="560" w:type="dxa"/>
            <w:vAlign w:val="bottom"/>
          </w:tcPr>
          <w:p>
            <w:pPr>
              <w:ind w:left="140"/>
              <w:spacing w:after="0"/>
              <w:rPr>
                <w:sz w:val="20"/>
                <w:szCs w:val="20"/>
                <w:color w:val="auto"/>
              </w:rPr>
            </w:pPr>
            <w:r>
              <w:rPr>
                <w:rFonts w:ascii="Arial" w:cs="Arial" w:eastAsia="Arial" w:hAnsi="Arial"/>
                <w:sz w:val="14"/>
                <w:szCs w:val="14"/>
                <w:color w:val="auto"/>
              </w:rPr>
              <w:t>2025</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828,877</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w w:val="99"/>
              </w:rPr>
              <w:t>1,732,127</w:t>
            </w:r>
          </w:p>
        </w:tc>
        <w:tc>
          <w:tcPr>
            <w:tcW w:w="300" w:type="dxa"/>
            <w:vAlign w:val="bottom"/>
          </w:tcPr>
          <w:p>
            <w:pPr>
              <w:spacing w:after="0"/>
              <w:rPr>
                <w:sz w:val="17"/>
                <w:szCs w:val="17"/>
                <w:color w:val="auto"/>
              </w:rPr>
            </w:pP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149"/>
              <w:spacing w:after="0"/>
              <w:rPr>
                <w:sz w:val="20"/>
                <w:szCs w:val="20"/>
                <w:color w:val="auto"/>
              </w:rPr>
            </w:pPr>
            <w:r>
              <w:rPr>
                <w:rFonts w:ascii="Arial" w:cs="Arial" w:eastAsia="Arial" w:hAnsi="Arial"/>
                <w:sz w:val="14"/>
                <w:szCs w:val="14"/>
                <w:color w:val="auto"/>
              </w:rPr>
              <w:t>$1,468,300</w:t>
            </w:r>
          </w:p>
        </w:tc>
        <w:tc>
          <w:tcPr>
            <w:tcW w:w="1420" w:type="dxa"/>
            <w:vAlign w:val="bottom"/>
          </w:tcPr>
          <w:p>
            <w:pPr>
              <w:jc w:val="right"/>
              <w:ind w:right="149"/>
              <w:spacing w:after="0"/>
              <w:rPr>
                <w:sz w:val="20"/>
                <w:szCs w:val="20"/>
                <w:color w:val="auto"/>
              </w:rPr>
            </w:pPr>
            <w:r>
              <w:rPr>
                <w:rFonts w:ascii="Arial" w:cs="Arial" w:eastAsia="Arial" w:hAnsi="Arial"/>
                <w:sz w:val="14"/>
                <w:szCs w:val="14"/>
                <w:color w:val="auto"/>
              </w:rPr>
              <w:t>$  4,029,304</w:t>
            </w:r>
          </w:p>
        </w:tc>
        <w:tc>
          <w:tcPr>
            <w:tcW w:w="0" w:type="dxa"/>
            <w:vAlign w:val="bottom"/>
          </w:tcPr>
          <w:p>
            <w:pPr>
              <w:spacing w:after="0"/>
              <w:rPr>
                <w:sz w:val="1"/>
                <w:szCs w:val="1"/>
                <w:color w:val="auto"/>
              </w:rPr>
            </w:pPr>
          </w:p>
        </w:tc>
      </w:tr>
      <w:tr>
        <w:trPr>
          <w:trHeight w:val="189"/>
        </w:trPr>
        <w:tc>
          <w:tcPr>
            <w:tcW w:w="4040" w:type="dxa"/>
            <w:vAlign w:val="bottom"/>
          </w:tcPr>
          <w:p>
            <w:pPr>
              <w:ind w:left="80"/>
              <w:spacing w:after="0"/>
              <w:rPr>
                <w:sz w:val="20"/>
                <w:szCs w:val="20"/>
                <w:color w:val="auto"/>
              </w:rPr>
            </w:pPr>
            <w:r>
              <w:rPr>
                <w:rFonts w:ascii="Arial" w:cs="Arial" w:eastAsia="Arial" w:hAnsi="Arial"/>
                <w:sz w:val="14"/>
                <w:szCs w:val="14"/>
                <w:color w:val="auto"/>
              </w:rPr>
              <w:t>Executive Vice President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40" w:type="dxa"/>
            <w:vAlign w:val="bottom"/>
            <w:tcBorders>
              <w:bottom w:val="single" w:sz="8" w:color="7F7F7F"/>
            </w:tcBorders>
          </w:tcPr>
          <w:p>
            <w:pPr>
              <w:spacing w:after="0"/>
              <w:rPr>
                <w:sz w:val="5"/>
                <w:szCs w:val="5"/>
                <w:color w:val="auto"/>
              </w:rPr>
            </w:pPr>
          </w:p>
        </w:tc>
        <w:tc>
          <w:tcPr>
            <w:tcW w:w="56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86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860" w:type="dxa"/>
            <w:vAlign w:val="bottom"/>
            <w:tcBorders>
              <w:bottom w:val="single" w:sz="8" w:color="7F7F7F"/>
            </w:tcBorders>
          </w:tcPr>
          <w:p>
            <w:pPr>
              <w:spacing w:after="0"/>
              <w:rPr>
                <w:sz w:val="5"/>
                <w:szCs w:val="5"/>
                <w:color w:val="auto"/>
              </w:rPr>
            </w:pPr>
          </w:p>
        </w:tc>
        <w:tc>
          <w:tcPr>
            <w:tcW w:w="1440" w:type="dxa"/>
            <w:vAlign w:val="bottom"/>
            <w:tcBorders>
              <w:bottom w:val="single" w:sz="8" w:color="7F7F7F"/>
            </w:tcBorders>
          </w:tcPr>
          <w:p>
            <w:pPr>
              <w:spacing w:after="0"/>
              <w:rPr>
                <w:sz w:val="5"/>
                <w:szCs w:val="5"/>
                <w:color w:val="auto"/>
              </w:rPr>
            </w:pPr>
          </w:p>
        </w:tc>
        <w:tc>
          <w:tcPr>
            <w:tcW w:w="142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4040" w:type="dxa"/>
            <w:vAlign w:val="bottom"/>
          </w:tcPr>
          <w:p>
            <w:pPr>
              <w:ind w:left="80"/>
              <w:spacing w:after="0"/>
              <w:rPr>
                <w:sz w:val="20"/>
                <w:szCs w:val="20"/>
                <w:color w:val="auto"/>
              </w:rPr>
            </w:pPr>
            <w:r>
              <w:rPr>
                <w:rFonts w:ascii="Arial" w:cs="Arial" w:eastAsia="Arial" w:hAnsi="Arial"/>
                <w:sz w:val="14"/>
                <w:szCs w:val="14"/>
                <w:b w:val="1"/>
                <w:bCs w:val="1"/>
                <w:color w:val="auto"/>
              </w:rPr>
              <w:t>Diana L. Day</w:t>
            </w:r>
          </w:p>
        </w:tc>
        <w:tc>
          <w:tcPr>
            <w:tcW w:w="560" w:type="dxa"/>
            <w:vAlign w:val="bottom"/>
            <w:shd w:val="clear" w:color="auto" w:fill="F2F2F2"/>
          </w:tcPr>
          <w:p>
            <w:pPr>
              <w:ind w:left="140"/>
              <w:spacing w:after="0"/>
              <w:rPr>
                <w:sz w:val="20"/>
                <w:szCs w:val="20"/>
                <w:color w:val="auto"/>
              </w:rPr>
            </w:pPr>
            <w:r>
              <w:rPr>
                <w:rFonts w:ascii="Arial" w:cs="Arial" w:eastAsia="Arial" w:hAnsi="Arial"/>
                <w:sz w:val="14"/>
                <w:szCs w:val="14"/>
                <w:color w:val="auto"/>
              </w:rPr>
              <w:t>2025</w:t>
            </w:r>
          </w:p>
        </w:tc>
        <w:tc>
          <w:tcPr>
            <w:tcW w:w="3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600,000</w:t>
            </w:r>
          </w:p>
        </w:tc>
        <w:tc>
          <w:tcPr>
            <w:tcW w:w="300" w:type="dxa"/>
            <w:vAlign w:val="bottom"/>
            <w:shd w:val="clear" w:color="auto" w:fill="F2F2F2"/>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2F2F2"/>
          </w:tcPr>
          <w:p>
            <w:pPr>
              <w:jc w:val="right"/>
              <w:ind w:right="129"/>
              <w:spacing w:after="0"/>
              <w:rPr>
                <w:sz w:val="20"/>
                <w:szCs w:val="20"/>
                <w:color w:val="auto"/>
              </w:rPr>
            </w:pPr>
            <w:r>
              <w:rPr>
                <w:rFonts w:ascii="Arial" w:cs="Arial" w:eastAsia="Arial" w:hAnsi="Arial"/>
                <w:sz w:val="14"/>
                <w:szCs w:val="14"/>
                <w:color w:val="auto"/>
                <w:w w:val="99"/>
              </w:rPr>
              <w:t>1,315,176</w:t>
            </w:r>
          </w:p>
        </w:tc>
        <w:tc>
          <w:tcPr>
            <w:tcW w:w="300" w:type="dxa"/>
            <w:vAlign w:val="bottom"/>
            <w:shd w:val="clear" w:color="auto" w:fill="F2F2F2"/>
          </w:tcPr>
          <w:p>
            <w:pPr>
              <w:spacing w:after="0"/>
              <w:rPr>
                <w:sz w:val="17"/>
                <w:szCs w:val="17"/>
                <w:color w:val="auto"/>
              </w:rPr>
            </w:pPr>
          </w:p>
        </w:tc>
        <w:tc>
          <w:tcPr>
            <w:tcW w:w="86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w:t>
            </w:r>
          </w:p>
        </w:tc>
        <w:tc>
          <w:tcPr>
            <w:tcW w:w="144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   777,600</w:t>
            </w:r>
          </w:p>
        </w:tc>
        <w:tc>
          <w:tcPr>
            <w:tcW w:w="1420" w:type="dxa"/>
            <w:vAlign w:val="bottom"/>
            <w:shd w:val="clear" w:color="auto" w:fill="F2F2F2"/>
          </w:tcPr>
          <w:p>
            <w:pPr>
              <w:jc w:val="right"/>
              <w:ind w:right="149"/>
              <w:spacing w:after="0"/>
              <w:rPr>
                <w:sz w:val="20"/>
                <w:szCs w:val="20"/>
                <w:color w:val="auto"/>
              </w:rPr>
            </w:pPr>
            <w:r>
              <w:rPr>
                <w:rFonts w:ascii="Arial" w:cs="Arial" w:eastAsia="Arial" w:hAnsi="Arial"/>
                <w:sz w:val="14"/>
                <w:szCs w:val="14"/>
                <w:color w:val="auto"/>
              </w:rPr>
              <w:t>$  2,692,776</w:t>
            </w:r>
          </w:p>
        </w:tc>
        <w:tc>
          <w:tcPr>
            <w:tcW w:w="0" w:type="dxa"/>
            <w:vAlign w:val="bottom"/>
          </w:tcPr>
          <w:p>
            <w:pPr>
              <w:spacing w:after="0"/>
              <w:rPr>
                <w:sz w:val="1"/>
                <w:szCs w:val="1"/>
                <w:color w:val="auto"/>
              </w:rPr>
            </w:pPr>
          </w:p>
        </w:tc>
      </w:tr>
      <w:tr>
        <w:trPr>
          <w:trHeight w:val="76"/>
        </w:trPr>
        <w:tc>
          <w:tcPr>
            <w:tcW w:w="4040" w:type="dxa"/>
            <w:vAlign w:val="bottom"/>
            <w:vMerge w:val="restart"/>
          </w:tcPr>
          <w:p>
            <w:pPr>
              <w:ind w:left="80"/>
              <w:spacing w:after="0"/>
              <w:rPr>
                <w:sz w:val="20"/>
                <w:szCs w:val="20"/>
                <w:color w:val="auto"/>
              </w:rPr>
            </w:pPr>
            <w:r>
              <w:rPr>
                <w:rFonts w:ascii="Arial" w:cs="Arial" w:eastAsia="Arial" w:hAnsi="Arial"/>
                <w:sz w:val="14"/>
                <w:szCs w:val="14"/>
                <w:color w:val="auto"/>
              </w:rPr>
              <w:t>Chief Legal Counsel</w:t>
            </w:r>
          </w:p>
        </w:tc>
        <w:tc>
          <w:tcPr>
            <w:tcW w:w="5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40" w:type="dxa"/>
            <w:vAlign w:val="bottom"/>
            <w:tcBorders>
              <w:bottom w:val="single" w:sz="8" w:color="7F7F7F"/>
            </w:tcBorders>
            <w:shd w:val="clear" w:color="auto" w:fill="F2F2F2"/>
          </w:tcPr>
          <w:p>
            <w:pPr>
              <w:spacing w:after="0"/>
              <w:rPr>
                <w:sz w:val="6"/>
                <w:szCs w:val="6"/>
                <w:color w:val="auto"/>
              </w:rPr>
            </w:pPr>
          </w:p>
        </w:tc>
        <w:tc>
          <w:tcPr>
            <w:tcW w:w="300" w:type="dxa"/>
            <w:vAlign w:val="bottom"/>
            <w:tcBorders>
              <w:bottom w:val="single" w:sz="8" w:color="7F7F7F"/>
            </w:tcBorders>
            <w:shd w:val="clear" w:color="auto" w:fill="F2F2F2"/>
          </w:tcPr>
          <w:p>
            <w:pPr>
              <w:spacing w:after="0"/>
              <w:rPr>
                <w:sz w:val="6"/>
                <w:szCs w:val="6"/>
                <w:color w:val="auto"/>
              </w:rPr>
            </w:pPr>
          </w:p>
        </w:tc>
        <w:tc>
          <w:tcPr>
            <w:tcW w:w="860" w:type="dxa"/>
            <w:vAlign w:val="bottom"/>
            <w:tcBorders>
              <w:bottom w:val="single" w:sz="8" w:color="7F7F7F"/>
            </w:tcBorders>
            <w:shd w:val="clear" w:color="auto" w:fill="F2F2F2"/>
          </w:tcPr>
          <w:p>
            <w:pPr>
              <w:spacing w:after="0"/>
              <w:rPr>
                <w:sz w:val="6"/>
                <w:szCs w:val="6"/>
                <w:color w:val="auto"/>
              </w:rPr>
            </w:pPr>
          </w:p>
        </w:tc>
        <w:tc>
          <w:tcPr>
            <w:tcW w:w="1440" w:type="dxa"/>
            <w:vAlign w:val="bottom"/>
            <w:tcBorders>
              <w:bottom w:val="single" w:sz="8" w:color="7F7F7F"/>
            </w:tcBorders>
            <w:shd w:val="clear" w:color="auto" w:fill="F2F2F2"/>
          </w:tcPr>
          <w:p>
            <w:pPr>
              <w:spacing w:after="0"/>
              <w:rPr>
                <w:sz w:val="6"/>
                <w:szCs w:val="6"/>
                <w:color w:val="auto"/>
              </w:rPr>
            </w:pPr>
          </w:p>
        </w:tc>
        <w:tc>
          <w:tcPr>
            <w:tcW w:w="1420" w:type="dxa"/>
            <w:vAlign w:val="bottom"/>
            <w:tcBorders>
              <w:bottom w:val="single" w:sz="8" w:color="7F7F7F"/>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0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color w:val="auto"/>
              </w:rPr>
              <w:t>2024</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49"/>
              <w:spacing w:after="0"/>
              <w:rPr>
                <w:sz w:val="20"/>
                <w:szCs w:val="20"/>
                <w:color w:val="auto"/>
              </w:rPr>
            </w:pPr>
            <w:r>
              <w:rPr>
                <w:rFonts w:ascii="Arial" w:cs="Arial" w:eastAsia="Arial" w:hAnsi="Arial"/>
                <w:sz w:val="14"/>
                <w:szCs w:val="14"/>
                <w:color w:val="auto"/>
              </w:rPr>
              <w:t>510,000</w:t>
            </w:r>
          </w:p>
        </w:tc>
        <w:tc>
          <w:tcPr>
            <w:tcW w:w="300" w:type="dxa"/>
            <w:vAlign w:val="bottom"/>
            <w:vMerge w:val="restart"/>
          </w:tcPr>
          <w:p>
            <w:pPr>
              <w:ind w:left="220"/>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color w:val="auto"/>
              </w:rPr>
              <w:t>866,171</w:t>
            </w:r>
          </w:p>
        </w:tc>
        <w:tc>
          <w:tcPr>
            <w:tcW w:w="300" w:type="dxa"/>
            <w:vAlign w:val="bottom"/>
          </w:tcPr>
          <w:p>
            <w:pPr>
              <w:spacing w:after="0"/>
              <w:rPr>
                <w:sz w:val="8"/>
                <w:szCs w:val="8"/>
                <w:color w:val="auto"/>
              </w:rPr>
            </w:pPr>
          </w:p>
        </w:tc>
        <w:tc>
          <w:tcPr>
            <w:tcW w:w="860" w:type="dxa"/>
            <w:vAlign w:val="bottom"/>
            <w:vMerge w:val="restart"/>
          </w:tcPr>
          <w:p>
            <w:pPr>
              <w:jc w:val="right"/>
              <w:ind w:right="149"/>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49"/>
              <w:spacing w:after="0"/>
              <w:rPr>
                <w:sz w:val="20"/>
                <w:szCs w:val="20"/>
                <w:color w:val="auto"/>
              </w:rPr>
            </w:pPr>
            <w:r>
              <w:rPr>
                <w:rFonts w:ascii="Arial" w:cs="Arial" w:eastAsia="Arial" w:hAnsi="Arial"/>
                <w:sz w:val="14"/>
                <w:szCs w:val="14"/>
                <w:color w:val="auto"/>
              </w:rPr>
              <w:t>$   437,400</w:t>
            </w:r>
          </w:p>
        </w:tc>
        <w:tc>
          <w:tcPr>
            <w:tcW w:w="1420" w:type="dxa"/>
            <w:vAlign w:val="bottom"/>
            <w:vMerge w:val="restart"/>
          </w:tcPr>
          <w:p>
            <w:pPr>
              <w:jc w:val="right"/>
              <w:ind w:right="149"/>
              <w:spacing w:after="0"/>
              <w:rPr>
                <w:sz w:val="20"/>
                <w:szCs w:val="20"/>
                <w:color w:val="auto"/>
              </w:rPr>
            </w:pPr>
            <w:r>
              <w:rPr>
                <w:rFonts w:ascii="Arial" w:cs="Arial" w:eastAsia="Arial" w:hAnsi="Arial"/>
                <w:sz w:val="14"/>
                <w:szCs w:val="14"/>
                <w:color w:val="auto"/>
              </w:rPr>
              <w:t>$  1,813,571</w:t>
            </w:r>
          </w:p>
        </w:tc>
        <w:tc>
          <w:tcPr>
            <w:tcW w:w="0" w:type="dxa"/>
            <w:vAlign w:val="bottom"/>
          </w:tcPr>
          <w:p>
            <w:pPr>
              <w:spacing w:after="0"/>
              <w:rPr>
                <w:sz w:val="1"/>
                <w:szCs w:val="1"/>
                <w:color w:val="auto"/>
              </w:rPr>
            </w:pPr>
          </w:p>
        </w:tc>
      </w:tr>
      <w:tr>
        <w:trPr>
          <w:trHeight w:val="160"/>
        </w:trPr>
        <w:tc>
          <w:tcPr>
            <w:tcW w:w="40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4040" w:type="dxa"/>
            <w:vAlign w:val="bottom"/>
            <w:tcBorders>
              <w:bottom w:val="single" w:sz="8" w:color="7F7F7F"/>
            </w:tcBorders>
          </w:tcPr>
          <w:p>
            <w:pPr>
              <w:spacing w:after="0"/>
              <w:rPr>
                <w:sz w:val="6"/>
                <w:szCs w:val="6"/>
                <w:color w:val="auto"/>
              </w:rPr>
            </w:pPr>
          </w:p>
        </w:tc>
        <w:tc>
          <w:tcPr>
            <w:tcW w:w="5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40" w:type="dxa"/>
            <w:vAlign w:val="bottom"/>
            <w:tcBorders>
              <w:bottom w:val="single" w:sz="8" w:color="7F7F7F"/>
            </w:tcBorders>
          </w:tcPr>
          <w:p>
            <w:pPr>
              <w:spacing w:after="0"/>
              <w:rPr>
                <w:sz w:val="6"/>
                <w:szCs w:val="6"/>
                <w:color w:val="auto"/>
              </w:rPr>
            </w:pPr>
          </w:p>
        </w:tc>
        <w:tc>
          <w:tcPr>
            <w:tcW w:w="300" w:type="dxa"/>
            <w:vAlign w:val="bottom"/>
            <w:tcBorders>
              <w:bottom w:val="single" w:sz="8" w:color="7F7F7F"/>
            </w:tcBorders>
          </w:tcPr>
          <w:p>
            <w:pPr>
              <w:spacing w:after="0"/>
              <w:rPr>
                <w:sz w:val="6"/>
                <w:szCs w:val="6"/>
                <w:color w:val="auto"/>
              </w:rPr>
            </w:pPr>
          </w:p>
        </w:tc>
        <w:tc>
          <w:tcPr>
            <w:tcW w:w="860" w:type="dxa"/>
            <w:vAlign w:val="bottom"/>
            <w:tcBorders>
              <w:bottom w:val="single" w:sz="8" w:color="7F7F7F"/>
            </w:tcBorders>
          </w:tcPr>
          <w:p>
            <w:pPr>
              <w:spacing w:after="0"/>
              <w:rPr>
                <w:sz w:val="6"/>
                <w:szCs w:val="6"/>
                <w:color w:val="auto"/>
              </w:rPr>
            </w:pPr>
          </w:p>
        </w:tc>
        <w:tc>
          <w:tcPr>
            <w:tcW w:w="1440" w:type="dxa"/>
            <w:vAlign w:val="bottom"/>
            <w:tcBorders>
              <w:bottom w:val="single" w:sz="8" w:color="7F7F7F"/>
            </w:tcBorders>
          </w:tcPr>
          <w:p>
            <w:pPr>
              <w:spacing w:after="0"/>
              <w:rPr>
                <w:sz w:val="6"/>
                <w:szCs w:val="6"/>
                <w:color w:val="auto"/>
              </w:rPr>
            </w:pPr>
          </w:p>
        </w:tc>
        <w:tc>
          <w:tcPr>
            <w:tcW w:w="1420" w:type="dxa"/>
            <w:vAlign w:val="bottom"/>
            <w:tcBorders>
              <w:bottom w:val="single" w:sz="8" w:color="7F7F7F"/>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4040" w:type="dxa"/>
            <w:vAlign w:val="bottom"/>
            <w:tcBorders>
              <w:bottom w:val="single" w:sz="8" w:color="7F7F7F"/>
            </w:tcBorders>
          </w:tcPr>
          <w:p>
            <w:pPr>
              <w:spacing w:after="0"/>
              <w:rPr>
                <w:sz w:val="13"/>
                <w:szCs w:val="13"/>
                <w:color w:val="auto"/>
              </w:rPr>
            </w:pPr>
          </w:p>
        </w:tc>
        <w:tc>
          <w:tcPr>
            <w:tcW w:w="560" w:type="dxa"/>
            <w:vAlign w:val="bottom"/>
            <w:tcBorders>
              <w:bottom w:val="single" w:sz="8" w:color="7F7F7F"/>
            </w:tcBorders>
          </w:tcPr>
          <w:p>
            <w:pPr>
              <w:spacing w:after="0"/>
              <w:rPr>
                <w:sz w:val="13"/>
                <w:szCs w:val="13"/>
                <w:color w:val="auto"/>
              </w:rPr>
            </w:pPr>
          </w:p>
        </w:tc>
        <w:tc>
          <w:tcPr>
            <w:tcW w:w="300" w:type="dxa"/>
            <w:vAlign w:val="bottom"/>
            <w:tcBorders>
              <w:bottom w:val="single" w:sz="8" w:color="7F7F7F"/>
            </w:tcBorders>
          </w:tcPr>
          <w:p>
            <w:pPr>
              <w:spacing w:after="0"/>
              <w:rPr>
                <w:sz w:val="13"/>
                <w:szCs w:val="13"/>
                <w:color w:val="auto"/>
              </w:rPr>
            </w:pPr>
          </w:p>
        </w:tc>
        <w:tc>
          <w:tcPr>
            <w:tcW w:w="860" w:type="dxa"/>
            <w:vAlign w:val="bottom"/>
            <w:tcBorders>
              <w:bottom w:val="single" w:sz="8" w:color="7F7F7F"/>
            </w:tcBorders>
          </w:tcPr>
          <w:p>
            <w:pPr>
              <w:spacing w:after="0"/>
              <w:rPr>
                <w:sz w:val="13"/>
                <w:szCs w:val="13"/>
                <w:color w:val="auto"/>
              </w:rPr>
            </w:pPr>
          </w:p>
        </w:tc>
        <w:tc>
          <w:tcPr>
            <w:tcW w:w="300" w:type="dxa"/>
            <w:vAlign w:val="bottom"/>
            <w:tcBorders>
              <w:bottom w:val="single" w:sz="8" w:color="7F7F7F"/>
            </w:tcBorders>
          </w:tcPr>
          <w:p>
            <w:pPr>
              <w:spacing w:after="0"/>
              <w:rPr>
                <w:sz w:val="13"/>
                <w:szCs w:val="13"/>
                <w:color w:val="auto"/>
              </w:rPr>
            </w:pPr>
          </w:p>
        </w:tc>
        <w:tc>
          <w:tcPr>
            <w:tcW w:w="840" w:type="dxa"/>
            <w:vAlign w:val="bottom"/>
            <w:tcBorders>
              <w:bottom w:val="single" w:sz="8" w:color="7F7F7F"/>
            </w:tcBorders>
          </w:tcPr>
          <w:p>
            <w:pPr>
              <w:spacing w:after="0"/>
              <w:rPr>
                <w:sz w:val="13"/>
                <w:szCs w:val="13"/>
                <w:color w:val="auto"/>
              </w:rPr>
            </w:pPr>
          </w:p>
        </w:tc>
        <w:tc>
          <w:tcPr>
            <w:tcW w:w="300" w:type="dxa"/>
            <w:vAlign w:val="bottom"/>
            <w:tcBorders>
              <w:bottom w:val="single" w:sz="8" w:color="7F7F7F"/>
            </w:tcBorders>
          </w:tcPr>
          <w:p>
            <w:pPr>
              <w:spacing w:after="0"/>
              <w:rPr>
                <w:sz w:val="13"/>
                <w:szCs w:val="13"/>
                <w:color w:val="auto"/>
              </w:rPr>
            </w:pPr>
          </w:p>
        </w:tc>
        <w:tc>
          <w:tcPr>
            <w:tcW w:w="860" w:type="dxa"/>
            <w:vAlign w:val="bottom"/>
            <w:tcBorders>
              <w:bottom w:val="single" w:sz="8" w:color="7F7F7F"/>
            </w:tcBorders>
          </w:tcPr>
          <w:p>
            <w:pPr>
              <w:spacing w:after="0"/>
              <w:rPr>
                <w:sz w:val="13"/>
                <w:szCs w:val="13"/>
                <w:color w:val="auto"/>
              </w:rPr>
            </w:pPr>
          </w:p>
        </w:tc>
        <w:tc>
          <w:tcPr>
            <w:tcW w:w="1440" w:type="dxa"/>
            <w:vAlign w:val="bottom"/>
            <w:tcBorders>
              <w:bottom w:val="single" w:sz="8" w:color="7F7F7F"/>
            </w:tcBorders>
          </w:tcPr>
          <w:p>
            <w:pPr>
              <w:spacing w:after="0"/>
              <w:rPr>
                <w:sz w:val="13"/>
                <w:szCs w:val="13"/>
                <w:color w:val="auto"/>
              </w:rPr>
            </w:pPr>
          </w:p>
        </w:tc>
        <w:tc>
          <w:tcPr>
            <w:tcW w:w="1420" w:type="dxa"/>
            <w:vAlign w:val="bottom"/>
            <w:tcBorders>
              <w:bottom w:val="single" w:sz="8" w:color="7F7F7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3893820</wp:posOffset>
            </wp:positionH>
            <wp:positionV relativeFrom="paragraph">
              <wp:posOffset>-2878455</wp:posOffset>
            </wp:positionV>
            <wp:extent cx="209740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09740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118745</wp:posOffset>
            </wp:positionV>
            <wp:extent cx="739140" cy="144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71</w:t>
      </w:r>
    </w:p>
    <w:p>
      <w:pPr>
        <w:sectPr>
          <w:pgSz w:w="11900" w:h="16838" w:orient="portrait"/>
          <w:cols w:equalWidth="0" w:num="1">
            <w:col w:w="11080"/>
          </w:cols>
          <w:pgMar w:left="320" w:top="478"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Grants of Plan-Based Awards</w:t>
      </w:r>
    </w:p>
    <w:p>
      <w:pPr>
        <w:spacing w:after="0" w:line="129" w:lineRule="exact"/>
        <w:rPr>
          <w:sz w:val="20"/>
          <w:szCs w:val="20"/>
          <w:color w:val="auto"/>
        </w:rPr>
      </w:pPr>
    </w:p>
    <w:p>
      <w:pPr>
        <w:jc w:val="both"/>
        <w:ind w:left="160" w:right="160"/>
        <w:spacing w:after="0" w:line="260" w:lineRule="auto"/>
        <w:rPr>
          <w:sz w:val="20"/>
          <w:szCs w:val="20"/>
          <w:color w:val="auto"/>
        </w:rPr>
      </w:pPr>
      <w:r>
        <w:rPr>
          <w:rFonts w:ascii="Arial" w:cs="Arial" w:eastAsia="Arial" w:hAnsi="Arial"/>
          <w:sz w:val="14"/>
          <w:szCs w:val="14"/>
          <w:color w:val="auto"/>
        </w:rPr>
        <w:t>Our named executive officers participate in incentive compensation plans that are designed to encourage high levels of performance on both a short-term and a long-term basis. Performance-based annual cash bonuses were provided under our annual bonus plan. Long-term equity-based incentives were provided under our 2019 Long-Term Incentive Plan.</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We summarize below our 2025 grants of plan-based awards for each of our executive officers named in the 2025 Summary Compensation Table.</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2025 GRANTS OF PLAN-BASED AWARDS</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160" w:type="dxa"/>
            <w:vAlign w:val="bottom"/>
            <w:shd w:val="clear" w:color="auto" w:fill="005CB9"/>
          </w:tcPr>
          <w:p>
            <w:pPr>
              <w:spacing w:after="0"/>
              <w:rPr>
                <w:sz w:val="16"/>
                <w:szCs w:val="16"/>
                <w:color w:val="auto"/>
              </w:rPr>
            </w:pPr>
          </w:p>
        </w:tc>
        <w:tc>
          <w:tcPr>
            <w:tcW w:w="1740" w:type="dxa"/>
            <w:vAlign w:val="bottom"/>
            <w:shd w:val="clear" w:color="auto" w:fill="005CB9"/>
          </w:tcPr>
          <w:p>
            <w:pPr>
              <w:spacing w:after="0"/>
              <w:rPr>
                <w:sz w:val="16"/>
                <w:szCs w:val="16"/>
                <w:color w:val="auto"/>
              </w:rPr>
            </w:pPr>
          </w:p>
        </w:tc>
        <w:tc>
          <w:tcPr>
            <w:tcW w:w="660" w:type="dxa"/>
            <w:vAlign w:val="bottom"/>
            <w:shd w:val="clear" w:color="auto" w:fill="005CB9"/>
          </w:tcPr>
          <w:p>
            <w:pPr>
              <w:spacing w:after="0"/>
              <w:rPr>
                <w:sz w:val="16"/>
                <w:szCs w:val="16"/>
                <w:color w:val="auto"/>
              </w:rPr>
            </w:pPr>
          </w:p>
        </w:tc>
        <w:tc>
          <w:tcPr>
            <w:tcW w:w="680" w:type="dxa"/>
            <w:vAlign w:val="bottom"/>
            <w:shd w:val="clear" w:color="auto" w:fill="005CB9"/>
          </w:tcPr>
          <w:p>
            <w:pPr>
              <w:spacing w:after="0"/>
              <w:rPr>
                <w:sz w:val="16"/>
                <w:szCs w:val="16"/>
                <w:color w:val="auto"/>
              </w:rPr>
            </w:pPr>
          </w:p>
        </w:tc>
        <w:tc>
          <w:tcPr>
            <w:tcW w:w="2420" w:type="dxa"/>
            <w:vAlign w:val="bottom"/>
            <w:gridSpan w:val="3"/>
            <w:shd w:val="clear" w:color="auto" w:fill="005CB9"/>
          </w:tcPr>
          <w:p>
            <w:pPr>
              <w:jc w:val="center"/>
              <w:ind w:right="18"/>
              <w:spacing w:after="0"/>
              <w:rPr>
                <w:sz w:val="20"/>
                <w:szCs w:val="20"/>
                <w:color w:val="auto"/>
              </w:rPr>
            </w:pPr>
            <w:r>
              <w:rPr>
                <w:rFonts w:ascii="Arial" w:cs="Arial" w:eastAsia="Arial" w:hAnsi="Arial"/>
                <w:sz w:val="12"/>
                <w:szCs w:val="12"/>
                <w:b w:val="1"/>
                <w:bCs w:val="1"/>
                <w:color w:val="FFFFFF"/>
              </w:rPr>
              <w:t>Estimated Possible Payouts Under</w:t>
            </w:r>
          </w:p>
        </w:tc>
        <w:tc>
          <w:tcPr>
            <w:tcW w:w="2660" w:type="dxa"/>
            <w:vAlign w:val="bottom"/>
            <w:gridSpan w:val="3"/>
            <w:shd w:val="clear" w:color="auto" w:fill="005CB9"/>
          </w:tcPr>
          <w:p>
            <w:pPr>
              <w:jc w:val="center"/>
              <w:spacing w:after="0"/>
              <w:rPr>
                <w:sz w:val="20"/>
                <w:szCs w:val="20"/>
                <w:color w:val="auto"/>
              </w:rPr>
            </w:pPr>
            <w:r>
              <w:rPr>
                <w:rFonts w:ascii="Arial" w:cs="Arial" w:eastAsia="Arial" w:hAnsi="Arial"/>
                <w:sz w:val="12"/>
                <w:szCs w:val="12"/>
                <w:b w:val="1"/>
                <w:bCs w:val="1"/>
                <w:color w:val="FFFFFF"/>
              </w:rPr>
              <w:t>Estimated Future Payouts</w:t>
            </w:r>
          </w:p>
        </w:tc>
        <w:tc>
          <w:tcPr>
            <w:tcW w:w="64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All</w:t>
            </w:r>
          </w:p>
        </w:tc>
        <w:tc>
          <w:tcPr>
            <w:tcW w:w="600" w:type="dxa"/>
            <w:vAlign w:val="bottom"/>
            <w:shd w:val="clear" w:color="auto" w:fill="005CB9"/>
          </w:tcPr>
          <w:p>
            <w:pPr>
              <w:spacing w:after="0"/>
              <w:rPr>
                <w:sz w:val="16"/>
                <w:szCs w:val="16"/>
                <w:color w:val="auto"/>
              </w:rPr>
            </w:pPr>
          </w:p>
        </w:tc>
        <w:tc>
          <w:tcPr>
            <w:tcW w:w="580" w:type="dxa"/>
            <w:vAlign w:val="bottom"/>
            <w:shd w:val="clear" w:color="auto" w:fill="005CB9"/>
          </w:tcPr>
          <w:p>
            <w:pPr>
              <w:spacing w:after="0"/>
              <w:rPr>
                <w:sz w:val="16"/>
                <w:szCs w:val="16"/>
                <w:color w:val="auto"/>
              </w:rPr>
            </w:pPr>
          </w:p>
        </w:tc>
        <w:tc>
          <w:tcPr>
            <w:tcW w:w="780" w:type="dxa"/>
            <w:vAlign w:val="bottom"/>
            <w:shd w:val="clear" w:color="auto" w:fill="005CB9"/>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60" w:type="dxa"/>
            <w:vAlign w:val="bottom"/>
            <w:shd w:val="clear" w:color="auto" w:fill="005CB9"/>
          </w:tcPr>
          <w:p>
            <w:pPr>
              <w:spacing w:after="0"/>
              <w:rPr>
                <w:sz w:val="10"/>
                <w:szCs w:val="10"/>
                <w:color w:val="auto"/>
              </w:rPr>
            </w:pPr>
          </w:p>
        </w:tc>
        <w:tc>
          <w:tcPr>
            <w:tcW w:w="1740" w:type="dxa"/>
            <w:vAlign w:val="bottom"/>
            <w:shd w:val="clear" w:color="auto" w:fill="005CB9"/>
          </w:tcPr>
          <w:p>
            <w:pPr>
              <w:spacing w:after="0"/>
              <w:rPr>
                <w:sz w:val="10"/>
                <w:szCs w:val="10"/>
                <w:color w:val="auto"/>
              </w:rPr>
            </w:pPr>
          </w:p>
        </w:tc>
        <w:tc>
          <w:tcPr>
            <w:tcW w:w="660" w:type="dxa"/>
            <w:vAlign w:val="bottom"/>
            <w:shd w:val="clear" w:color="auto" w:fill="005CB9"/>
          </w:tcPr>
          <w:p>
            <w:pPr>
              <w:spacing w:after="0"/>
              <w:rPr>
                <w:sz w:val="10"/>
                <w:szCs w:val="10"/>
                <w:color w:val="auto"/>
              </w:rPr>
            </w:pPr>
          </w:p>
        </w:tc>
        <w:tc>
          <w:tcPr>
            <w:tcW w:w="680" w:type="dxa"/>
            <w:vAlign w:val="bottom"/>
            <w:shd w:val="clear" w:color="auto" w:fill="005CB9"/>
          </w:tcPr>
          <w:p>
            <w:pPr>
              <w:spacing w:after="0"/>
              <w:rPr>
                <w:sz w:val="10"/>
                <w:szCs w:val="10"/>
                <w:color w:val="auto"/>
              </w:rPr>
            </w:pPr>
          </w:p>
        </w:tc>
        <w:tc>
          <w:tcPr>
            <w:tcW w:w="2420" w:type="dxa"/>
            <w:vAlign w:val="bottom"/>
            <w:gridSpan w:val="3"/>
            <w:shd w:val="clear" w:color="auto" w:fill="005CB9"/>
          </w:tcPr>
          <w:p>
            <w:pPr>
              <w:jc w:val="center"/>
              <w:ind w:right="18"/>
              <w:spacing w:after="0" w:line="122" w:lineRule="exact"/>
              <w:rPr>
                <w:sz w:val="20"/>
                <w:szCs w:val="20"/>
                <w:color w:val="auto"/>
              </w:rPr>
            </w:pPr>
            <w:r>
              <w:rPr>
                <w:rFonts w:ascii="Arial" w:cs="Arial" w:eastAsia="Arial" w:hAnsi="Arial"/>
                <w:sz w:val="12"/>
                <w:szCs w:val="12"/>
                <w:b w:val="1"/>
                <w:bCs w:val="1"/>
                <w:color w:val="FFFFFF"/>
              </w:rPr>
              <w:t>Non-Equity Incentive Plan Awards</w:t>
            </w:r>
          </w:p>
        </w:tc>
        <w:tc>
          <w:tcPr>
            <w:tcW w:w="2660" w:type="dxa"/>
            <w:vAlign w:val="bottom"/>
            <w:gridSpan w:val="3"/>
            <w:shd w:val="clear" w:color="auto" w:fill="005CB9"/>
          </w:tcPr>
          <w:p>
            <w:pPr>
              <w:jc w:val="center"/>
              <w:spacing w:after="0" w:line="122" w:lineRule="exact"/>
              <w:rPr>
                <w:sz w:val="20"/>
                <w:szCs w:val="20"/>
                <w:color w:val="auto"/>
              </w:rPr>
            </w:pPr>
            <w:r>
              <w:rPr>
                <w:rFonts w:ascii="Arial" w:cs="Arial" w:eastAsia="Arial" w:hAnsi="Arial"/>
                <w:sz w:val="12"/>
                <w:szCs w:val="12"/>
                <w:b w:val="1"/>
                <w:bCs w:val="1"/>
                <w:color w:val="FFFFFF"/>
              </w:rPr>
              <w:t>Under Equity Incentive Plan</w:t>
            </w:r>
          </w:p>
        </w:tc>
        <w:tc>
          <w:tcPr>
            <w:tcW w:w="640" w:type="dxa"/>
            <w:vAlign w:val="bottom"/>
            <w:shd w:val="clear" w:color="auto" w:fill="005CB9"/>
          </w:tcPr>
          <w:p>
            <w:pPr>
              <w:jc w:val="center"/>
              <w:spacing w:after="0" w:line="122" w:lineRule="exact"/>
              <w:rPr>
                <w:sz w:val="20"/>
                <w:szCs w:val="20"/>
                <w:color w:val="auto"/>
              </w:rPr>
            </w:pPr>
            <w:r>
              <w:rPr>
                <w:rFonts w:ascii="Arial" w:cs="Arial" w:eastAsia="Arial" w:hAnsi="Arial"/>
                <w:sz w:val="12"/>
                <w:szCs w:val="12"/>
                <w:b w:val="1"/>
                <w:bCs w:val="1"/>
                <w:color w:val="FFFFFF"/>
                <w:w w:val="99"/>
              </w:rPr>
              <w:t>Other</w:t>
            </w:r>
          </w:p>
        </w:tc>
        <w:tc>
          <w:tcPr>
            <w:tcW w:w="1180" w:type="dxa"/>
            <w:vAlign w:val="bottom"/>
            <w:gridSpan w:val="2"/>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Option Awards</w:t>
            </w:r>
          </w:p>
        </w:tc>
        <w:tc>
          <w:tcPr>
            <w:tcW w:w="78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w w:val="99"/>
              </w:rPr>
              <w:t>Grant</w:t>
            </w:r>
          </w:p>
        </w:tc>
        <w:tc>
          <w:tcPr>
            <w:tcW w:w="0" w:type="dxa"/>
            <w:vAlign w:val="bottom"/>
          </w:tcPr>
          <w:p>
            <w:pPr>
              <w:spacing w:after="0"/>
              <w:rPr>
                <w:sz w:val="1"/>
                <w:szCs w:val="1"/>
                <w:color w:val="auto"/>
              </w:rPr>
            </w:pPr>
          </w:p>
        </w:tc>
      </w:tr>
      <w:tr>
        <w:trPr>
          <w:trHeight w:val="132"/>
        </w:trPr>
        <w:tc>
          <w:tcPr>
            <w:tcW w:w="160" w:type="dxa"/>
            <w:vAlign w:val="bottom"/>
            <w:shd w:val="clear" w:color="auto" w:fill="005CB9"/>
          </w:tcPr>
          <w:p>
            <w:pPr>
              <w:spacing w:after="0"/>
              <w:rPr>
                <w:sz w:val="11"/>
                <w:szCs w:val="11"/>
                <w:color w:val="auto"/>
              </w:rPr>
            </w:pPr>
          </w:p>
        </w:tc>
        <w:tc>
          <w:tcPr>
            <w:tcW w:w="1740" w:type="dxa"/>
            <w:vAlign w:val="bottom"/>
            <w:shd w:val="clear" w:color="auto" w:fill="005CB9"/>
          </w:tcPr>
          <w:p>
            <w:pPr>
              <w:spacing w:after="0"/>
              <w:rPr>
                <w:sz w:val="11"/>
                <w:szCs w:val="11"/>
                <w:color w:val="auto"/>
              </w:rPr>
            </w:pPr>
          </w:p>
        </w:tc>
        <w:tc>
          <w:tcPr>
            <w:tcW w:w="660" w:type="dxa"/>
            <w:vAlign w:val="bottom"/>
            <w:shd w:val="clear" w:color="auto" w:fill="005CB9"/>
          </w:tcPr>
          <w:p>
            <w:pPr>
              <w:spacing w:after="0"/>
              <w:rPr>
                <w:sz w:val="11"/>
                <w:szCs w:val="11"/>
                <w:color w:val="auto"/>
              </w:rPr>
            </w:pPr>
          </w:p>
        </w:tc>
        <w:tc>
          <w:tcPr>
            <w:tcW w:w="680" w:type="dxa"/>
            <w:vAlign w:val="bottom"/>
            <w:shd w:val="clear" w:color="auto" w:fill="005CB9"/>
          </w:tcPr>
          <w:p>
            <w:pPr>
              <w:spacing w:after="0"/>
              <w:rPr>
                <w:sz w:val="11"/>
                <w:szCs w:val="11"/>
                <w:color w:val="auto"/>
              </w:rPr>
            </w:pPr>
          </w:p>
        </w:tc>
        <w:tc>
          <w:tcPr>
            <w:tcW w:w="2420" w:type="dxa"/>
            <w:vAlign w:val="bottom"/>
            <w:gridSpan w:val="3"/>
            <w:shd w:val="clear" w:color="auto" w:fill="005CB9"/>
          </w:tcPr>
          <w:p>
            <w:pPr>
              <w:jc w:val="center"/>
              <w:ind w:right="38"/>
              <w:spacing w:after="0" w:line="133" w:lineRule="exact"/>
              <w:rPr>
                <w:sz w:val="20"/>
                <w:szCs w:val="20"/>
                <w:color w:val="auto"/>
              </w:rPr>
            </w:pPr>
            <w:r>
              <w:rPr>
                <w:rFonts w:ascii="Arial" w:cs="Arial" w:eastAsia="Arial" w:hAnsi="Arial"/>
                <w:sz w:val="12"/>
                <w:szCs w:val="12"/>
                <w:b w:val="1"/>
                <w:bCs w:val="1"/>
                <w:color w:val="FFFFFF"/>
              </w:rPr>
              <w:t>(Performance-Based Annual</w:t>
            </w:r>
          </w:p>
        </w:tc>
        <w:tc>
          <w:tcPr>
            <w:tcW w:w="2660" w:type="dxa"/>
            <w:vAlign w:val="bottom"/>
            <w:gridSpan w:val="3"/>
            <w:shd w:val="clear" w:color="auto" w:fill="005CB9"/>
          </w:tcPr>
          <w:p>
            <w:pPr>
              <w:jc w:val="center"/>
              <w:spacing w:after="0" w:line="133" w:lineRule="exact"/>
              <w:rPr>
                <w:sz w:val="20"/>
                <w:szCs w:val="20"/>
                <w:color w:val="auto"/>
              </w:rPr>
            </w:pPr>
            <w:r>
              <w:rPr>
                <w:rFonts w:ascii="Arial" w:cs="Arial" w:eastAsia="Arial" w:hAnsi="Arial"/>
                <w:sz w:val="12"/>
                <w:szCs w:val="12"/>
                <w:b w:val="1"/>
                <w:bCs w:val="1"/>
                <w:color w:val="FFFFFF"/>
              </w:rPr>
              <w:t>Awards (Number of</w:t>
            </w:r>
          </w:p>
        </w:tc>
        <w:tc>
          <w:tcPr>
            <w:tcW w:w="640" w:type="dxa"/>
            <w:vAlign w:val="bottom"/>
            <w:shd w:val="clear" w:color="auto" w:fill="005CB9"/>
          </w:tcPr>
          <w:p>
            <w:pPr>
              <w:jc w:val="center"/>
              <w:spacing w:after="0" w:line="133" w:lineRule="exact"/>
              <w:rPr>
                <w:sz w:val="20"/>
                <w:szCs w:val="20"/>
                <w:color w:val="auto"/>
              </w:rPr>
            </w:pPr>
            <w:r>
              <w:rPr>
                <w:rFonts w:ascii="Arial" w:cs="Arial" w:eastAsia="Arial" w:hAnsi="Arial"/>
                <w:sz w:val="12"/>
                <w:szCs w:val="12"/>
                <w:b w:val="1"/>
                <w:bCs w:val="1"/>
                <w:color w:val="FFFFFF"/>
              </w:rPr>
              <w:t>Stock</w:t>
            </w:r>
          </w:p>
        </w:tc>
        <w:tc>
          <w:tcPr>
            <w:tcW w:w="1180" w:type="dxa"/>
            <w:vAlign w:val="bottom"/>
            <w:gridSpan w:val="2"/>
            <w:vMerge w:val="continue"/>
            <w:shd w:val="clear" w:color="auto" w:fill="005CB9"/>
          </w:tcPr>
          <w:p>
            <w:pPr>
              <w:spacing w:after="0"/>
              <w:rPr>
                <w:sz w:val="11"/>
                <w:szCs w:val="11"/>
                <w:color w:val="auto"/>
              </w:rPr>
            </w:pPr>
          </w:p>
        </w:tc>
        <w:tc>
          <w:tcPr>
            <w:tcW w:w="780" w:type="dxa"/>
            <w:vAlign w:val="bottom"/>
            <w:vMerge w:val="continue"/>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 w:type="dxa"/>
            <w:vAlign w:val="bottom"/>
            <w:shd w:val="clear" w:color="auto" w:fill="005CB9"/>
          </w:tcPr>
          <w:p>
            <w:pPr>
              <w:spacing w:after="0"/>
              <w:rPr>
                <w:sz w:val="13"/>
                <w:szCs w:val="13"/>
                <w:color w:val="auto"/>
              </w:rPr>
            </w:pPr>
          </w:p>
        </w:tc>
        <w:tc>
          <w:tcPr>
            <w:tcW w:w="1740" w:type="dxa"/>
            <w:vAlign w:val="bottom"/>
            <w:shd w:val="clear" w:color="auto" w:fill="005CB9"/>
          </w:tcPr>
          <w:p>
            <w:pPr>
              <w:spacing w:after="0"/>
              <w:rPr>
                <w:sz w:val="13"/>
                <w:szCs w:val="13"/>
                <w:color w:val="auto"/>
              </w:rPr>
            </w:pPr>
          </w:p>
        </w:tc>
        <w:tc>
          <w:tcPr>
            <w:tcW w:w="660" w:type="dxa"/>
            <w:vAlign w:val="bottom"/>
            <w:shd w:val="clear" w:color="auto" w:fill="005CB9"/>
          </w:tcPr>
          <w:p>
            <w:pPr>
              <w:spacing w:after="0"/>
              <w:rPr>
                <w:sz w:val="13"/>
                <w:szCs w:val="13"/>
                <w:color w:val="auto"/>
              </w:rPr>
            </w:pPr>
          </w:p>
        </w:tc>
        <w:tc>
          <w:tcPr>
            <w:tcW w:w="680" w:type="dxa"/>
            <w:vAlign w:val="bottom"/>
            <w:shd w:val="clear" w:color="auto" w:fill="005CB9"/>
          </w:tcPr>
          <w:p>
            <w:pPr>
              <w:spacing w:after="0"/>
              <w:rPr>
                <w:sz w:val="13"/>
                <w:szCs w:val="13"/>
                <w:color w:val="auto"/>
              </w:rPr>
            </w:pPr>
          </w:p>
        </w:tc>
        <w:tc>
          <w:tcPr>
            <w:tcW w:w="780" w:type="dxa"/>
            <w:vAlign w:val="bottom"/>
            <w:shd w:val="clear" w:color="auto" w:fill="005CB9"/>
          </w:tcPr>
          <w:p>
            <w:pPr>
              <w:spacing w:after="0"/>
              <w:rPr>
                <w:sz w:val="13"/>
                <w:szCs w:val="13"/>
                <w:color w:val="auto"/>
              </w:rPr>
            </w:pPr>
          </w:p>
        </w:tc>
        <w:tc>
          <w:tcPr>
            <w:tcW w:w="780" w:type="dxa"/>
            <w:vAlign w:val="bottom"/>
            <w:shd w:val="clear" w:color="auto" w:fill="005CB9"/>
          </w:tcPr>
          <w:p>
            <w:pPr>
              <w:jc w:val="center"/>
              <w:spacing w:after="0" w:line="153" w:lineRule="exact"/>
              <w:rPr>
                <w:sz w:val="20"/>
                <w:szCs w:val="20"/>
                <w:color w:val="auto"/>
              </w:rPr>
            </w:pPr>
            <w:r>
              <w:rPr>
                <w:rFonts w:ascii="Arial" w:cs="Arial" w:eastAsia="Arial" w:hAnsi="Arial"/>
                <w:sz w:val="12"/>
                <w:szCs w:val="12"/>
                <w:b w:val="1"/>
                <w:bCs w:val="1"/>
                <w:color w:val="FFFFFF"/>
                <w:w w:val="98"/>
              </w:rPr>
              <w:t>Bonus)</w:t>
            </w:r>
            <w:r>
              <w:rPr>
                <w:rFonts w:ascii="Arial" w:cs="Arial" w:eastAsia="Arial" w:hAnsi="Arial"/>
                <w:sz w:val="17"/>
                <w:szCs w:val="17"/>
                <w:b w:val="1"/>
                <w:bCs w:val="1"/>
                <w:color w:val="FFFFFF"/>
                <w:w w:val="98"/>
                <w:vertAlign w:val="superscript"/>
              </w:rPr>
              <w:t>(B)</w:t>
            </w:r>
          </w:p>
        </w:tc>
        <w:tc>
          <w:tcPr>
            <w:tcW w:w="86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900" w:type="dxa"/>
            <w:vAlign w:val="bottom"/>
            <w:shd w:val="clear" w:color="auto" w:fill="005CB9"/>
          </w:tcPr>
          <w:p>
            <w:pPr>
              <w:jc w:val="center"/>
              <w:spacing w:after="0" w:line="153" w:lineRule="exact"/>
              <w:rPr>
                <w:sz w:val="20"/>
                <w:szCs w:val="20"/>
                <w:color w:val="auto"/>
              </w:rPr>
            </w:pPr>
            <w:r>
              <w:rPr>
                <w:rFonts w:ascii="Arial" w:cs="Arial" w:eastAsia="Arial" w:hAnsi="Arial"/>
                <w:sz w:val="12"/>
                <w:szCs w:val="12"/>
                <w:b w:val="1"/>
                <w:bCs w:val="1"/>
                <w:color w:val="FFFFFF"/>
                <w:w w:val="93"/>
              </w:rPr>
              <w:t>Shares)</w:t>
            </w:r>
            <w:r>
              <w:rPr>
                <w:rFonts w:ascii="Arial" w:cs="Arial" w:eastAsia="Arial" w:hAnsi="Arial"/>
                <w:sz w:val="17"/>
                <w:szCs w:val="17"/>
                <w:b w:val="1"/>
                <w:bCs w:val="1"/>
                <w:color w:val="FFFFFF"/>
                <w:w w:val="93"/>
                <w:vertAlign w:val="superscript"/>
              </w:rPr>
              <w:t>(C)(E)</w:t>
            </w:r>
          </w:p>
        </w:tc>
        <w:tc>
          <w:tcPr>
            <w:tcW w:w="900" w:type="dxa"/>
            <w:vAlign w:val="bottom"/>
            <w:shd w:val="clear" w:color="auto" w:fill="005CB9"/>
          </w:tcPr>
          <w:p>
            <w:pPr>
              <w:spacing w:after="0"/>
              <w:rPr>
                <w:sz w:val="13"/>
                <w:szCs w:val="13"/>
                <w:color w:val="auto"/>
              </w:rPr>
            </w:pPr>
          </w:p>
        </w:tc>
        <w:tc>
          <w:tcPr>
            <w:tcW w:w="64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Awards</w:t>
            </w:r>
          </w:p>
        </w:tc>
        <w:tc>
          <w:tcPr>
            <w:tcW w:w="1180" w:type="dxa"/>
            <w:vAlign w:val="bottom"/>
            <w:gridSpan w:val="2"/>
            <w:shd w:val="clear" w:color="auto" w:fill="005CB9"/>
          </w:tcPr>
          <w:p>
            <w:pPr>
              <w:jc w:val="center"/>
              <w:spacing w:after="0" w:line="153" w:lineRule="exact"/>
              <w:rPr>
                <w:sz w:val="20"/>
                <w:szCs w:val="20"/>
                <w:color w:val="auto"/>
              </w:rPr>
            </w:pPr>
            <w:r>
              <w:rPr>
                <w:rFonts w:ascii="Arial" w:cs="Arial" w:eastAsia="Arial" w:hAnsi="Arial"/>
                <w:sz w:val="12"/>
                <w:szCs w:val="12"/>
                <w:b w:val="1"/>
                <w:bCs w:val="1"/>
                <w:color w:val="FFFFFF"/>
              </w:rPr>
              <w:t>(Stock Options)</w:t>
            </w:r>
            <w:r>
              <w:rPr>
                <w:rFonts w:ascii="Arial" w:cs="Arial" w:eastAsia="Arial" w:hAnsi="Arial"/>
                <w:sz w:val="17"/>
                <w:szCs w:val="17"/>
                <w:b w:val="1"/>
                <w:bCs w:val="1"/>
                <w:color w:val="FFFFFF"/>
                <w:vertAlign w:val="superscript"/>
              </w:rPr>
              <w:t>(F)</w:t>
            </w:r>
          </w:p>
        </w:tc>
        <w:tc>
          <w:tcPr>
            <w:tcW w:w="78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Date Fair</w:t>
            </w:r>
          </w:p>
        </w:tc>
        <w:tc>
          <w:tcPr>
            <w:tcW w:w="0" w:type="dxa"/>
            <w:vAlign w:val="bottom"/>
          </w:tcPr>
          <w:p>
            <w:pPr>
              <w:spacing w:after="0"/>
              <w:rPr>
                <w:sz w:val="1"/>
                <w:szCs w:val="1"/>
                <w:color w:val="auto"/>
              </w:rPr>
            </w:pPr>
          </w:p>
        </w:tc>
      </w:tr>
      <w:tr>
        <w:trPr>
          <w:trHeight w:val="134"/>
        </w:trPr>
        <w:tc>
          <w:tcPr>
            <w:tcW w:w="160" w:type="dxa"/>
            <w:vAlign w:val="bottom"/>
            <w:shd w:val="clear" w:color="auto" w:fill="005CB9"/>
          </w:tcPr>
          <w:p>
            <w:pPr>
              <w:spacing w:after="0"/>
              <w:rPr>
                <w:sz w:val="11"/>
                <w:szCs w:val="11"/>
                <w:color w:val="auto"/>
              </w:rPr>
            </w:pPr>
          </w:p>
        </w:tc>
        <w:tc>
          <w:tcPr>
            <w:tcW w:w="1740" w:type="dxa"/>
            <w:vAlign w:val="bottom"/>
            <w:shd w:val="clear" w:color="auto" w:fill="005CB9"/>
          </w:tcPr>
          <w:p>
            <w:pPr>
              <w:spacing w:after="0"/>
              <w:rPr>
                <w:sz w:val="11"/>
                <w:szCs w:val="11"/>
                <w:color w:val="auto"/>
              </w:rPr>
            </w:pPr>
          </w:p>
        </w:tc>
        <w:tc>
          <w:tcPr>
            <w:tcW w:w="660" w:type="dxa"/>
            <w:vAlign w:val="bottom"/>
            <w:shd w:val="clear" w:color="auto" w:fill="005CB9"/>
          </w:tcPr>
          <w:p>
            <w:pPr>
              <w:spacing w:after="0"/>
              <w:rPr>
                <w:sz w:val="11"/>
                <w:szCs w:val="11"/>
                <w:color w:val="auto"/>
              </w:rPr>
            </w:pPr>
          </w:p>
        </w:tc>
        <w:tc>
          <w:tcPr>
            <w:tcW w:w="68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Authori-</w:t>
            </w:r>
          </w:p>
        </w:tc>
        <w:tc>
          <w:tcPr>
            <w:tcW w:w="780" w:type="dxa"/>
            <w:vAlign w:val="bottom"/>
            <w:shd w:val="clear" w:color="auto" w:fill="005CB9"/>
          </w:tcPr>
          <w:p>
            <w:pPr>
              <w:spacing w:after="0"/>
              <w:rPr>
                <w:sz w:val="11"/>
                <w:szCs w:val="11"/>
                <w:color w:val="auto"/>
              </w:rPr>
            </w:pPr>
          </w:p>
        </w:tc>
        <w:tc>
          <w:tcPr>
            <w:tcW w:w="780" w:type="dxa"/>
            <w:vAlign w:val="bottom"/>
            <w:shd w:val="clear" w:color="auto" w:fill="005CB9"/>
          </w:tcPr>
          <w:p>
            <w:pPr>
              <w:spacing w:after="0"/>
              <w:rPr>
                <w:sz w:val="11"/>
                <w:szCs w:val="11"/>
                <w:color w:val="auto"/>
              </w:rPr>
            </w:pPr>
          </w:p>
        </w:tc>
        <w:tc>
          <w:tcPr>
            <w:tcW w:w="860" w:type="dxa"/>
            <w:vAlign w:val="bottom"/>
            <w:shd w:val="clear" w:color="auto" w:fill="005CB9"/>
          </w:tcPr>
          <w:p>
            <w:pPr>
              <w:spacing w:after="0"/>
              <w:rPr>
                <w:sz w:val="11"/>
                <w:szCs w:val="11"/>
                <w:color w:val="auto"/>
              </w:rPr>
            </w:pPr>
          </w:p>
        </w:tc>
        <w:tc>
          <w:tcPr>
            <w:tcW w:w="860" w:type="dxa"/>
            <w:vAlign w:val="bottom"/>
            <w:shd w:val="clear" w:color="auto" w:fill="005CB9"/>
          </w:tcPr>
          <w:p>
            <w:pPr>
              <w:spacing w:after="0"/>
              <w:rPr>
                <w:sz w:val="11"/>
                <w:szCs w:val="11"/>
                <w:color w:val="auto"/>
              </w:rPr>
            </w:pPr>
          </w:p>
        </w:tc>
        <w:tc>
          <w:tcPr>
            <w:tcW w:w="900" w:type="dxa"/>
            <w:vAlign w:val="bottom"/>
            <w:shd w:val="clear" w:color="auto" w:fill="005CB9"/>
          </w:tcPr>
          <w:p>
            <w:pPr>
              <w:spacing w:after="0"/>
              <w:rPr>
                <w:sz w:val="11"/>
                <w:szCs w:val="11"/>
                <w:color w:val="auto"/>
              </w:rPr>
            </w:pPr>
          </w:p>
        </w:tc>
        <w:tc>
          <w:tcPr>
            <w:tcW w:w="900" w:type="dxa"/>
            <w:vAlign w:val="bottom"/>
            <w:shd w:val="clear" w:color="auto" w:fill="005CB9"/>
          </w:tcPr>
          <w:p>
            <w:pPr>
              <w:spacing w:after="0"/>
              <w:rPr>
                <w:sz w:val="11"/>
                <w:szCs w:val="11"/>
                <w:color w:val="auto"/>
              </w:rPr>
            </w:pPr>
          </w:p>
        </w:tc>
        <w:tc>
          <w:tcPr>
            <w:tcW w:w="640" w:type="dxa"/>
            <w:vAlign w:val="bottom"/>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(Number</w:t>
            </w:r>
          </w:p>
        </w:tc>
        <w:tc>
          <w:tcPr>
            <w:tcW w:w="60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Number</w:t>
            </w:r>
          </w:p>
        </w:tc>
        <w:tc>
          <w:tcPr>
            <w:tcW w:w="580" w:type="dxa"/>
            <w:vAlign w:val="bottom"/>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Exercise</w:t>
            </w:r>
          </w:p>
        </w:tc>
        <w:tc>
          <w:tcPr>
            <w:tcW w:w="780" w:type="dxa"/>
            <w:vAlign w:val="bottom"/>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Value of</w:t>
            </w:r>
          </w:p>
        </w:tc>
        <w:tc>
          <w:tcPr>
            <w:tcW w:w="0" w:type="dxa"/>
            <w:vAlign w:val="bottom"/>
          </w:tcPr>
          <w:p>
            <w:pPr>
              <w:spacing w:after="0"/>
              <w:rPr>
                <w:sz w:val="1"/>
                <w:szCs w:val="1"/>
                <w:color w:val="auto"/>
              </w:rPr>
            </w:pPr>
          </w:p>
        </w:tc>
      </w:tr>
      <w:tr>
        <w:trPr>
          <w:trHeight w:val="120"/>
        </w:trPr>
        <w:tc>
          <w:tcPr>
            <w:tcW w:w="160" w:type="dxa"/>
            <w:vAlign w:val="bottom"/>
            <w:shd w:val="clear" w:color="auto" w:fill="005CB9"/>
          </w:tcPr>
          <w:p>
            <w:pPr>
              <w:spacing w:after="0"/>
              <w:rPr>
                <w:sz w:val="10"/>
                <w:szCs w:val="10"/>
                <w:color w:val="auto"/>
              </w:rPr>
            </w:pPr>
          </w:p>
        </w:tc>
        <w:tc>
          <w:tcPr>
            <w:tcW w:w="1740" w:type="dxa"/>
            <w:vAlign w:val="bottom"/>
            <w:shd w:val="clear" w:color="auto" w:fill="005CB9"/>
          </w:tcPr>
          <w:p>
            <w:pPr>
              <w:spacing w:after="0"/>
              <w:rPr>
                <w:sz w:val="10"/>
                <w:szCs w:val="10"/>
                <w:color w:val="auto"/>
              </w:rPr>
            </w:pPr>
          </w:p>
        </w:tc>
        <w:tc>
          <w:tcPr>
            <w:tcW w:w="660" w:type="dxa"/>
            <w:vAlign w:val="bottom"/>
            <w:shd w:val="clear" w:color="auto" w:fill="005CB9"/>
          </w:tcPr>
          <w:p>
            <w:pPr>
              <w:spacing w:after="0"/>
              <w:rPr>
                <w:sz w:val="10"/>
                <w:szCs w:val="10"/>
                <w:color w:val="auto"/>
              </w:rPr>
            </w:pPr>
          </w:p>
        </w:tc>
        <w:tc>
          <w:tcPr>
            <w:tcW w:w="680" w:type="dxa"/>
            <w:vAlign w:val="bottom"/>
            <w:vMerge w:val="continue"/>
            <w:shd w:val="clear" w:color="auto" w:fill="005CB9"/>
          </w:tcPr>
          <w:p>
            <w:pPr>
              <w:spacing w:after="0"/>
              <w:rPr>
                <w:sz w:val="10"/>
                <w:szCs w:val="10"/>
                <w:color w:val="auto"/>
              </w:rPr>
            </w:pPr>
          </w:p>
        </w:tc>
        <w:tc>
          <w:tcPr>
            <w:tcW w:w="780" w:type="dxa"/>
            <w:vAlign w:val="bottom"/>
            <w:shd w:val="clear" w:color="auto" w:fill="005CB9"/>
          </w:tcPr>
          <w:p>
            <w:pPr>
              <w:spacing w:after="0"/>
              <w:rPr>
                <w:sz w:val="10"/>
                <w:szCs w:val="10"/>
                <w:color w:val="auto"/>
              </w:rPr>
            </w:pPr>
          </w:p>
        </w:tc>
        <w:tc>
          <w:tcPr>
            <w:tcW w:w="780" w:type="dxa"/>
            <w:vAlign w:val="bottom"/>
            <w:shd w:val="clear" w:color="auto" w:fill="005CB9"/>
          </w:tcPr>
          <w:p>
            <w:pPr>
              <w:spacing w:after="0"/>
              <w:rPr>
                <w:sz w:val="10"/>
                <w:szCs w:val="10"/>
                <w:color w:val="auto"/>
              </w:rPr>
            </w:pPr>
          </w:p>
        </w:tc>
        <w:tc>
          <w:tcPr>
            <w:tcW w:w="860" w:type="dxa"/>
            <w:vAlign w:val="bottom"/>
            <w:shd w:val="clear" w:color="auto" w:fill="005CB9"/>
          </w:tcPr>
          <w:p>
            <w:pPr>
              <w:spacing w:after="0"/>
              <w:rPr>
                <w:sz w:val="10"/>
                <w:szCs w:val="10"/>
                <w:color w:val="auto"/>
              </w:rPr>
            </w:pPr>
          </w:p>
        </w:tc>
        <w:tc>
          <w:tcPr>
            <w:tcW w:w="860" w:type="dxa"/>
            <w:vAlign w:val="bottom"/>
            <w:shd w:val="clear" w:color="auto" w:fill="005CB9"/>
          </w:tcPr>
          <w:p>
            <w:pPr>
              <w:spacing w:after="0"/>
              <w:rPr>
                <w:sz w:val="10"/>
                <w:szCs w:val="10"/>
                <w:color w:val="auto"/>
              </w:rPr>
            </w:pPr>
          </w:p>
        </w:tc>
        <w:tc>
          <w:tcPr>
            <w:tcW w:w="900" w:type="dxa"/>
            <w:vAlign w:val="bottom"/>
            <w:shd w:val="clear" w:color="auto" w:fill="005CB9"/>
          </w:tcPr>
          <w:p>
            <w:pPr>
              <w:spacing w:after="0"/>
              <w:rPr>
                <w:sz w:val="10"/>
                <w:szCs w:val="10"/>
                <w:color w:val="auto"/>
              </w:rPr>
            </w:pPr>
          </w:p>
        </w:tc>
        <w:tc>
          <w:tcPr>
            <w:tcW w:w="900" w:type="dxa"/>
            <w:vAlign w:val="bottom"/>
            <w:shd w:val="clear" w:color="auto" w:fill="005CB9"/>
          </w:tcPr>
          <w:p>
            <w:pPr>
              <w:spacing w:after="0"/>
              <w:rPr>
                <w:sz w:val="10"/>
                <w:szCs w:val="10"/>
                <w:color w:val="auto"/>
              </w:rPr>
            </w:pPr>
          </w:p>
        </w:tc>
        <w:tc>
          <w:tcPr>
            <w:tcW w:w="640" w:type="dxa"/>
            <w:vAlign w:val="bottom"/>
            <w:shd w:val="clear" w:color="auto" w:fill="005CB9"/>
          </w:tcPr>
          <w:p>
            <w:pPr>
              <w:jc w:val="center"/>
              <w:spacing w:after="0" w:line="121" w:lineRule="exact"/>
              <w:rPr>
                <w:sz w:val="20"/>
                <w:szCs w:val="20"/>
                <w:color w:val="auto"/>
              </w:rPr>
            </w:pPr>
            <w:r>
              <w:rPr>
                <w:rFonts w:ascii="Arial" w:cs="Arial" w:eastAsia="Arial" w:hAnsi="Arial"/>
                <w:sz w:val="12"/>
                <w:szCs w:val="12"/>
                <w:b w:val="1"/>
                <w:bCs w:val="1"/>
                <w:color w:val="FFFFFF"/>
              </w:rPr>
              <w:t>of</w:t>
            </w:r>
          </w:p>
        </w:tc>
        <w:tc>
          <w:tcPr>
            <w:tcW w:w="600" w:type="dxa"/>
            <w:vAlign w:val="bottom"/>
            <w:vMerge w:val="continue"/>
            <w:shd w:val="clear" w:color="auto" w:fill="005CB9"/>
          </w:tcPr>
          <w:p>
            <w:pPr>
              <w:spacing w:after="0"/>
              <w:rPr>
                <w:sz w:val="10"/>
                <w:szCs w:val="10"/>
                <w:color w:val="auto"/>
              </w:rPr>
            </w:pPr>
          </w:p>
        </w:tc>
        <w:tc>
          <w:tcPr>
            <w:tcW w:w="580" w:type="dxa"/>
            <w:vAlign w:val="bottom"/>
            <w:shd w:val="clear" w:color="auto" w:fill="005CB9"/>
          </w:tcPr>
          <w:p>
            <w:pPr>
              <w:jc w:val="center"/>
              <w:spacing w:after="0" w:line="121" w:lineRule="exact"/>
              <w:rPr>
                <w:sz w:val="20"/>
                <w:szCs w:val="20"/>
                <w:color w:val="auto"/>
              </w:rPr>
            </w:pPr>
            <w:r>
              <w:rPr>
                <w:rFonts w:ascii="Arial" w:cs="Arial" w:eastAsia="Arial" w:hAnsi="Arial"/>
                <w:sz w:val="12"/>
                <w:szCs w:val="12"/>
                <w:b w:val="1"/>
                <w:bCs w:val="1"/>
                <w:color w:val="FFFFFF"/>
              </w:rPr>
              <w:t>Price</w:t>
            </w:r>
          </w:p>
        </w:tc>
        <w:tc>
          <w:tcPr>
            <w:tcW w:w="780" w:type="dxa"/>
            <w:vAlign w:val="bottom"/>
            <w:shd w:val="clear" w:color="auto" w:fill="005CB9"/>
          </w:tcPr>
          <w:p>
            <w:pPr>
              <w:jc w:val="center"/>
              <w:spacing w:after="0" w:line="121" w:lineRule="exact"/>
              <w:rPr>
                <w:sz w:val="20"/>
                <w:szCs w:val="20"/>
                <w:color w:val="auto"/>
              </w:rPr>
            </w:pPr>
            <w:r>
              <w:rPr>
                <w:rFonts w:ascii="Arial" w:cs="Arial" w:eastAsia="Arial" w:hAnsi="Arial"/>
                <w:sz w:val="12"/>
                <w:szCs w:val="12"/>
                <w:b w:val="1"/>
                <w:bCs w:val="1"/>
                <w:color w:val="FFFFFF"/>
              </w:rPr>
              <w:t>Stock and</w:t>
            </w:r>
          </w:p>
        </w:tc>
        <w:tc>
          <w:tcPr>
            <w:tcW w:w="0" w:type="dxa"/>
            <w:vAlign w:val="bottom"/>
          </w:tcPr>
          <w:p>
            <w:pPr>
              <w:spacing w:after="0"/>
              <w:rPr>
                <w:sz w:val="1"/>
                <w:szCs w:val="1"/>
                <w:color w:val="auto"/>
              </w:rPr>
            </w:pPr>
          </w:p>
        </w:tc>
      </w:tr>
      <w:tr>
        <w:trPr>
          <w:trHeight w:val="147"/>
        </w:trPr>
        <w:tc>
          <w:tcPr>
            <w:tcW w:w="160" w:type="dxa"/>
            <w:vAlign w:val="bottom"/>
            <w:shd w:val="clear" w:color="auto" w:fill="005CB9"/>
          </w:tcPr>
          <w:p>
            <w:pPr>
              <w:spacing w:after="0"/>
              <w:rPr>
                <w:sz w:val="12"/>
                <w:szCs w:val="12"/>
                <w:color w:val="auto"/>
              </w:rPr>
            </w:pPr>
          </w:p>
        </w:tc>
        <w:tc>
          <w:tcPr>
            <w:tcW w:w="1740" w:type="dxa"/>
            <w:vAlign w:val="bottom"/>
            <w:shd w:val="clear" w:color="auto" w:fill="005CB9"/>
          </w:tcPr>
          <w:p>
            <w:pPr>
              <w:spacing w:after="0"/>
              <w:rPr>
                <w:sz w:val="12"/>
                <w:szCs w:val="12"/>
                <w:color w:val="auto"/>
              </w:rPr>
            </w:pPr>
          </w:p>
        </w:tc>
        <w:tc>
          <w:tcPr>
            <w:tcW w:w="660" w:type="dxa"/>
            <w:vAlign w:val="bottom"/>
            <w:shd w:val="clear" w:color="auto" w:fill="005CB9"/>
          </w:tcPr>
          <w:p>
            <w:pPr>
              <w:ind w:left="180"/>
              <w:spacing w:after="0"/>
              <w:rPr>
                <w:sz w:val="20"/>
                <w:szCs w:val="20"/>
                <w:color w:val="auto"/>
              </w:rPr>
            </w:pPr>
            <w:r>
              <w:rPr>
                <w:rFonts w:ascii="Arial" w:cs="Arial" w:eastAsia="Arial" w:hAnsi="Arial"/>
                <w:sz w:val="12"/>
                <w:szCs w:val="12"/>
                <w:b w:val="1"/>
                <w:bCs w:val="1"/>
                <w:color w:val="FFFFFF"/>
              </w:rPr>
              <w:t>Grant</w:t>
            </w:r>
          </w:p>
        </w:tc>
        <w:tc>
          <w:tcPr>
            <w:tcW w:w="68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zation</w:t>
            </w:r>
          </w:p>
        </w:tc>
        <w:tc>
          <w:tcPr>
            <w:tcW w:w="780" w:type="dxa"/>
            <w:vAlign w:val="bottom"/>
            <w:shd w:val="clear" w:color="auto" w:fill="005CB9"/>
          </w:tcPr>
          <w:p>
            <w:pPr>
              <w:spacing w:after="0"/>
              <w:rPr>
                <w:sz w:val="12"/>
                <w:szCs w:val="12"/>
                <w:color w:val="auto"/>
              </w:rPr>
            </w:pPr>
          </w:p>
        </w:tc>
        <w:tc>
          <w:tcPr>
            <w:tcW w:w="780" w:type="dxa"/>
            <w:vAlign w:val="bottom"/>
            <w:shd w:val="clear" w:color="auto" w:fill="005CB9"/>
          </w:tcPr>
          <w:p>
            <w:pPr>
              <w:spacing w:after="0"/>
              <w:rPr>
                <w:sz w:val="12"/>
                <w:szCs w:val="12"/>
                <w:color w:val="auto"/>
              </w:rPr>
            </w:pPr>
          </w:p>
        </w:tc>
        <w:tc>
          <w:tcPr>
            <w:tcW w:w="860" w:type="dxa"/>
            <w:vAlign w:val="bottom"/>
            <w:shd w:val="clear" w:color="auto" w:fill="005CB9"/>
          </w:tcPr>
          <w:p>
            <w:pPr>
              <w:spacing w:after="0"/>
              <w:rPr>
                <w:sz w:val="12"/>
                <w:szCs w:val="12"/>
                <w:color w:val="auto"/>
              </w:rPr>
            </w:pPr>
          </w:p>
        </w:tc>
        <w:tc>
          <w:tcPr>
            <w:tcW w:w="860" w:type="dxa"/>
            <w:vAlign w:val="bottom"/>
            <w:shd w:val="clear" w:color="auto" w:fill="005CB9"/>
          </w:tcPr>
          <w:p>
            <w:pPr>
              <w:spacing w:after="0"/>
              <w:rPr>
                <w:sz w:val="12"/>
                <w:szCs w:val="12"/>
                <w:color w:val="auto"/>
              </w:rPr>
            </w:pPr>
          </w:p>
        </w:tc>
        <w:tc>
          <w:tcPr>
            <w:tcW w:w="900" w:type="dxa"/>
            <w:vAlign w:val="bottom"/>
            <w:shd w:val="clear" w:color="auto" w:fill="005CB9"/>
          </w:tcPr>
          <w:p>
            <w:pPr>
              <w:spacing w:after="0"/>
              <w:rPr>
                <w:sz w:val="12"/>
                <w:szCs w:val="12"/>
                <w:color w:val="auto"/>
              </w:rPr>
            </w:pPr>
          </w:p>
        </w:tc>
        <w:tc>
          <w:tcPr>
            <w:tcW w:w="900" w:type="dxa"/>
            <w:vAlign w:val="bottom"/>
            <w:shd w:val="clear" w:color="auto" w:fill="005CB9"/>
          </w:tcPr>
          <w:p>
            <w:pPr>
              <w:spacing w:after="0"/>
              <w:rPr>
                <w:sz w:val="12"/>
                <w:szCs w:val="12"/>
                <w:color w:val="auto"/>
              </w:rPr>
            </w:pPr>
          </w:p>
        </w:tc>
        <w:tc>
          <w:tcPr>
            <w:tcW w:w="64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w w:val="99"/>
              </w:rPr>
              <w:t>Shares)</w:t>
            </w:r>
          </w:p>
        </w:tc>
        <w:tc>
          <w:tcPr>
            <w:tcW w:w="60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of</w:t>
            </w:r>
          </w:p>
        </w:tc>
        <w:tc>
          <w:tcPr>
            <w:tcW w:w="58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w w:val="96"/>
              </w:rPr>
              <w:t>per</w:t>
            </w:r>
          </w:p>
        </w:tc>
        <w:tc>
          <w:tcPr>
            <w:tcW w:w="78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Option</w:t>
            </w:r>
          </w:p>
        </w:tc>
        <w:tc>
          <w:tcPr>
            <w:tcW w:w="0" w:type="dxa"/>
            <w:vAlign w:val="bottom"/>
          </w:tcPr>
          <w:p>
            <w:pPr>
              <w:spacing w:after="0"/>
              <w:rPr>
                <w:sz w:val="1"/>
                <w:szCs w:val="1"/>
                <w:color w:val="auto"/>
              </w:rPr>
            </w:pPr>
          </w:p>
        </w:tc>
      </w:tr>
      <w:tr>
        <w:trPr>
          <w:trHeight w:val="107"/>
        </w:trPr>
        <w:tc>
          <w:tcPr>
            <w:tcW w:w="160" w:type="dxa"/>
            <w:vAlign w:val="bottom"/>
            <w:shd w:val="clear" w:color="auto" w:fill="005CB9"/>
          </w:tcPr>
          <w:p>
            <w:pPr>
              <w:spacing w:after="0"/>
              <w:rPr>
                <w:sz w:val="9"/>
                <w:szCs w:val="9"/>
                <w:color w:val="auto"/>
              </w:rPr>
            </w:pPr>
          </w:p>
        </w:tc>
        <w:tc>
          <w:tcPr>
            <w:tcW w:w="1740" w:type="dxa"/>
            <w:vAlign w:val="bottom"/>
            <w:shd w:val="clear" w:color="auto" w:fill="005CB9"/>
          </w:tcPr>
          <w:p>
            <w:pPr>
              <w:spacing w:after="0"/>
              <w:rPr>
                <w:sz w:val="9"/>
                <w:szCs w:val="9"/>
                <w:color w:val="auto"/>
              </w:rPr>
            </w:pPr>
          </w:p>
        </w:tc>
        <w:tc>
          <w:tcPr>
            <w:tcW w:w="660" w:type="dxa"/>
            <w:vAlign w:val="bottom"/>
            <w:shd w:val="clear" w:color="auto" w:fill="005CB9"/>
          </w:tcPr>
          <w:p>
            <w:pPr>
              <w:ind w:left="420"/>
              <w:spacing w:after="0"/>
              <w:rPr>
                <w:sz w:val="20"/>
                <w:szCs w:val="20"/>
                <w:color w:val="auto"/>
              </w:rPr>
            </w:pPr>
            <w:r>
              <w:rPr>
                <w:rFonts w:ascii="Arial" w:cs="Arial" w:eastAsia="Arial" w:hAnsi="Arial"/>
                <w:sz w:val="9"/>
                <w:szCs w:val="9"/>
                <w:b w:val="1"/>
                <w:bCs w:val="1"/>
                <w:color w:val="FFFFFF"/>
              </w:rPr>
              <w:t>(A)</w:t>
            </w:r>
          </w:p>
        </w:tc>
        <w:tc>
          <w:tcPr>
            <w:tcW w:w="680" w:type="dxa"/>
            <w:vAlign w:val="bottom"/>
            <w:shd w:val="clear" w:color="auto" w:fill="005CB9"/>
          </w:tcPr>
          <w:p>
            <w:pPr>
              <w:ind w:left="400"/>
              <w:spacing w:after="0"/>
              <w:rPr>
                <w:sz w:val="20"/>
                <w:szCs w:val="20"/>
                <w:color w:val="auto"/>
              </w:rPr>
            </w:pPr>
            <w:r>
              <w:rPr>
                <w:rFonts w:ascii="Arial" w:cs="Arial" w:eastAsia="Arial" w:hAnsi="Arial"/>
                <w:sz w:val="9"/>
                <w:szCs w:val="9"/>
                <w:b w:val="1"/>
                <w:bCs w:val="1"/>
                <w:color w:val="FFFFFF"/>
              </w:rPr>
              <w:t>(A)</w:t>
            </w:r>
          </w:p>
        </w:tc>
        <w:tc>
          <w:tcPr>
            <w:tcW w:w="780" w:type="dxa"/>
            <w:vAlign w:val="bottom"/>
            <w:vMerge w:val="restart"/>
            <w:shd w:val="clear" w:color="auto" w:fill="005CB9"/>
          </w:tcPr>
          <w:p>
            <w:pPr>
              <w:ind w:left="80"/>
              <w:spacing w:after="0"/>
              <w:rPr>
                <w:sz w:val="20"/>
                <w:szCs w:val="20"/>
                <w:color w:val="auto"/>
              </w:rPr>
            </w:pPr>
            <w:r>
              <w:rPr>
                <w:rFonts w:ascii="Arial" w:cs="Arial" w:eastAsia="Arial" w:hAnsi="Arial"/>
                <w:sz w:val="12"/>
                <w:szCs w:val="12"/>
                <w:b w:val="1"/>
                <w:bCs w:val="1"/>
                <w:color w:val="FFFFFF"/>
              </w:rPr>
              <w:t>Threshold</w:t>
            </w:r>
          </w:p>
        </w:tc>
        <w:tc>
          <w:tcPr>
            <w:tcW w:w="78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Target</w:t>
            </w:r>
          </w:p>
        </w:tc>
        <w:tc>
          <w:tcPr>
            <w:tcW w:w="860" w:type="dxa"/>
            <w:vAlign w:val="bottom"/>
            <w:vMerge w:val="restart"/>
            <w:shd w:val="clear" w:color="auto" w:fill="005CB9"/>
          </w:tcPr>
          <w:p>
            <w:pPr>
              <w:ind w:left="100"/>
              <w:spacing w:after="0"/>
              <w:rPr>
                <w:sz w:val="20"/>
                <w:szCs w:val="20"/>
                <w:color w:val="auto"/>
              </w:rPr>
            </w:pPr>
            <w:r>
              <w:rPr>
                <w:rFonts w:ascii="Arial" w:cs="Arial" w:eastAsia="Arial" w:hAnsi="Arial"/>
                <w:sz w:val="12"/>
                <w:szCs w:val="12"/>
                <w:b w:val="1"/>
                <w:bCs w:val="1"/>
                <w:color w:val="FFFFFF"/>
              </w:rPr>
              <w:t>Maximum</w:t>
            </w:r>
          </w:p>
        </w:tc>
        <w:tc>
          <w:tcPr>
            <w:tcW w:w="860" w:type="dxa"/>
            <w:vAlign w:val="bottom"/>
            <w:vMerge w:val="restart"/>
            <w:shd w:val="clear" w:color="auto" w:fill="005CB9"/>
          </w:tcPr>
          <w:p>
            <w:pPr>
              <w:jc w:val="right"/>
              <w:ind w:right="38"/>
              <w:spacing w:after="0"/>
              <w:rPr>
                <w:sz w:val="20"/>
                <w:szCs w:val="20"/>
                <w:color w:val="auto"/>
              </w:rPr>
            </w:pPr>
            <w:r>
              <w:rPr>
                <w:rFonts w:ascii="Arial" w:cs="Arial" w:eastAsia="Arial" w:hAnsi="Arial"/>
                <w:sz w:val="12"/>
                <w:szCs w:val="12"/>
                <w:b w:val="1"/>
                <w:bCs w:val="1"/>
                <w:color w:val="FFFFFF"/>
              </w:rPr>
              <w:t>Threshold</w:t>
            </w:r>
          </w:p>
        </w:tc>
        <w:tc>
          <w:tcPr>
            <w:tcW w:w="900" w:type="dxa"/>
            <w:vAlign w:val="bottom"/>
            <w:vMerge w:val="restart"/>
            <w:shd w:val="clear" w:color="auto" w:fill="005CB9"/>
          </w:tcPr>
          <w:p>
            <w:pPr>
              <w:ind w:left="220"/>
              <w:spacing w:after="0"/>
              <w:rPr>
                <w:sz w:val="20"/>
                <w:szCs w:val="20"/>
                <w:color w:val="auto"/>
              </w:rPr>
            </w:pPr>
            <w:r>
              <w:rPr>
                <w:rFonts w:ascii="Arial" w:cs="Arial" w:eastAsia="Arial" w:hAnsi="Arial"/>
                <w:sz w:val="12"/>
                <w:szCs w:val="12"/>
                <w:b w:val="1"/>
                <w:bCs w:val="1"/>
                <w:color w:val="FFFFFF"/>
              </w:rPr>
              <w:t>Target</w:t>
            </w:r>
          </w:p>
        </w:tc>
        <w:tc>
          <w:tcPr>
            <w:tcW w:w="900" w:type="dxa"/>
            <w:vAlign w:val="bottom"/>
            <w:vMerge w:val="restart"/>
            <w:shd w:val="clear" w:color="auto" w:fill="005CB9"/>
          </w:tcPr>
          <w:p>
            <w:pPr>
              <w:jc w:val="right"/>
              <w:ind w:right="178"/>
              <w:spacing w:after="0"/>
              <w:rPr>
                <w:sz w:val="20"/>
                <w:szCs w:val="20"/>
                <w:color w:val="auto"/>
              </w:rPr>
            </w:pPr>
            <w:r>
              <w:rPr>
                <w:rFonts w:ascii="Arial" w:cs="Arial" w:eastAsia="Arial" w:hAnsi="Arial"/>
                <w:sz w:val="12"/>
                <w:szCs w:val="12"/>
                <w:b w:val="1"/>
                <w:bCs w:val="1"/>
                <w:color w:val="FFFFFF"/>
              </w:rPr>
              <w:t>Maximum</w:t>
            </w:r>
          </w:p>
        </w:tc>
        <w:tc>
          <w:tcPr>
            <w:tcW w:w="640" w:type="dxa"/>
            <w:vAlign w:val="bottom"/>
            <w:shd w:val="clear" w:color="auto" w:fill="005CB9"/>
          </w:tcPr>
          <w:p>
            <w:pPr>
              <w:jc w:val="center"/>
              <w:spacing w:after="0"/>
              <w:rPr>
                <w:sz w:val="20"/>
                <w:szCs w:val="20"/>
                <w:color w:val="auto"/>
              </w:rPr>
            </w:pPr>
            <w:r>
              <w:rPr>
                <w:rFonts w:ascii="Arial" w:cs="Arial" w:eastAsia="Arial" w:hAnsi="Arial"/>
                <w:sz w:val="9"/>
                <w:szCs w:val="9"/>
                <w:b w:val="1"/>
                <w:bCs w:val="1"/>
                <w:color w:val="FFFFFF"/>
                <w:w w:val="97"/>
              </w:rPr>
              <w:t>(D)(E)</w:t>
            </w:r>
          </w:p>
        </w:tc>
        <w:tc>
          <w:tcPr>
            <w:tcW w:w="60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Shares</w:t>
            </w:r>
          </w:p>
        </w:tc>
        <w:tc>
          <w:tcPr>
            <w:tcW w:w="58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Share</w:t>
            </w:r>
          </w:p>
        </w:tc>
        <w:tc>
          <w:tcPr>
            <w:tcW w:w="780" w:type="dxa"/>
            <w:vAlign w:val="bottom"/>
            <w:shd w:val="clear" w:color="auto" w:fill="005CB9"/>
          </w:tcPr>
          <w:p>
            <w:pPr>
              <w:jc w:val="center"/>
              <w:spacing w:after="0" w:line="107" w:lineRule="exact"/>
              <w:rPr>
                <w:sz w:val="20"/>
                <w:szCs w:val="20"/>
                <w:color w:val="auto"/>
              </w:rPr>
            </w:pPr>
            <w:r>
              <w:rPr>
                <w:rFonts w:ascii="Arial" w:cs="Arial" w:eastAsia="Arial" w:hAnsi="Arial"/>
                <w:sz w:val="9"/>
                <w:szCs w:val="9"/>
                <w:b w:val="1"/>
                <w:bCs w:val="1"/>
                <w:color w:val="FFFFFF"/>
              </w:rPr>
              <w:t>Awards</w:t>
            </w:r>
            <w:r>
              <w:rPr>
                <w:rFonts w:ascii="Arial" w:cs="Arial" w:eastAsia="Arial" w:hAnsi="Arial"/>
                <w:sz w:val="12"/>
                <w:szCs w:val="12"/>
                <w:b w:val="1"/>
                <w:bCs w:val="1"/>
                <w:color w:val="FFFFFF"/>
                <w:vertAlign w:val="superscript"/>
              </w:rPr>
              <w:t>(G)</w:t>
            </w:r>
          </w:p>
        </w:tc>
        <w:tc>
          <w:tcPr>
            <w:tcW w:w="0" w:type="dxa"/>
            <w:vAlign w:val="bottom"/>
          </w:tcPr>
          <w:p>
            <w:pPr>
              <w:spacing w:after="0"/>
              <w:rPr>
                <w:sz w:val="1"/>
                <w:szCs w:val="1"/>
                <w:color w:val="auto"/>
              </w:rPr>
            </w:pPr>
          </w:p>
        </w:tc>
      </w:tr>
      <w:tr>
        <w:trPr>
          <w:trHeight w:val="107"/>
        </w:trPr>
        <w:tc>
          <w:tcPr>
            <w:tcW w:w="160" w:type="dxa"/>
            <w:vAlign w:val="bottom"/>
            <w:shd w:val="clear" w:color="auto" w:fill="005CB9"/>
          </w:tcPr>
          <w:p>
            <w:pPr>
              <w:spacing w:after="0"/>
              <w:rPr>
                <w:sz w:val="9"/>
                <w:szCs w:val="9"/>
                <w:color w:val="auto"/>
              </w:rPr>
            </w:pPr>
          </w:p>
        </w:tc>
        <w:tc>
          <w:tcPr>
            <w:tcW w:w="1740" w:type="dxa"/>
            <w:vAlign w:val="bottom"/>
            <w:shd w:val="clear" w:color="auto" w:fill="005CB9"/>
          </w:tcPr>
          <w:p>
            <w:pPr>
              <w:spacing w:after="0"/>
              <w:rPr>
                <w:sz w:val="9"/>
                <w:szCs w:val="9"/>
                <w:color w:val="auto"/>
              </w:rPr>
            </w:pPr>
          </w:p>
        </w:tc>
        <w:tc>
          <w:tcPr>
            <w:tcW w:w="660" w:type="dxa"/>
            <w:vAlign w:val="bottom"/>
            <w:shd w:val="clear" w:color="auto" w:fill="005CB9"/>
          </w:tcPr>
          <w:p>
            <w:pPr>
              <w:ind w:left="140"/>
              <w:spacing w:after="0" w:line="107" w:lineRule="exact"/>
              <w:rPr>
                <w:sz w:val="20"/>
                <w:szCs w:val="20"/>
                <w:color w:val="auto"/>
              </w:rPr>
            </w:pPr>
            <w:r>
              <w:rPr>
                <w:rFonts w:ascii="Arial" w:cs="Arial" w:eastAsia="Arial" w:hAnsi="Arial"/>
                <w:sz w:val="12"/>
                <w:szCs w:val="12"/>
                <w:b w:val="1"/>
                <w:bCs w:val="1"/>
                <w:color w:val="FFFFFF"/>
              </w:rPr>
              <w:t>Date</w:t>
            </w:r>
          </w:p>
        </w:tc>
        <w:tc>
          <w:tcPr>
            <w:tcW w:w="680" w:type="dxa"/>
            <w:vAlign w:val="bottom"/>
            <w:shd w:val="clear" w:color="auto" w:fill="005CB9"/>
          </w:tcPr>
          <w:p>
            <w:pPr>
              <w:ind w:left="120"/>
              <w:spacing w:after="0" w:line="107" w:lineRule="exact"/>
              <w:rPr>
                <w:sz w:val="20"/>
                <w:szCs w:val="20"/>
                <w:color w:val="auto"/>
              </w:rPr>
            </w:pPr>
            <w:r>
              <w:rPr>
                <w:rFonts w:ascii="Arial" w:cs="Arial" w:eastAsia="Arial" w:hAnsi="Arial"/>
                <w:sz w:val="12"/>
                <w:szCs w:val="12"/>
                <w:b w:val="1"/>
                <w:bCs w:val="1"/>
                <w:color w:val="FFFFFF"/>
              </w:rPr>
              <w:t>Date</w:t>
            </w:r>
          </w:p>
        </w:tc>
        <w:tc>
          <w:tcPr>
            <w:tcW w:w="780" w:type="dxa"/>
            <w:vAlign w:val="bottom"/>
            <w:vMerge w:val="continue"/>
            <w:shd w:val="clear" w:color="auto" w:fill="005CB9"/>
          </w:tcPr>
          <w:p>
            <w:pPr>
              <w:spacing w:after="0"/>
              <w:rPr>
                <w:sz w:val="9"/>
                <w:szCs w:val="9"/>
                <w:color w:val="auto"/>
              </w:rPr>
            </w:pPr>
          </w:p>
        </w:tc>
        <w:tc>
          <w:tcPr>
            <w:tcW w:w="780" w:type="dxa"/>
            <w:vAlign w:val="bottom"/>
            <w:vMerge w:val="continue"/>
            <w:shd w:val="clear" w:color="auto" w:fill="005CB9"/>
          </w:tcPr>
          <w:p>
            <w:pPr>
              <w:spacing w:after="0"/>
              <w:rPr>
                <w:sz w:val="9"/>
                <w:szCs w:val="9"/>
                <w:color w:val="auto"/>
              </w:rPr>
            </w:pPr>
          </w:p>
        </w:tc>
        <w:tc>
          <w:tcPr>
            <w:tcW w:w="860" w:type="dxa"/>
            <w:vAlign w:val="bottom"/>
            <w:vMerge w:val="continue"/>
            <w:shd w:val="clear" w:color="auto" w:fill="005CB9"/>
          </w:tcPr>
          <w:p>
            <w:pPr>
              <w:spacing w:after="0"/>
              <w:rPr>
                <w:sz w:val="9"/>
                <w:szCs w:val="9"/>
                <w:color w:val="auto"/>
              </w:rPr>
            </w:pPr>
          </w:p>
        </w:tc>
        <w:tc>
          <w:tcPr>
            <w:tcW w:w="860" w:type="dxa"/>
            <w:vAlign w:val="bottom"/>
            <w:vMerge w:val="continue"/>
            <w:shd w:val="clear" w:color="auto" w:fill="005CB9"/>
          </w:tcPr>
          <w:p>
            <w:pPr>
              <w:spacing w:after="0"/>
              <w:rPr>
                <w:sz w:val="9"/>
                <w:szCs w:val="9"/>
                <w:color w:val="auto"/>
              </w:rPr>
            </w:pPr>
          </w:p>
        </w:tc>
        <w:tc>
          <w:tcPr>
            <w:tcW w:w="900" w:type="dxa"/>
            <w:vAlign w:val="bottom"/>
            <w:vMerge w:val="continue"/>
            <w:shd w:val="clear" w:color="auto" w:fill="005CB9"/>
          </w:tcPr>
          <w:p>
            <w:pPr>
              <w:spacing w:after="0"/>
              <w:rPr>
                <w:sz w:val="9"/>
                <w:szCs w:val="9"/>
                <w:color w:val="auto"/>
              </w:rPr>
            </w:pPr>
          </w:p>
        </w:tc>
        <w:tc>
          <w:tcPr>
            <w:tcW w:w="900" w:type="dxa"/>
            <w:vAlign w:val="bottom"/>
            <w:vMerge w:val="continue"/>
            <w:shd w:val="clear" w:color="auto" w:fill="005CB9"/>
          </w:tcPr>
          <w:p>
            <w:pPr>
              <w:spacing w:after="0"/>
              <w:rPr>
                <w:sz w:val="9"/>
                <w:szCs w:val="9"/>
                <w:color w:val="auto"/>
              </w:rPr>
            </w:pPr>
          </w:p>
        </w:tc>
        <w:tc>
          <w:tcPr>
            <w:tcW w:w="640" w:type="dxa"/>
            <w:vAlign w:val="bottom"/>
            <w:shd w:val="clear" w:color="auto" w:fill="005CB9"/>
          </w:tcPr>
          <w:p>
            <w:pPr>
              <w:spacing w:after="0"/>
              <w:rPr>
                <w:sz w:val="9"/>
                <w:szCs w:val="9"/>
                <w:color w:val="auto"/>
              </w:rPr>
            </w:pPr>
          </w:p>
        </w:tc>
        <w:tc>
          <w:tcPr>
            <w:tcW w:w="600" w:type="dxa"/>
            <w:vAlign w:val="bottom"/>
            <w:vMerge w:val="continue"/>
            <w:shd w:val="clear" w:color="auto" w:fill="005CB9"/>
          </w:tcPr>
          <w:p>
            <w:pPr>
              <w:spacing w:after="0"/>
              <w:rPr>
                <w:sz w:val="9"/>
                <w:szCs w:val="9"/>
                <w:color w:val="auto"/>
              </w:rPr>
            </w:pPr>
          </w:p>
        </w:tc>
        <w:tc>
          <w:tcPr>
            <w:tcW w:w="580" w:type="dxa"/>
            <w:vAlign w:val="bottom"/>
            <w:vMerge w:val="continue"/>
            <w:shd w:val="clear" w:color="auto" w:fill="005CB9"/>
          </w:tcPr>
          <w:p>
            <w:pPr>
              <w:spacing w:after="0"/>
              <w:rPr>
                <w:sz w:val="9"/>
                <w:szCs w:val="9"/>
                <w:color w:val="auto"/>
              </w:rPr>
            </w:pPr>
          </w:p>
        </w:tc>
        <w:tc>
          <w:tcPr>
            <w:tcW w:w="780" w:type="dxa"/>
            <w:vAlign w:val="bottom"/>
            <w:shd w:val="clear" w:color="auto" w:fill="005CB9"/>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900" w:type="dxa"/>
            <w:vAlign w:val="bottom"/>
            <w:tcBorders>
              <w:bottom w:val="single" w:sz="8" w:color="7F7F7F"/>
            </w:tcBorders>
            <w:gridSpan w:val="2"/>
          </w:tcPr>
          <w:p>
            <w:pPr>
              <w:ind w:left="80"/>
              <w:spacing w:after="0"/>
              <w:rPr>
                <w:sz w:val="20"/>
                <w:szCs w:val="20"/>
                <w:color w:val="auto"/>
              </w:rPr>
            </w:pPr>
            <w:r>
              <w:rPr>
                <w:rFonts w:ascii="Arial" w:cs="Arial" w:eastAsia="Arial" w:hAnsi="Arial"/>
                <w:sz w:val="12"/>
                <w:szCs w:val="12"/>
                <w:b w:val="1"/>
                <w:bCs w:val="1"/>
                <w:color w:val="auto"/>
              </w:rPr>
              <w:t>Jeffrey W. Martin</w:t>
            </w:r>
          </w:p>
        </w:tc>
        <w:tc>
          <w:tcPr>
            <w:tcW w:w="660" w:type="dxa"/>
            <w:vAlign w:val="bottom"/>
            <w:tcBorders>
              <w:bottom w:val="single" w:sz="8" w:color="7F7F7F"/>
            </w:tcBorders>
          </w:tcPr>
          <w:p>
            <w:pPr>
              <w:spacing w:after="0"/>
              <w:rPr>
                <w:sz w:val="18"/>
                <w:szCs w:val="18"/>
                <w:color w:val="auto"/>
              </w:rPr>
            </w:pPr>
          </w:p>
        </w:tc>
        <w:tc>
          <w:tcPr>
            <w:tcW w:w="68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spacing w:after="0"/>
              <w:rPr>
                <w:sz w:val="18"/>
                <w:szCs w:val="18"/>
                <w:color w:val="auto"/>
              </w:rPr>
            </w:pPr>
          </w:p>
        </w:tc>
        <w:tc>
          <w:tcPr>
            <w:tcW w:w="860" w:type="dxa"/>
            <w:vAlign w:val="bottom"/>
            <w:tcBorders>
              <w:bottom w:val="single" w:sz="8" w:color="7F7F7F"/>
            </w:tcBorders>
          </w:tcPr>
          <w:p>
            <w:pPr>
              <w:spacing w:after="0"/>
              <w:rPr>
                <w:sz w:val="18"/>
                <w:szCs w:val="18"/>
                <w:color w:val="auto"/>
              </w:rPr>
            </w:pPr>
          </w:p>
        </w:tc>
        <w:tc>
          <w:tcPr>
            <w:tcW w:w="86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640" w:type="dxa"/>
            <w:vAlign w:val="bottom"/>
            <w:tcBorders>
              <w:bottom w:val="single" w:sz="8" w:color="7F7F7F"/>
            </w:tcBorders>
          </w:tcPr>
          <w:p>
            <w:pPr>
              <w:spacing w:after="0"/>
              <w:rPr>
                <w:sz w:val="18"/>
                <w:szCs w:val="18"/>
                <w:color w:val="auto"/>
              </w:rPr>
            </w:pPr>
          </w:p>
        </w:tc>
        <w:tc>
          <w:tcPr>
            <w:tcW w:w="600" w:type="dxa"/>
            <w:vAlign w:val="bottom"/>
            <w:tcBorders>
              <w:bottom w:val="single" w:sz="8" w:color="7F7F7F"/>
            </w:tcBorders>
          </w:tcPr>
          <w:p>
            <w:pPr>
              <w:spacing w:after="0"/>
              <w:rPr>
                <w:sz w:val="18"/>
                <w:szCs w:val="18"/>
                <w:color w:val="auto"/>
              </w:rPr>
            </w:pPr>
          </w:p>
        </w:tc>
        <w:tc>
          <w:tcPr>
            <w:tcW w:w="580" w:type="dxa"/>
            <w:vAlign w:val="bottom"/>
            <w:tcBorders>
              <w:bottom w:val="single" w:sz="8" w:color="7F7F7F"/>
            </w:tcBorders>
          </w:tcPr>
          <w:p>
            <w:pPr>
              <w:spacing w:after="0"/>
              <w:rPr>
                <w:sz w:val="18"/>
                <w:szCs w:val="18"/>
                <w:color w:val="auto"/>
              </w:rPr>
            </w:pPr>
          </w:p>
        </w:tc>
        <w:tc>
          <w:tcPr>
            <w:tcW w:w="780" w:type="dxa"/>
            <w:vAlign w:val="bottom"/>
            <w:tcBorders>
              <w:bottom w:val="single" w:sz="8" w:color="7F7F7F"/>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90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Performance-based</w:t>
            </w:r>
          </w:p>
        </w:tc>
        <w:tc>
          <w:tcPr>
            <w:tcW w:w="660" w:type="dxa"/>
            <w:vAlign w:val="bottom"/>
            <w:shd w:val="clear" w:color="auto" w:fill="F2F2F2"/>
          </w:tcPr>
          <w:p>
            <w:pPr>
              <w:ind w:left="160"/>
              <w:spacing w:after="0"/>
              <w:rPr>
                <w:sz w:val="20"/>
                <w:szCs w:val="20"/>
                <w:color w:val="auto"/>
              </w:rPr>
            </w:pPr>
            <w:r>
              <w:rPr>
                <w:rFonts w:ascii="Arial" w:cs="Arial" w:eastAsia="Arial" w:hAnsi="Arial"/>
                <w:sz w:val="12"/>
                <w:szCs w:val="12"/>
                <w:color w:val="auto"/>
              </w:rPr>
              <w:t>1/02/25</w:t>
            </w:r>
          </w:p>
        </w:tc>
        <w:tc>
          <w:tcPr>
            <w:tcW w:w="680" w:type="dxa"/>
            <w:vAlign w:val="bottom"/>
            <w:shd w:val="clear" w:color="auto" w:fill="F2F2F2"/>
          </w:tcPr>
          <w:p>
            <w:pPr>
              <w:ind w:left="120"/>
              <w:spacing w:after="0"/>
              <w:rPr>
                <w:sz w:val="20"/>
                <w:szCs w:val="20"/>
                <w:color w:val="auto"/>
              </w:rPr>
            </w:pPr>
            <w:r>
              <w:rPr>
                <w:rFonts w:ascii="Arial" w:cs="Arial" w:eastAsia="Arial" w:hAnsi="Arial"/>
                <w:sz w:val="12"/>
                <w:szCs w:val="12"/>
                <w:color w:val="auto"/>
              </w:rPr>
              <w:t>11/08/24</w:t>
            </w:r>
          </w:p>
        </w:tc>
        <w:tc>
          <w:tcPr>
            <w:tcW w:w="78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860" w:type="dxa"/>
            <w:vAlign w:val="bottom"/>
            <w:shd w:val="clear" w:color="auto" w:fill="F2F2F2"/>
          </w:tcPr>
          <w:p>
            <w:pPr>
              <w:spacing w:after="0"/>
              <w:rPr>
                <w:sz w:val="14"/>
                <w:szCs w:val="14"/>
                <w:color w:val="auto"/>
              </w:rPr>
            </w:pPr>
          </w:p>
        </w:tc>
        <w:tc>
          <w:tcPr>
            <w:tcW w:w="860" w:type="dxa"/>
            <w:vAlign w:val="bottom"/>
            <w:shd w:val="clear" w:color="auto" w:fill="F2F2F2"/>
          </w:tcPr>
          <w:p>
            <w:pPr>
              <w:jc w:val="right"/>
              <w:ind w:right="118"/>
              <w:spacing w:after="0"/>
              <w:rPr>
                <w:sz w:val="20"/>
                <w:szCs w:val="20"/>
                <w:color w:val="auto"/>
              </w:rPr>
            </w:pPr>
            <w:r>
              <w:rPr>
                <w:rFonts w:ascii="Arial" w:cs="Arial" w:eastAsia="Arial" w:hAnsi="Arial"/>
                <w:sz w:val="12"/>
                <w:szCs w:val="12"/>
                <w:color w:val="auto"/>
              </w:rPr>
              <w:t>9,199</w:t>
            </w:r>
          </w:p>
        </w:tc>
        <w:tc>
          <w:tcPr>
            <w:tcW w:w="90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36,796</w:t>
            </w:r>
          </w:p>
        </w:tc>
        <w:tc>
          <w:tcPr>
            <w:tcW w:w="900" w:type="dxa"/>
            <w:vAlign w:val="bottom"/>
            <w:shd w:val="clear" w:color="auto" w:fill="F2F2F2"/>
          </w:tcPr>
          <w:p>
            <w:pPr>
              <w:jc w:val="right"/>
              <w:ind w:right="218"/>
              <w:spacing w:after="0"/>
              <w:rPr>
                <w:sz w:val="20"/>
                <w:szCs w:val="20"/>
                <w:color w:val="auto"/>
              </w:rPr>
            </w:pPr>
            <w:r>
              <w:rPr>
                <w:rFonts w:ascii="Arial" w:cs="Arial" w:eastAsia="Arial" w:hAnsi="Arial"/>
                <w:sz w:val="12"/>
                <w:szCs w:val="12"/>
                <w:color w:val="auto"/>
              </w:rPr>
              <w:t>73,592</w:t>
            </w:r>
          </w:p>
        </w:tc>
        <w:tc>
          <w:tcPr>
            <w:tcW w:w="64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580" w:type="dxa"/>
            <w:vAlign w:val="bottom"/>
            <w:shd w:val="clear" w:color="auto" w:fill="F2F2F2"/>
          </w:tcPr>
          <w:p>
            <w:pPr>
              <w:spacing w:after="0"/>
              <w:rPr>
                <w:sz w:val="14"/>
                <w:szCs w:val="14"/>
                <w:color w:val="auto"/>
              </w:rPr>
            </w:pPr>
          </w:p>
        </w:tc>
        <w:tc>
          <w:tcPr>
            <w:tcW w:w="7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$ 3,557,989</w:t>
            </w:r>
          </w:p>
        </w:tc>
        <w:tc>
          <w:tcPr>
            <w:tcW w:w="0" w:type="dxa"/>
            <w:vAlign w:val="bottom"/>
          </w:tcPr>
          <w:p>
            <w:pPr>
              <w:spacing w:after="0"/>
              <w:rPr>
                <w:sz w:val="1"/>
                <w:szCs w:val="1"/>
                <w:color w:val="auto"/>
              </w:rPr>
            </w:pPr>
          </w:p>
        </w:tc>
      </w:tr>
      <w:tr>
        <w:trPr>
          <w:trHeight w:val="134"/>
        </w:trPr>
        <w:tc>
          <w:tcPr>
            <w:tcW w:w="160" w:type="dxa"/>
            <w:vAlign w:val="bottom"/>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shd w:val="clear" w:color="auto" w:fill="F2F2F2"/>
          </w:tcPr>
          <w:p>
            <w:pPr>
              <w:ind w:left="40"/>
              <w:spacing w:after="0" w:line="134" w:lineRule="exact"/>
              <w:rPr>
                <w:sz w:val="20"/>
                <w:szCs w:val="20"/>
                <w:color w:val="auto"/>
              </w:rPr>
            </w:pPr>
            <w:r>
              <w:rPr>
                <w:rFonts w:ascii="Arial" w:cs="Arial" w:eastAsia="Arial" w:hAnsi="Arial"/>
                <w:sz w:val="12"/>
                <w:szCs w:val="12"/>
                <w:color w:val="auto"/>
              </w:rPr>
              <w:t>Restricted Stock</w:t>
            </w:r>
          </w:p>
        </w:tc>
        <w:tc>
          <w:tcPr>
            <w:tcW w:w="660" w:type="dxa"/>
            <w:vAlign w:val="bottom"/>
            <w:shd w:val="clear" w:color="auto" w:fill="F2F2F2"/>
          </w:tcPr>
          <w:p>
            <w:pPr>
              <w:spacing w:after="0"/>
              <w:rPr>
                <w:sz w:val="11"/>
                <w:szCs w:val="11"/>
                <w:color w:val="auto"/>
              </w:rPr>
            </w:pPr>
          </w:p>
        </w:tc>
        <w:tc>
          <w:tcPr>
            <w:tcW w:w="6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0" w:type="dxa"/>
            <w:vAlign w:val="bottom"/>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shd w:val="clear" w:color="auto" w:fill="F2F2F2"/>
          </w:tcPr>
          <w:p>
            <w:pPr>
              <w:ind w:left="40"/>
              <w:spacing w:after="0" w:line="134" w:lineRule="exact"/>
              <w:rPr>
                <w:sz w:val="20"/>
                <w:szCs w:val="20"/>
                <w:color w:val="auto"/>
              </w:rPr>
            </w:pPr>
            <w:r>
              <w:rPr>
                <w:rFonts w:ascii="Arial" w:cs="Arial" w:eastAsia="Arial" w:hAnsi="Arial"/>
                <w:sz w:val="12"/>
                <w:szCs w:val="12"/>
                <w:color w:val="auto"/>
              </w:rPr>
              <w:t>Units (PBRSU)</w:t>
            </w:r>
          </w:p>
        </w:tc>
        <w:tc>
          <w:tcPr>
            <w:tcW w:w="660" w:type="dxa"/>
            <w:vAlign w:val="bottom"/>
            <w:shd w:val="clear" w:color="auto" w:fill="F2F2F2"/>
          </w:tcPr>
          <w:p>
            <w:pPr>
              <w:spacing w:after="0"/>
              <w:rPr>
                <w:sz w:val="11"/>
                <w:szCs w:val="11"/>
                <w:color w:val="auto"/>
              </w:rPr>
            </w:pPr>
          </w:p>
        </w:tc>
        <w:tc>
          <w:tcPr>
            <w:tcW w:w="6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900" w:type="dxa"/>
            <w:vAlign w:val="bottom"/>
            <w:gridSpan w:val="2"/>
            <w:shd w:val="clear" w:color="auto" w:fill="F2F2F2"/>
          </w:tcPr>
          <w:p>
            <w:pPr>
              <w:ind w:left="80"/>
              <w:spacing w:after="0" w:line="134" w:lineRule="exact"/>
              <w:rPr>
                <w:sz w:val="20"/>
                <w:szCs w:val="20"/>
                <w:color w:val="auto"/>
              </w:rPr>
            </w:pPr>
            <w:r>
              <w:rPr>
                <w:rFonts w:ascii="Arial" w:cs="Arial" w:eastAsia="Arial" w:hAnsi="Arial"/>
                <w:sz w:val="12"/>
                <w:szCs w:val="12"/>
                <w:color w:val="auto"/>
              </w:rPr>
              <w:t>   based on TSR vs.</w:t>
            </w:r>
          </w:p>
        </w:tc>
        <w:tc>
          <w:tcPr>
            <w:tcW w:w="660" w:type="dxa"/>
            <w:vAlign w:val="bottom"/>
            <w:shd w:val="clear" w:color="auto" w:fill="F2F2F2"/>
          </w:tcPr>
          <w:p>
            <w:pPr>
              <w:spacing w:after="0"/>
              <w:rPr>
                <w:sz w:val="11"/>
                <w:szCs w:val="11"/>
                <w:color w:val="auto"/>
              </w:rPr>
            </w:pPr>
          </w:p>
        </w:tc>
        <w:tc>
          <w:tcPr>
            <w:tcW w:w="6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0" w:type="dxa"/>
            <w:vAlign w:val="bottom"/>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shd w:val="clear" w:color="auto" w:fill="F2F2F2"/>
          </w:tcPr>
          <w:p>
            <w:pPr>
              <w:ind w:left="40"/>
              <w:spacing w:after="0" w:line="134" w:lineRule="exact"/>
              <w:rPr>
                <w:sz w:val="20"/>
                <w:szCs w:val="20"/>
                <w:color w:val="auto"/>
              </w:rPr>
            </w:pPr>
            <w:r>
              <w:rPr>
                <w:rFonts w:ascii="Arial" w:cs="Arial" w:eastAsia="Arial" w:hAnsi="Arial"/>
                <w:sz w:val="12"/>
                <w:szCs w:val="12"/>
                <w:color w:val="auto"/>
              </w:rPr>
              <w:t>S&amp;P 500 Utilities</w:t>
            </w:r>
          </w:p>
        </w:tc>
        <w:tc>
          <w:tcPr>
            <w:tcW w:w="660" w:type="dxa"/>
            <w:vAlign w:val="bottom"/>
            <w:shd w:val="clear" w:color="auto" w:fill="F2F2F2"/>
          </w:tcPr>
          <w:p>
            <w:pPr>
              <w:spacing w:after="0"/>
              <w:rPr>
                <w:sz w:val="11"/>
                <w:szCs w:val="11"/>
                <w:color w:val="auto"/>
              </w:rPr>
            </w:pPr>
          </w:p>
        </w:tc>
        <w:tc>
          <w:tcPr>
            <w:tcW w:w="6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2"/>
                <w:szCs w:val="12"/>
                <w:color w:val="auto"/>
              </w:rPr>
              <w:t>Index</w:t>
            </w:r>
          </w:p>
        </w:tc>
        <w:tc>
          <w:tcPr>
            <w:tcW w:w="660" w:type="dxa"/>
            <w:vAlign w:val="bottom"/>
            <w:tcBorders>
              <w:bottom w:val="single" w:sz="8" w:color="F2F2F2"/>
            </w:tcBorders>
            <w:shd w:val="clear" w:color="auto" w:fill="F2F2F2"/>
          </w:tcPr>
          <w:p>
            <w:pPr>
              <w:spacing w:after="0"/>
              <w:rPr>
                <w:sz w:val="16"/>
                <w:szCs w:val="16"/>
                <w:color w:val="auto"/>
              </w:rPr>
            </w:pPr>
          </w:p>
        </w:tc>
        <w:tc>
          <w:tcPr>
            <w:tcW w:w="68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640" w:type="dxa"/>
            <w:vAlign w:val="bottom"/>
            <w:tcBorders>
              <w:bottom w:val="single" w:sz="8" w:color="F2F2F2"/>
            </w:tcBorders>
            <w:shd w:val="clear" w:color="auto" w:fill="F2F2F2"/>
          </w:tcPr>
          <w:p>
            <w:pPr>
              <w:spacing w:after="0"/>
              <w:rPr>
                <w:sz w:val="16"/>
                <w:szCs w:val="16"/>
                <w:color w:val="auto"/>
              </w:rPr>
            </w:pPr>
          </w:p>
        </w:tc>
        <w:tc>
          <w:tcPr>
            <w:tcW w:w="600" w:type="dxa"/>
            <w:vAlign w:val="bottom"/>
            <w:tcBorders>
              <w:bottom w:val="single" w:sz="8" w:color="F2F2F2"/>
            </w:tcBorders>
            <w:shd w:val="clear" w:color="auto" w:fill="F2F2F2"/>
          </w:tcPr>
          <w:p>
            <w:pPr>
              <w:spacing w:after="0"/>
              <w:rPr>
                <w:sz w:val="16"/>
                <w:szCs w:val="16"/>
                <w:color w:val="auto"/>
              </w:rPr>
            </w:pPr>
          </w:p>
        </w:tc>
        <w:tc>
          <w:tcPr>
            <w:tcW w:w="58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0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PBRSU based on</w:t>
            </w:r>
          </w:p>
        </w:tc>
        <w:tc>
          <w:tcPr>
            <w:tcW w:w="660" w:type="dxa"/>
            <w:vAlign w:val="bottom"/>
            <w:tcBorders>
              <w:top w:val="single" w:sz="8" w:color="7F7F7F"/>
            </w:tcBorders>
          </w:tcPr>
          <w:p>
            <w:pPr>
              <w:ind w:left="160"/>
              <w:spacing w:after="0"/>
              <w:rPr>
                <w:sz w:val="20"/>
                <w:szCs w:val="20"/>
                <w:color w:val="auto"/>
              </w:rPr>
            </w:pPr>
            <w:r>
              <w:rPr>
                <w:rFonts w:ascii="Arial" w:cs="Arial" w:eastAsia="Arial" w:hAnsi="Arial"/>
                <w:sz w:val="12"/>
                <w:szCs w:val="12"/>
                <w:color w:val="auto"/>
              </w:rPr>
              <w:t>1/02/25</w:t>
            </w:r>
          </w:p>
        </w:tc>
        <w:tc>
          <w:tcPr>
            <w:tcW w:w="680" w:type="dxa"/>
            <w:vAlign w:val="bottom"/>
            <w:tcBorders>
              <w:top w:val="single" w:sz="8" w:color="7F7F7F"/>
            </w:tcBorders>
          </w:tcPr>
          <w:p>
            <w:pPr>
              <w:ind w:left="120"/>
              <w:spacing w:after="0"/>
              <w:rPr>
                <w:sz w:val="20"/>
                <w:szCs w:val="20"/>
                <w:color w:val="auto"/>
              </w:rPr>
            </w:pPr>
            <w:r>
              <w:rPr>
                <w:rFonts w:ascii="Arial" w:cs="Arial" w:eastAsia="Arial" w:hAnsi="Arial"/>
                <w:sz w:val="12"/>
                <w:szCs w:val="12"/>
                <w:color w:val="auto"/>
              </w:rPr>
              <w:t>11/08/24</w:t>
            </w:r>
          </w:p>
        </w:tc>
        <w:tc>
          <w:tcPr>
            <w:tcW w:w="780" w:type="dxa"/>
            <w:vAlign w:val="bottom"/>
            <w:tcBorders>
              <w:top w:val="single" w:sz="8" w:color="7F7F7F"/>
            </w:tcBorders>
          </w:tcPr>
          <w:p>
            <w:pPr>
              <w:spacing w:after="0"/>
              <w:rPr>
                <w:sz w:val="15"/>
                <w:szCs w:val="15"/>
                <w:color w:val="auto"/>
              </w:rPr>
            </w:pPr>
          </w:p>
        </w:tc>
        <w:tc>
          <w:tcPr>
            <w:tcW w:w="780" w:type="dxa"/>
            <w:vAlign w:val="bottom"/>
            <w:tcBorders>
              <w:top w:val="single" w:sz="8" w:color="7F7F7F"/>
            </w:tcBorders>
          </w:tcPr>
          <w:p>
            <w:pPr>
              <w:spacing w:after="0"/>
              <w:rPr>
                <w:sz w:val="15"/>
                <w:szCs w:val="15"/>
                <w:color w:val="auto"/>
              </w:rPr>
            </w:pPr>
          </w:p>
        </w:tc>
        <w:tc>
          <w:tcPr>
            <w:tcW w:w="860" w:type="dxa"/>
            <w:vAlign w:val="bottom"/>
            <w:tcBorders>
              <w:top w:val="single" w:sz="8" w:color="7F7F7F"/>
            </w:tcBorders>
          </w:tcPr>
          <w:p>
            <w:pPr>
              <w:spacing w:after="0"/>
              <w:rPr>
                <w:sz w:val="15"/>
                <w:szCs w:val="15"/>
                <w:color w:val="auto"/>
              </w:rPr>
            </w:pPr>
          </w:p>
        </w:tc>
        <w:tc>
          <w:tcPr>
            <w:tcW w:w="860" w:type="dxa"/>
            <w:vAlign w:val="bottom"/>
            <w:tcBorders>
              <w:top w:val="single" w:sz="8" w:color="7F7F7F"/>
            </w:tcBorders>
          </w:tcPr>
          <w:p>
            <w:pPr>
              <w:jc w:val="right"/>
              <w:ind w:right="118"/>
              <w:spacing w:after="0"/>
              <w:rPr>
                <w:sz w:val="20"/>
                <w:szCs w:val="20"/>
                <w:color w:val="auto"/>
              </w:rPr>
            </w:pPr>
            <w:r>
              <w:rPr>
                <w:rFonts w:ascii="Arial" w:cs="Arial" w:eastAsia="Arial" w:hAnsi="Arial"/>
                <w:sz w:val="12"/>
                <w:szCs w:val="12"/>
                <w:color w:val="auto"/>
              </w:rPr>
              <w:t>3,943</w:t>
            </w:r>
          </w:p>
        </w:tc>
        <w:tc>
          <w:tcPr>
            <w:tcW w:w="900" w:type="dxa"/>
            <w:vAlign w:val="bottom"/>
            <w:tcBorders>
              <w:top w:val="single" w:sz="8" w:color="7F7F7F"/>
            </w:tcBorders>
          </w:tcPr>
          <w:p>
            <w:pPr>
              <w:jc w:val="center"/>
              <w:spacing w:after="0"/>
              <w:rPr>
                <w:sz w:val="20"/>
                <w:szCs w:val="20"/>
                <w:color w:val="auto"/>
              </w:rPr>
            </w:pPr>
            <w:r>
              <w:rPr>
                <w:rFonts w:ascii="Arial" w:cs="Arial" w:eastAsia="Arial" w:hAnsi="Arial"/>
                <w:sz w:val="12"/>
                <w:szCs w:val="12"/>
                <w:color w:val="auto"/>
              </w:rPr>
              <w:t>15,770</w:t>
            </w:r>
          </w:p>
        </w:tc>
        <w:tc>
          <w:tcPr>
            <w:tcW w:w="900" w:type="dxa"/>
            <w:vAlign w:val="bottom"/>
            <w:tcBorders>
              <w:top w:val="single" w:sz="8" w:color="7F7F7F"/>
            </w:tcBorders>
          </w:tcPr>
          <w:p>
            <w:pPr>
              <w:jc w:val="right"/>
              <w:ind w:right="218"/>
              <w:spacing w:after="0"/>
              <w:rPr>
                <w:sz w:val="20"/>
                <w:szCs w:val="20"/>
                <w:color w:val="auto"/>
              </w:rPr>
            </w:pPr>
            <w:r>
              <w:rPr>
                <w:rFonts w:ascii="Arial" w:cs="Arial" w:eastAsia="Arial" w:hAnsi="Arial"/>
                <w:sz w:val="12"/>
                <w:szCs w:val="12"/>
                <w:color w:val="auto"/>
              </w:rPr>
              <w:t>31,540</w:t>
            </w:r>
          </w:p>
        </w:tc>
        <w:tc>
          <w:tcPr>
            <w:tcW w:w="640" w:type="dxa"/>
            <w:vAlign w:val="bottom"/>
            <w:tcBorders>
              <w:top w:val="single" w:sz="8" w:color="7F7F7F"/>
            </w:tcBorders>
          </w:tcPr>
          <w:p>
            <w:pPr>
              <w:spacing w:after="0"/>
              <w:rPr>
                <w:sz w:val="15"/>
                <w:szCs w:val="15"/>
                <w:color w:val="auto"/>
              </w:rPr>
            </w:pPr>
          </w:p>
        </w:tc>
        <w:tc>
          <w:tcPr>
            <w:tcW w:w="600" w:type="dxa"/>
            <w:vAlign w:val="bottom"/>
            <w:tcBorders>
              <w:top w:val="single" w:sz="8" w:color="7F7F7F"/>
            </w:tcBorders>
          </w:tcPr>
          <w:p>
            <w:pPr>
              <w:spacing w:after="0"/>
              <w:rPr>
                <w:sz w:val="15"/>
                <w:szCs w:val="15"/>
                <w:color w:val="auto"/>
              </w:rPr>
            </w:pPr>
          </w:p>
        </w:tc>
        <w:tc>
          <w:tcPr>
            <w:tcW w:w="580" w:type="dxa"/>
            <w:vAlign w:val="bottom"/>
            <w:tcBorders>
              <w:top w:val="single" w:sz="8" w:color="7F7F7F"/>
            </w:tcBorders>
          </w:tcPr>
          <w:p>
            <w:pPr>
              <w:spacing w:after="0"/>
              <w:rPr>
                <w:sz w:val="15"/>
                <w:szCs w:val="15"/>
                <w:color w:val="auto"/>
              </w:rPr>
            </w:pPr>
          </w:p>
        </w:tc>
        <w:tc>
          <w:tcPr>
            <w:tcW w:w="780" w:type="dxa"/>
            <w:vAlign w:val="bottom"/>
            <w:tcBorders>
              <w:top w:val="single" w:sz="8" w:color="7F7F7F"/>
            </w:tcBorders>
          </w:tcPr>
          <w:p>
            <w:pPr>
              <w:jc w:val="center"/>
              <w:spacing w:after="0"/>
              <w:rPr>
                <w:sz w:val="20"/>
                <w:szCs w:val="20"/>
                <w:color w:val="auto"/>
              </w:rPr>
            </w:pPr>
            <w:r>
              <w:rPr>
                <w:rFonts w:ascii="Arial" w:cs="Arial" w:eastAsia="Arial" w:hAnsi="Arial"/>
                <w:sz w:val="12"/>
                <w:szCs w:val="12"/>
                <w:color w:val="auto"/>
              </w:rPr>
              <w:t>$ 1,735,851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2169795</wp:posOffset>
            </wp:positionH>
            <wp:positionV relativeFrom="paragraph">
              <wp:posOffset>-1226820</wp:posOffset>
            </wp:positionV>
            <wp:extent cx="43649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364990" cy="8255"/>
                    </a:xfrm>
                    <a:prstGeom prst="rect">
                      <a:avLst/>
                    </a:prstGeom>
                    <a:noFill/>
                  </pic:spPr>
                </pic:pic>
              </a:graphicData>
            </a:graphic>
          </wp:anchor>
        </w:drawing>
      </w:r>
    </w:p>
    <w:p>
      <w:pPr>
        <w:ind w:left="360" w:hanging="121"/>
        <w:spacing w:after="0" w:line="232" w:lineRule="auto"/>
        <w:tabs>
          <w:tab w:leader="none" w:pos="3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TSR vs. S&amp;P 500</w:t>
      </w:r>
    </w:p>
    <w:p>
      <w:pPr>
        <w:ind w:left="360" w:hanging="121"/>
        <w:spacing w:after="0"/>
        <w:tabs>
          <w:tab w:leader="none" w:pos="36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Index</w:t>
      </w:r>
    </w:p>
    <w:p>
      <w:pPr>
        <w:spacing w:after="0" w:line="22"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1900" w:type="dxa"/>
            <w:vAlign w:val="bottom"/>
            <w:tcBorders>
              <w:top w:val="single" w:sz="8" w:color="7F7F7F"/>
            </w:tcBorders>
            <w:gridSpan w:val="2"/>
            <w:shd w:val="clear" w:color="auto" w:fill="F2F2F2"/>
          </w:tcPr>
          <w:p>
            <w:pPr>
              <w:ind w:left="80"/>
              <w:spacing w:after="0"/>
              <w:rPr>
                <w:sz w:val="20"/>
                <w:szCs w:val="20"/>
                <w:color w:val="auto"/>
              </w:rPr>
            </w:pPr>
            <w:r>
              <w:rPr>
                <w:rFonts w:ascii="Arial" w:cs="Arial" w:eastAsia="Arial" w:hAnsi="Arial"/>
                <w:sz w:val="12"/>
                <w:szCs w:val="12"/>
                <w:color w:val="auto"/>
              </w:rPr>
              <w:t>PBRSU based on</w:t>
            </w:r>
          </w:p>
        </w:tc>
        <w:tc>
          <w:tcPr>
            <w:tcW w:w="680" w:type="dxa"/>
            <w:vAlign w:val="bottom"/>
            <w:tcBorders>
              <w:top w:val="single" w:sz="8" w:color="7F7F7F"/>
            </w:tcBorders>
            <w:shd w:val="clear" w:color="auto" w:fill="F2F2F2"/>
          </w:tcPr>
          <w:p>
            <w:pPr>
              <w:jc w:val="right"/>
              <w:ind w:right="38"/>
              <w:spacing w:after="0"/>
              <w:rPr>
                <w:sz w:val="20"/>
                <w:szCs w:val="20"/>
                <w:color w:val="auto"/>
              </w:rPr>
            </w:pPr>
            <w:r>
              <w:rPr>
                <w:rFonts w:ascii="Arial" w:cs="Arial" w:eastAsia="Arial" w:hAnsi="Arial"/>
                <w:sz w:val="12"/>
                <w:szCs w:val="12"/>
                <w:color w:val="auto"/>
              </w:rPr>
              <w:t>1/02/25</w:t>
            </w:r>
          </w:p>
        </w:tc>
        <w:tc>
          <w:tcPr>
            <w:tcW w:w="640" w:type="dxa"/>
            <w:vAlign w:val="bottom"/>
            <w:tcBorders>
              <w:top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11/08/24</w:t>
            </w:r>
          </w:p>
        </w:tc>
        <w:tc>
          <w:tcPr>
            <w:tcW w:w="800" w:type="dxa"/>
            <w:vAlign w:val="bottom"/>
            <w:tcBorders>
              <w:top w:val="single" w:sz="8" w:color="7F7F7F"/>
            </w:tcBorders>
            <w:shd w:val="clear" w:color="auto" w:fill="F2F2F2"/>
          </w:tcPr>
          <w:p>
            <w:pPr>
              <w:spacing w:after="0"/>
              <w:rPr>
                <w:sz w:val="15"/>
                <w:szCs w:val="15"/>
                <w:color w:val="auto"/>
              </w:rPr>
            </w:pPr>
          </w:p>
        </w:tc>
        <w:tc>
          <w:tcPr>
            <w:tcW w:w="780" w:type="dxa"/>
            <w:vAlign w:val="bottom"/>
            <w:tcBorders>
              <w:top w:val="single" w:sz="8" w:color="7F7F7F"/>
            </w:tcBorders>
            <w:shd w:val="clear" w:color="auto" w:fill="F2F2F2"/>
          </w:tcPr>
          <w:p>
            <w:pPr>
              <w:spacing w:after="0"/>
              <w:rPr>
                <w:sz w:val="15"/>
                <w:szCs w:val="15"/>
                <w:color w:val="auto"/>
              </w:rPr>
            </w:pPr>
          </w:p>
        </w:tc>
        <w:tc>
          <w:tcPr>
            <w:tcW w:w="1760" w:type="dxa"/>
            <w:vAlign w:val="bottom"/>
            <w:tcBorders>
              <w:top w:val="single" w:sz="8" w:color="7F7F7F"/>
            </w:tcBorders>
            <w:shd w:val="clear" w:color="auto" w:fill="F2F2F2"/>
          </w:tcPr>
          <w:p>
            <w:pPr>
              <w:jc w:val="right"/>
              <w:ind w:right="158"/>
              <w:spacing w:after="0"/>
              <w:rPr>
                <w:sz w:val="20"/>
                <w:szCs w:val="20"/>
                <w:color w:val="auto"/>
              </w:rPr>
            </w:pPr>
            <w:r>
              <w:rPr>
                <w:rFonts w:ascii="Arial" w:cs="Arial" w:eastAsia="Arial" w:hAnsi="Arial"/>
                <w:sz w:val="12"/>
                <w:szCs w:val="12"/>
                <w:color w:val="auto"/>
              </w:rPr>
              <w:t>13,142</w:t>
            </w:r>
          </w:p>
        </w:tc>
        <w:tc>
          <w:tcPr>
            <w:tcW w:w="800" w:type="dxa"/>
            <w:vAlign w:val="bottom"/>
            <w:tcBorders>
              <w:top w:val="single" w:sz="8" w:color="7F7F7F"/>
            </w:tcBorders>
            <w:shd w:val="clear" w:color="auto" w:fill="F2F2F2"/>
          </w:tcPr>
          <w:p>
            <w:pPr>
              <w:jc w:val="right"/>
              <w:ind w:right="158"/>
              <w:spacing w:after="0"/>
              <w:rPr>
                <w:sz w:val="20"/>
                <w:szCs w:val="20"/>
                <w:color w:val="auto"/>
              </w:rPr>
            </w:pPr>
            <w:r>
              <w:rPr>
                <w:rFonts w:ascii="Arial" w:cs="Arial" w:eastAsia="Arial" w:hAnsi="Arial"/>
                <w:sz w:val="12"/>
                <w:szCs w:val="12"/>
                <w:color w:val="auto"/>
              </w:rPr>
              <w:t>52,566</w:t>
            </w:r>
          </w:p>
        </w:tc>
        <w:tc>
          <w:tcPr>
            <w:tcW w:w="2240" w:type="dxa"/>
            <w:vAlign w:val="bottom"/>
            <w:tcBorders>
              <w:top w:val="single" w:sz="8" w:color="7F7F7F"/>
            </w:tcBorders>
            <w:shd w:val="clear" w:color="auto" w:fill="F2F2F2"/>
          </w:tcPr>
          <w:p>
            <w:pPr>
              <w:jc w:val="right"/>
              <w:ind w:right="1498"/>
              <w:spacing w:after="0"/>
              <w:rPr>
                <w:sz w:val="20"/>
                <w:szCs w:val="20"/>
                <w:color w:val="auto"/>
              </w:rPr>
            </w:pPr>
            <w:r>
              <w:rPr>
                <w:rFonts w:ascii="Arial" w:cs="Arial" w:eastAsia="Arial" w:hAnsi="Arial"/>
                <w:sz w:val="12"/>
                <w:szCs w:val="12"/>
                <w:color w:val="auto"/>
              </w:rPr>
              <w:t>105,132</w:t>
            </w:r>
          </w:p>
        </w:tc>
        <w:tc>
          <w:tcPr>
            <w:tcW w:w="560" w:type="dxa"/>
            <w:vAlign w:val="bottom"/>
            <w:tcBorders>
              <w:top w:val="single" w:sz="8" w:color="7F7F7F"/>
            </w:tcBorders>
            <w:shd w:val="clear" w:color="auto" w:fill="F2F2F2"/>
          </w:tcPr>
          <w:p>
            <w:pPr>
              <w:spacing w:after="0"/>
              <w:rPr>
                <w:sz w:val="15"/>
                <w:szCs w:val="15"/>
                <w:color w:val="auto"/>
              </w:rPr>
            </w:pPr>
          </w:p>
        </w:tc>
        <w:tc>
          <w:tcPr>
            <w:tcW w:w="160" w:type="dxa"/>
            <w:vAlign w:val="bottom"/>
            <w:tcBorders>
              <w:top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4,580,076</w:t>
            </w:r>
          </w:p>
        </w:tc>
      </w:tr>
      <w:tr>
        <w:trPr>
          <w:trHeight w:val="197"/>
        </w:trPr>
        <w:tc>
          <w:tcPr>
            <w:tcW w:w="1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2"/>
                <w:szCs w:val="12"/>
                <w:color w:val="auto"/>
              </w:rPr>
              <w:t>EPS growth</w:t>
            </w:r>
          </w:p>
        </w:tc>
        <w:tc>
          <w:tcPr>
            <w:tcW w:w="680" w:type="dxa"/>
            <w:vAlign w:val="bottom"/>
            <w:tcBorders>
              <w:bottom w:val="single" w:sz="8" w:color="F2F2F2"/>
            </w:tcBorders>
            <w:shd w:val="clear" w:color="auto" w:fill="F2F2F2"/>
          </w:tcPr>
          <w:p>
            <w:pPr>
              <w:spacing w:after="0"/>
              <w:rPr>
                <w:sz w:val="16"/>
                <w:szCs w:val="16"/>
                <w:color w:val="auto"/>
              </w:rPr>
            </w:pPr>
          </w:p>
        </w:tc>
        <w:tc>
          <w:tcPr>
            <w:tcW w:w="640" w:type="dxa"/>
            <w:vAlign w:val="bottom"/>
            <w:tcBorders>
              <w:bottom w:val="single" w:sz="8" w:color="F2F2F2"/>
            </w:tcBorders>
            <w:shd w:val="clear" w:color="auto" w:fill="F2F2F2"/>
          </w:tcPr>
          <w:p>
            <w:pPr>
              <w:spacing w:after="0"/>
              <w:rPr>
                <w:sz w:val="16"/>
                <w:szCs w:val="16"/>
                <w:color w:val="auto"/>
              </w:rPr>
            </w:pPr>
          </w:p>
        </w:tc>
        <w:tc>
          <w:tcPr>
            <w:tcW w:w="80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shd w:val="clear" w:color="auto" w:fill="F2F2F2"/>
          </w:tcPr>
          <w:p>
            <w:pPr>
              <w:spacing w:after="0"/>
              <w:rPr>
                <w:sz w:val="16"/>
                <w:szCs w:val="16"/>
                <w:color w:val="auto"/>
              </w:rPr>
            </w:pPr>
          </w:p>
        </w:tc>
        <w:tc>
          <w:tcPr>
            <w:tcW w:w="1760" w:type="dxa"/>
            <w:vAlign w:val="bottom"/>
            <w:tcBorders>
              <w:bottom w:val="single" w:sz="8" w:color="F2F2F2"/>
            </w:tcBorders>
            <w:shd w:val="clear" w:color="auto" w:fill="F2F2F2"/>
          </w:tcPr>
          <w:p>
            <w:pPr>
              <w:spacing w:after="0"/>
              <w:rPr>
                <w:sz w:val="16"/>
                <w:szCs w:val="16"/>
                <w:color w:val="auto"/>
              </w:rPr>
            </w:pPr>
          </w:p>
        </w:tc>
        <w:tc>
          <w:tcPr>
            <w:tcW w:w="800" w:type="dxa"/>
            <w:vAlign w:val="bottom"/>
            <w:tcBorders>
              <w:bottom w:val="single" w:sz="8" w:color="F2F2F2"/>
            </w:tcBorders>
            <w:shd w:val="clear" w:color="auto" w:fill="F2F2F2"/>
          </w:tcPr>
          <w:p>
            <w:pPr>
              <w:spacing w:after="0"/>
              <w:rPr>
                <w:sz w:val="16"/>
                <w:szCs w:val="16"/>
                <w:color w:val="auto"/>
              </w:rPr>
            </w:pPr>
          </w:p>
        </w:tc>
        <w:tc>
          <w:tcPr>
            <w:tcW w:w="224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600" w:type="dxa"/>
            <w:vAlign w:val="bottom"/>
            <w:tcBorders>
              <w:bottom w:val="single" w:sz="8" w:color="F2F2F2"/>
            </w:tcBorders>
            <w:shd w:val="clear" w:color="auto" w:fill="F2F2F2"/>
          </w:tcPr>
          <w:p>
            <w:pPr>
              <w:spacing w:after="0"/>
              <w:rPr>
                <w:sz w:val="16"/>
                <w:szCs w:val="16"/>
                <w:color w:val="auto"/>
              </w:rPr>
            </w:pPr>
          </w:p>
        </w:tc>
      </w:tr>
      <w:tr>
        <w:trPr>
          <w:trHeight w:val="163"/>
        </w:trPr>
        <w:tc>
          <w:tcPr>
            <w:tcW w:w="190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Nonqualified Stock</w:t>
            </w:r>
          </w:p>
        </w:tc>
        <w:tc>
          <w:tcPr>
            <w:tcW w:w="68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1/02/25</w:t>
            </w:r>
          </w:p>
        </w:tc>
        <w:tc>
          <w:tcPr>
            <w:tcW w:w="6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11/08/24</w:t>
            </w:r>
          </w:p>
        </w:tc>
        <w:tc>
          <w:tcPr>
            <w:tcW w:w="800" w:type="dxa"/>
            <w:vAlign w:val="bottom"/>
            <w:tcBorders>
              <w:top w:val="single" w:sz="8" w:color="7F7F7F"/>
            </w:tcBorders>
          </w:tcPr>
          <w:p>
            <w:pPr>
              <w:spacing w:after="0"/>
              <w:rPr>
                <w:sz w:val="14"/>
                <w:szCs w:val="14"/>
                <w:color w:val="auto"/>
              </w:rPr>
            </w:pPr>
          </w:p>
        </w:tc>
        <w:tc>
          <w:tcPr>
            <w:tcW w:w="780" w:type="dxa"/>
            <w:vAlign w:val="bottom"/>
            <w:tcBorders>
              <w:top w:val="single" w:sz="8" w:color="7F7F7F"/>
            </w:tcBorders>
          </w:tcPr>
          <w:p>
            <w:pPr>
              <w:spacing w:after="0"/>
              <w:rPr>
                <w:sz w:val="14"/>
                <w:szCs w:val="14"/>
                <w:color w:val="auto"/>
              </w:rPr>
            </w:pPr>
          </w:p>
        </w:tc>
        <w:tc>
          <w:tcPr>
            <w:tcW w:w="1760" w:type="dxa"/>
            <w:vAlign w:val="bottom"/>
            <w:tcBorders>
              <w:top w:val="single" w:sz="8" w:color="7F7F7F"/>
            </w:tcBorders>
          </w:tcPr>
          <w:p>
            <w:pPr>
              <w:spacing w:after="0"/>
              <w:rPr>
                <w:sz w:val="14"/>
                <w:szCs w:val="14"/>
                <w:color w:val="auto"/>
              </w:rPr>
            </w:pPr>
          </w:p>
        </w:tc>
        <w:tc>
          <w:tcPr>
            <w:tcW w:w="800" w:type="dxa"/>
            <w:vAlign w:val="bottom"/>
            <w:tcBorders>
              <w:top w:val="single" w:sz="8" w:color="7F7F7F"/>
            </w:tcBorders>
          </w:tcPr>
          <w:p>
            <w:pPr>
              <w:spacing w:after="0"/>
              <w:rPr>
                <w:sz w:val="14"/>
                <w:szCs w:val="14"/>
                <w:color w:val="auto"/>
              </w:rPr>
            </w:pPr>
          </w:p>
        </w:tc>
        <w:tc>
          <w:tcPr>
            <w:tcW w:w="224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222,547</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$ 87.13</w:t>
            </w:r>
          </w:p>
        </w:tc>
        <w:tc>
          <w:tcPr>
            <w:tcW w:w="1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4,580,017</w:t>
            </w:r>
          </w:p>
        </w:tc>
      </w:tr>
      <w:tr>
        <w:trPr>
          <w:trHeight w:val="165"/>
        </w:trPr>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tcPr>
          <w:p>
            <w:pPr>
              <w:ind w:left="40"/>
              <w:spacing w:after="0"/>
              <w:rPr>
                <w:sz w:val="20"/>
                <w:szCs w:val="20"/>
                <w:color w:val="auto"/>
              </w:rPr>
            </w:pPr>
            <w:r>
              <w:rPr>
                <w:rFonts w:ascii="Arial" w:cs="Arial" w:eastAsia="Arial" w:hAnsi="Arial"/>
                <w:sz w:val="12"/>
                <w:szCs w:val="12"/>
                <w:color w:val="auto"/>
              </w:rPr>
              <w:t>Options</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7"/>
        </w:trPr>
        <w:tc>
          <w:tcPr>
            <w:tcW w:w="1900" w:type="dxa"/>
            <w:vAlign w:val="bottom"/>
            <w:tcBorders>
              <w:bottom w:val="single" w:sz="8" w:color="7F7F7F"/>
            </w:tcBorders>
            <w:gridSpan w:val="2"/>
          </w:tcPr>
          <w:p>
            <w:pPr>
              <w:spacing w:after="0"/>
              <w:rPr>
                <w:sz w:val="2"/>
                <w:szCs w:val="2"/>
                <w:color w:val="auto"/>
              </w:rPr>
            </w:pPr>
          </w:p>
        </w:tc>
        <w:tc>
          <w:tcPr>
            <w:tcW w:w="680" w:type="dxa"/>
            <w:vAlign w:val="bottom"/>
            <w:tcBorders>
              <w:bottom w:val="single" w:sz="8" w:color="7F7F7F"/>
            </w:tcBorders>
          </w:tcPr>
          <w:p>
            <w:pPr>
              <w:spacing w:after="0"/>
              <w:rPr>
                <w:sz w:val="2"/>
                <w:szCs w:val="2"/>
                <w:color w:val="auto"/>
              </w:rPr>
            </w:pPr>
          </w:p>
        </w:tc>
        <w:tc>
          <w:tcPr>
            <w:tcW w:w="640" w:type="dxa"/>
            <w:vAlign w:val="bottom"/>
            <w:tcBorders>
              <w:bottom w:val="single" w:sz="8" w:color="7F7F7F"/>
            </w:tcBorders>
          </w:tcPr>
          <w:p>
            <w:pPr>
              <w:spacing w:after="0"/>
              <w:rPr>
                <w:sz w:val="2"/>
                <w:szCs w:val="2"/>
                <w:color w:val="auto"/>
              </w:rPr>
            </w:pPr>
          </w:p>
        </w:tc>
        <w:tc>
          <w:tcPr>
            <w:tcW w:w="800" w:type="dxa"/>
            <w:vAlign w:val="bottom"/>
            <w:tcBorders>
              <w:bottom w:val="single" w:sz="8" w:color="7F7F7F"/>
            </w:tcBorders>
          </w:tcPr>
          <w:p>
            <w:pPr>
              <w:spacing w:after="0"/>
              <w:rPr>
                <w:sz w:val="2"/>
                <w:szCs w:val="2"/>
                <w:color w:val="auto"/>
              </w:rPr>
            </w:pPr>
          </w:p>
        </w:tc>
        <w:tc>
          <w:tcPr>
            <w:tcW w:w="780" w:type="dxa"/>
            <w:vAlign w:val="bottom"/>
            <w:tcBorders>
              <w:bottom w:val="single" w:sz="8" w:color="7F7F7F"/>
            </w:tcBorders>
          </w:tcPr>
          <w:p>
            <w:pPr>
              <w:spacing w:after="0"/>
              <w:rPr>
                <w:sz w:val="2"/>
                <w:szCs w:val="2"/>
                <w:color w:val="auto"/>
              </w:rPr>
            </w:pPr>
          </w:p>
        </w:tc>
        <w:tc>
          <w:tcPr>
            <w:tcW w:w="1760" w:type="dxa"/>
            <w:vAlign w:val="bottom"/>
            <w:tcBorders>
              <w:bottom w:val="single" w:sz="8" w:color="7F7F7F"/>
            </w:tcBorders>
          </w:tcPr>
          <w:p>
            <w:pPr>
              <w:spacing w:after="0"/>
              <w:rPr>
                <w:sz w:val="2"/>
                <w:szCs w:val="2"/>
                <w:color w:val="auto"/>
              </w:rPr>
            </w:pPr>
          </w:p>
        </w:tc>
        <w:tc>
          <w:tcPr>
            <w:tcW w:w="800" w:type="dxa"/>
            <w:vAlign w:val="bottom"/>
            <w:tcBorders>
              <w:bottom w:val="single" w:sz="8" w:color="7F7F7F"/>
            </w:tcBorders>
          </w:tcPr>
          <w:p>
            <w:pPr>
              <w:spacing w:after="0"/>
              <w:rPr>
                <w:sz w:val="2"/>
                <w:szCs w:val="2"/>
                <w:color w:val="auto"/>
              </w:rPr>
            </w:pPr>
          </w:p>
        </w:tc>
        <w:tc>
          <w:tcPr>
            <w:tcW w:w="2240" w:type="dxa"/>
            <w:vAlign w:val="bottom"/>
            <w:tcBorders>
              <w:bottom w:val="single" w:sz="8" w:color="7F7F7F"/>
            </w:tcBorders>
          </w:tcPr>
          <w:p>
            <w:pPr>
              <w:spacing w:after="0"/>
              <w:rPr>
                <w:sz w:val="2"/>
                <w:szCs w:val="2"/>
                <w:color w:val="auto"/>
              </w:rPr>
            </w:pPr>
          </w:p>
        </w:tc>
        <w:tc>
          <w:tcPr>
            <w:tcW w:w="560" w:type="dxa"/>
            <w:vAlign w:val="bottom"/>
            <w:tcBorders>
              <w:bottom w:val="single" w:sz="8" w:color="7F7F7F"/>
            </w:tcBorders>
          </w:tcPr>
          <w:p>
            <w:pPr>
              <w:spacing w:after="0"/>
              <w:rPr>
                <w:sz w:val="2"/>
                <w:szCs w:val="2"/>
                <w:color w:val="auto"/>
              </w:rPr>
            </w:pPr>
          </w:p>
        </w:tc>
        <w:tc>
          <w:tcPr>
            <w:tcW w:w="160" w:type="dxa"/>
            <w:vAlign w:val="bottom"/>
            <w:tcBorders>
              <w:bottom w:val="single" w:sz="8" w:color="7F7F7F"/>
            </w:tcBorders>
          </w:tcPr>
          <w:p>
            <w:pPr>
              <w:spacing w:after="0"/>
              <w:rPr>
                <w:sz w:val="2"/>
                <w:szCs w:val="2"/>
                <w:color w:val="auto"/>
              </w:rPr>
            </w:pPr>
          </w:p>
        </w:tc>
        <w:tc>
          <w:tcPr>
            <w:tcW w:w="600" w:type="dxa"/>
            <w:vAlign w:val="bottom"/>
            <w:tcBorders>
              <w:bottom w:val="single" w:sz="8" w:color="7F7F7F"/>
            </w:tcBorders>
          </w:tcPr>
          <w:p>
            <w:pPr>
              <w:spacing w:after="0"/>
              <w:rPr>
                <w:sz w:val="2"/>
                <w:szCs w:val="2"/>
                <w:color w:val="auto"/>
              </w:rPr>
            </w:pPr>
          </w:p>
        </w:tc>
      </w:tr>
      <w:tr>
        <w:trPr>
          <w:trHeight w:val="163"/>
        </w:trPr>
        <w:tc>
          <w:tcPr>
            <w:tcW w:w="190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Performance-Based</w:t>
            </w:r>
          </w:p>
        </w:tc>
        <w:tc>
          <w:tcPr>
            <w:tcW w:w="68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800" w:type="dxa"/>
            <w:vAlign w:val="bottom"/>
            <w:shd w:val="clear" w:color="auto" w:fill="F2F2F2"/>
          </w:tcPr>
          <w:p>
            <w:pPr>
              <w:jc w:val="right"/>
              <w:ind w:right="18"/>
              <w:spacing w:after="0"/>
              <w:rPr>
                <w:sz w:val="20"/>
                <w:szCs w:val="20"/>
                <w:color w:val="auto"/>
              </w:rPr>
            </w:pPr>
            <w:r>
              <w:rPr>
                <w:rFonts w:ascii="Arial" w:cs="Arial" w:eastAsia="Arial" w:hAnsi="Arial"/>
                <w:sz w:val="12"/>
                <w:szCs w:val="12"/>
                <w:color w:val="auto"/>
              </w:rPr>
              <w:t>$ 1,224,000</w:t>
            </w:r>
          </w:p>
        </w:tc>
        <w:tc>
          <w:tcPr>
            <w:tcW w:w="780" w:type="dxa"/>
            <w:vAlign w:val="bottom"/>
            <w:shd w:val="clear" w:color="auto" w:fill="F2F2F2"/>
          </w:tcPr>
          <w:p>
            <w:pPr>
              <w:jc w:val="right"/>
              <w:ind w:right="18"/>
              <w:spacing w:after="0"/>
              <w:rPr>
                <w:sz w:val="20"/>
                <w:szCs w:val="20"/>
                <w:color w:val="auto"/>
              </w:rPr>
            </w:pPr>
            <w:r>
              <w:rPr>
                <w:rFonts w:ascii="Arial" w:cs="Arial" w:eastAsia="Arial" w:hAnsi="Arial"/>
                <w:sz w:val="12"/>
                <w:szCs w:val="12"/>
                <w:color w:val="auto"/>
              </w:rPr>
              <w:t>$ 3,060,000</w:t>
            </w:r>
          </w:p>
        </w:tc>
        <w:tc>
          <w:tcPr>
            <w:tcW w:w="1760" w:type="dxa"/>
            <w:vAlign w:val="bottom"/>
            <w:shd w:val="clear" w:color="auto" w:fill="F2F2F2"/>
          </w:tcPr>
          <w:p>
            <w:pPr>
              <w:jc w:val="right"/>
              <w:ind w:right="978"/>
              <w:spacing w:after="0"/>
              <w:rPr>
                <w:sz w:val="20"/>
                <w:szCs w:val="20"/>
                <w:color w:val="auto"/>
              </w:rPr>
            </w:pPr>
            <w:r>
              <w:rPr>
                <w:rFonts w:ascii="Arial" w:cs="Arial" w:eastAsia="Arial" w:hAnsi="Arial"/>
                <w:sz w:val="12"/>
                <w:szCs w:val="12"/>
                <w:color w:val="auto"/>
              </w:rPr>
              <w:t>$ 6,120,000</w:t>
            </w:r>
          </w:p>
        </w:tc>
        <w:tc>
          <w:tcPr>
            <w:tcW w:w="800" w:type="dxa"/>
            <w:vAlign w:val="bottom"/>
            <w:shd w:val="clear" w:color="auto" w:fill="F2F2F2"/>
          </w:tcPr>
          <w:p>
            <w:pPr>
              <w:spacing w:after="0"/>
              <w:rPr>
                <w:sz w:val="14"/>
                <w:szCs w:val="14"/>
                <w:color w:val="auto"/>
              </w:rPr>
            </w:pPr>
          </w:p>
        </w:tc>
        <w:tc>
          <w:tcPr>
            <w:tcW w:w="224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16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r>
      <w:tr>
        <w:trPr>
          <w:trHeight w:val="197"/>
        </w:trPr>
        <w:tc>
          <w:tcPr>
            <w:tcW w:w="1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2"/>
                <w:szCs w:val="12"/>
                <w:color w:val="auto"/>
              </w:rPr>
              <w:t>Annual Bonus</w:t>
            </w:r>
          </w:p>
        </w:tc>
        <w:tc>
          <w:tcPr>
            <w:tcW w:w="680" w:type="dxa"/>
            <w:vAlign w:val="bottom"/>
            <w:tcBorders>
              <w:bottom w:val="single" w:sz="8" w:color="F2F2F2"/>
            </w:tcBorders>
            <w:shd w:val="clear" w:color="auto" w:fill="F2F2F2"/>
          </w:tcPr>
          <w:p>
            <w:pPr>
              <w:spacing w:after="0"/>
              <w:rPr>
                <w:sz w:val="16"/>
                <w:szCs w:val="16"/>
                <w:color w:val="auto"/>
              </w:rPr>
            </w:pPr>
          </w:p>
        </w:tc>
        <w:tc>
          <w:tcPr>
            <w:tcW w:w="640" w:type="dxa"/>
            <w:vAlign w:val="bottom"/>
            <w:tcBorders>
              <w:bottom w:val="single" w:sz="8" w:color="F2F2F2"/>
            </w:tcBorders>
            <w:shd w:val="clear" w:color="auto" w:fill="F2F2F2"/>
          </w:tcPr>
          <w:p>
            <w:pPr>
              <w:spacing w:after="0"/>
              <w:rPr>
                <w:sz w:val="16"/>
                <w:szCs w:val="16"/>
                <w:color w:val="auto"/>
              </w:rPr>
            </w:pPr>
          </w:p>
        </w:tc>
        <w:tc>
          <w:tcPr>
            <w:tcW w:w="80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shd w:val="clear" w:color="auto" w:fill="F2F2F2"/>
          </w:tcPr>
          <w:p>
            <w:pPr>
              <w:spacing w:after="0"/>
              <w:rPr>
                <w:sz w:val="16"/>
                <w:szCs w:val="16"/>
                <w:color w:val="auto"/>
              </w:rPr>
            </w:pPr>
          </w:p>
        </w:tc>
        <w:tc>
          <w:tcPr>
            <w:tcW w:w="1760" w:type="dxa"/>
            <w:vAlign w:val="bottom"/>
            <w:tcBorders>
              <w:bottom w:val="single" w:sz="8" w:color="F2F2F2"/>
            </w:tcBorders>
            <w:shd w:val="clear" w:color="auto" w:fill="F2F2F2"/>
          </w:tcPr>
          <w:p>
            <w:pPr>
              <w:spacing w:after="0"/>
              <w:rPr>
                <w:sz w:val="16"/>
                <w:szCs w:val="16"/>
                <w:color w:val="auto"/>
              </w:rPr>
            </w:pPr>
          </w:p>
        </w:tc>
        <w:tc>
          <w:tcPr>
            <w:tcW w:w="800" w:type="dxa"/>
            <w:vAlign w:val="bottom"/>
            <w:tcBorders>
              <w:bottom w:val="single" w:sz="8" w:color="F2F2F2"/>
            </w:tcBorders>
            <w:shd w:val="clear" w:color="auto" w:fill="F2F2F2"/>
          </w:tcPr>
          <w:p>
            <w:pPr>
              <w:spacing w:after="0"/>
              <w:rPr>
                <w:sz w:val="16"/>
                <w:szCs w:val="16"/>
                <w:color w:val="auto"/>
              </w:rPr>
            </w:pPr>
          </w:p>
        </w:tc>
        <w:tc>
          <w:tcPr>
            <w:tcW w:w="224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600" w:type="dxa"/>
            <w:vAlign w:val="bottom"/>
            <w:tcBorders>
              <w:bottom w:val="single" w:sz="8" w:color="F2F2F2"/>
            </w:tcBorders>
            <w:shd w:val="clear" w:color="auto" w:fill="F2F2F2"/>
          </w:tcPr>
          <w:p>
            <w:pPr>
              <w:spacing w:after="0"/>
              <w:rPr>
                <w:sz w:val="16"/>
                <w:szCs w:val="16"/>
                <w:color w:val="auto"/>
              </w:rPr>
            </w:pPr>
          </w:p>
        </w:tc>
      </w:tr>
      <w:tr>
        <w:trPr>
          <w:trHeight w:val="200"/>
        </w:trPr>
        <w:tc>
          <w:tcPr>
            <w:tcW w:w="190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b w:val="1"/>
                <w:bCs w:val="1"/>
                <w:color w:val="auto"/>
              </w:rPr>
              <w:t>Karen L. Sedgwick</w:t>
            </w:r>
          </w:p>
        </w:tc>
        <w:tc>
          <w:tcPr>
            <w:tcW w:w="680" w:type="dxa"/>
            <w:vAlign w:val="bottom"/>
            <w:tcBorders>
              <w:top w:val="single" w:sz="8" w:color="7F7F7F"/>
            </w:tcBorders>
          </w:tcPr>
          <w:p>
            <w:pPr>
              <w:spacing w:after="0"/>
              <w:rPr>
                <w:sz w:val="17"/>
                <w:szCs w:val="17"/>
                <w:color w:val="auto"/>
              </w:rPr>
            </w:pPr>
          </w:p>
        </w:tc>
        <w:tc>
          <w:tcPr>
            <w:tcW w:w="640" w:type="dxa"/>
            <w:vAlign w:val="bottom"/>
            <w:tcBorders>
              <w:top w:val="single" w:sz="8" w:color="7F7F7F"/>
            </w:tcBorders>
          </w:tcPr>
          <w:p>
            <w:pPr>
              <w:spacing w:after="0"/>
              <w:rPr>
                <w:sz w:val="17"/>
                <w:szCs w:val="17"/>
                <w:color w:val="auto"/>
              </w:rPr>
            </w:pPr>
          </w:p>
        </w:tc>
        <w:tc>
          <w:tcPr>
            <w:tcW w:w="800" w:type="dxa"/>
            <w:vAlign w:val="bottom"/>
            <w:tcBorders>
              <w:top w:val="single" w:sz="8" w:color="7F7F7F"/>
            </w:tcBorders>
          </w:tcPr>
          <w:p>
            <w:pPr>
              <w:spacing w:after="0"/>
              <w:rPr>
                <w:sz w:val="17"/>
                <w:szCs w:val="17"/>
                <w:color w:val="auto"/>
              </w:rPr>
            </w:pPr>
          </w:p>
        </w:tc>
        <w:tc>
          <w:tcPr>
            <w:tcW w:w="780" w:type="dxa"/>
            <w:vAlign w:val="bottom"/>
            <w:tcBorders>
              <w:top w:val="single" w:sz="8" w:color="7F7F7F"/>
            </w:tcBorders>
          </w:tcPr>
          <w:p>
            <w:pPr>
              <w:spacing w:after="0"/>
              <w:rPr>
                <w:sz w:val="17"/>
                <w:szCs w:val="17"/>
                <w:color w:val="auto"/>
              </w:rPr>
            </w:pPr>
          </w:p>
        </w:tc>
        <w:tc>
          <w:tcPr>
            <w:tcW w:w="1760" w:type="dxa"/>
            <w:vAlign w:val="bottom"/>
            <w:tcBorders>
              <w:top w:val="single" w:sz="8" w:color="7F7F7F"/>
            </w:tcBorders>
          </w:tcPr>
          <w:p>
            <w:pPr>
              <w:spacing w:after="0"/>
              <w:rPr>
                <w:sz w:val="17"/>
                <w:szCs w:val="17"/>
                <w:color w:val="auto"/>
              </w:rPr>
            </w:pPr>
          </w:p>
        </w:tc>
        <w:tc>
          <w:tcPr>
            <w:tcW w:w="800" w:type="dxa"/>
            <w:vAlign w:val="bottom"/>
            <w:tcBorders>
              <w:top w:val="single" w:sz="8" w:color="7F7F7F"/>
            </w:tcBorders>
          </w:tcPr>
          <w:p>
            <w:pPr>
              <w:spacing w:after="0"/>
              <w:rPr>
                <w:sz w:val="17"/>
                <w:szCs w:val="17"/>
                <w:color w:val="auto"/>
              </w:rPr>
            </w:pPr>
          </w:p>
        </w:tc>
        <w:tc>
          <w:tcPr>
            <w:tcW w:w="2240" w:type="dxa"/>
            <w:vAlign w:val="bottom"/>
            <w:tcBorders>
              <w:top w:val="single" w:sz="8" w:color="7F7F7F"/>
            </w:tcBorders>
          </w:tcPr>
          <w:p>
            <w:pPr>
              <w:spacing w:after="0"/>
              <w:rPr>
                <w:sz w:val="17"/>
                <w:szCs w:val="17"/>
                <w:color w:val="auto"/>
              </w:rPr>
            </w:pPr>
          </w:p>
        </w:tc>
        <w:tc>
          <w:tcPr>
            <w:tcW w:w="560" w:type="dxa"/>
            <w:vAlign w:val="bottom"/>
            <w:tcBorders>
              <w:top w:val="single" w:sz="8" w:color="7F7F7F"/>
            </w:tcBorders>
          </w:tcPr>
          <w:p>
            <w:pPr>
              <w:spacing w:after="0"/>
              <w:rPr>
                <w:sz w:val="17"/>
                <w:szCs w:val="17"/>
                <w:color w:val="auto"/>
              </w:rPr>
            </w:pPr>
          </w:p>
        </w:tc>
        <w:tc>
          <w:tcPr>
            <w:tcW w:w="160" w:type="dxa"/>
            <w:vAlign w:val="bottom"/>
            <w:tcBorders>
              <w:top w:val="single" w:sz="8" w:color="7F7F7F"/>
            </w:tcBorders>
          </w:tcPr>
          <w:p>
            <w:pPr>
              <w:spacing w:after="0"/>
              <w:rPr>
                <w:sz w:val="17"/>
                <w:szCs w:val="17"/>
                <w:color w:val="auto"/>
              </w:rPr>
            </w:pPr>
          </w:p>
        </w:tc>
        <w:tc>
          <w:tcPr>
            <w:tcW w:w="600" w:type="dxa"/>
            <w:vAlign w:val="bottom"/>
            <w:tcBorders>
              <w:top w:val="single" w:sz="8" w:color="7F7F7F"/>
            </w:tcBorders>
          </w:tcPr>
          <w:p>
            <w:pPr>
              <w:spacing w:after="0"/>
              <w:rPr>
                <w:sz w:val="17"/>
                <w:szCs w:val="17"/>
                <w:color w:val="auto"/>
              </w:rPr>
            </w:pPr>
          </w:p>
        </w:tc>
      </w:tr>
      <w:tr>
        <w:trPr>
          <w:trHeight w:val="21"/>
        </w:trPr>
        <w:tc>
          <w:tcPr>
            <w:tcW w:w="1900" w:type="dxa"/>
            <w:vAlign w:val="bottom"/>
            <w:tcBorders>
              <w:bottom w:val="single" w:sz="8" w:color="7F7F7F"/>
            </w:tcBorders>
            <w:gridSpan w:val="2"/>
          </w:tcPr>
          <w:p>
            <w:pPr>
              <w:spacing w:after="0" w:line="20" w:lineRule="exact"/>
              <w:rPr>
                <w:sz w:val="1"/>
                <w:szCs w:val="1"/>
                <w:color w:val="auto"/>
              </w:rPr>
            </w:pPr>
          </w:p>
        </w:tc>
        <w:tc>
          <w:tcPr>
            <w:tcW w:w="680" w:type="dxa"/>
            <w:vAlign w:val="bottom"/>
            <w:tcBorders>
              <w:bottom w:val="single" w:sz="8" w:color="7F7F7F"/>
            </w:tcBorders>
          </w:tcPr>
          <w:p>
            <w:pPr>
              <w:spacing w:after="0" w:line="20" w:lineRule="exact"/>
              <w:rPr>
                <w:sz w:val="1"/>
                <w:szCs w:val="1"/>
                <w:color w:val="auto"/>
              </w:rPr>
            </w:pPr>
          </w:p>
        </w:tc>
        <w:tc>
          <w:tcPr>
            <w:tcW w:w="640" w:type="dxa"/>
            <w:vAlign w:val="bottom"/>
            <w:tcBorders>
              <w:bottom w:val="single" w:sz="8" w:color="7F7F7F"/>
            </w:tcBorders>
          </w:tcPr>
          <w:p>
            <w:pPr>
              <w:spacing w:after="0" w:line="20" w:lineRule="exact"/>
              <w:rPr>
                <w:sz w:val="1"/>
                <w:szCs w:val="1"/>
                <w:color w:val="auto"/>
              </w:rPr>
            </w:pPr>
          </w:p>
        </w:tc>
        <w:tc>
          <w:tcPr>
            <w:tcW w:w="800" w:type="dxa"/>
            <w:vAlign w:val="bottom"/>
            <w:tcBorders>
              <w:bottom w:val="single" w:sz="8" w:color="7F7F7F"/>
            </w:tcBorders>
          </w:tcPr>
          <w:p>
            <w:pPr>
              <w:spacing w:after="0" w:line="20" w:lineRule="exact"/>
              <w:rPr>
                <w:sz w:val="1"/>
                <w:szCs w:val="1"/>
                <w:color w:val="auto"/>
              </w:rPr>
            </w:pPr>
          </w:p>
        </w:tc>
        <w:tc>
          <w:tcPr>
            <w:tcW w:w="780" w:type="dxa"/>
            <w:vAlign w:val="bottom"/>
            <w:tcBorders>
              <w:bottom w:val="single" w:sz="8" w:color="7F7F7F"/>
            </w:tcBorders>
          </w:tcPr>
          <w:p>
            <w:pPr>
              <w:spacing w:after="0" w:line="20" w:lineRule="exact"/>
              <w:rPr>
                <w:sz w:val="1"/>
                <w:szCs w:val="1"/>
                <w:color w:val="auto"/>
              </w:rPr>
            </w:pPr>
          </w:p>
        </w:tc>
        <w:tc>
          <w:tcPr>
            <w:tcW w:w="1760" w:type="dxa"/>
            <w:vAlign w:val="bottom"/>
            <w:tcBorders>
              <w:bottom w:val="single" w:sz="8" w:color="7F7F7F"/>
            </w:tcBorders>
          </w:tcPr>
          <w:p>
            <w:pPr>
              <w:spacing w:after="0" w:line="20" w:lineRule="exact"/>
              <w:rPr>
                <w:sz w:val="1"/>
                <w:szCs w:val="1"/>
                <w:color w:val="auto"/>
              </w:rPr>
            </w:pPr>
          </w:p>
        </w:tc>
        <w:tc>
          <w:tcPr>
            <w:tcW w:w="800" w:type="dxa"/>
            <w:vAlign w:val="bottom"/>
            <w:tcBorders>
              <w:bottom w:val="single" w:sz="8" w:color="7F7F7F"/>
            </w:tcBorders>
          </w:tcPr>
          <w:p>
            <w:pPr>
              <w:spacing w:after="0" w:line="20" w:lineRule="exact"/>
              <w:rPr>
                <w:sz w:val="1"/>
                <w:szCs w:val="1"/>
                <w:color w:val="auto"/>
              </w:rPr>
            </w:pPr>
          </w:p>
        </w:tc>
        <w:tc>
          <w:tcPr>
            <w:tcW w:w="2240" w:type="dxa"/>
            <w:vAlign w:val="bottom"/>
            <w:tcBorders>
              <w:bottom w:val="single" w:sz="8" w:color="7F7F7F"/>
            </w:tcBorders>
          </w:tcPr>
          <w:p>
            <w:pPr>
              <w:spacing w:after="0" w:line="20" w:lineRule="exact"/>
              <w:rPr>
                <w:sz w:val="1"/>
                <w:szCs w:val="1"/>
                <w:color w:val="auto"/>
              </w:rPr>
            </w:pPr>
          </w:p>
        </w:tc>
        <w:tc>
          <w:tcPr>
            <w:tcW w:w="560" w:type="dxa"/>
            <w:vAlign w:val="bottom"/>
            <w:tcBorders>
              <w:bottom w:val="single" w:sz="8" w:color="7F7F7F"/>
            </w:tcBorders>
          </w:tcPr>
          <w:p>
            <w:pPr>
              <w:spacing w:after="0" w:line="20" w:lineRule="exact"/>
              <w:rPr>
                <w:sz w:val="1"/>
                <w:szCs w:val="1"/>
                <w:color w:val="auto"/>
              </w:rPr>
            </w:pPr>
          </w:p>
        </w:tc>
        <w:tc>
          <w:tcPr>
            <w:tcW w:w="160" w:type="dxa"/>
            <w:vAlign w:val="bottom"/>
            <w:tcBorders>
              <w:bottom w:val="single" w:sz="8" w:color="7F7F7F"/>
            </w:tcBorders>
          </w:tcPr>
          <w:p>
            <w:pPr>
              <w:spacing w:after="0" w:line="20" w:lineRule="exact"/>
              <w:rPr>
                <w:sz w:val="1"/>
                <w:szCs w:val="1"/>
                <w:color w:val="auto"/>
              </w:rPr>
            </w:pPr>
          </w:p>
        </w:tc>
        <w:tc>
          <w:tcPr>
            <w:tcW w:w="600" w:type="dxa"/>
            <w:vAlign w:val="bottom"/>
            <w:tcBorders>
              <w:bottom w:val="single" w:sz="8" w:color="7F7F7F"/>
            </w:tcBorders>
          </w:tcPr>
          <w:p>
            <w:pPr>
              <w:spacing w:after="0" w:line="20" w:lineRule="exact"/>
              <w:rPr>
                <w:sz w:val="1"/>
                <w:szCs w:val="1"/>
                <w:color w:val="auto"/>
              </w:rPr>
            </w:pPr>
          </w:p>
        </w:tc>
      </w:tr>
      <w:tr>
        <w:trPr>
          <w:trHeight w:val="163"/>
        </w:trPr>
        <w:tc>
          <w:tcPr>
            <w:tcW w:w="190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PBRSU based on</w:t>
            </w:r>
          </w:p>
        </w:tc>
        <w:tc>
          <w:tcPr>
            <w:tcW w:w="68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1/02/25</w:t>
            </w:r>
          </w:p>
        </w:tc>
        <w:tc>
          <w:tcPr>
            <w:tcW w:w="6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11/07/24</w:t>
            </w:r>
          </w:p>
        </w:tc>
        <w:tc>
          <w:tcPr>
            <w:tcW w:w="800" w:type="dxa"/>
            <w:vAlign w:val="bottom"/>
            <w:shd w:val="clear" w:color="auto" w:fill="F2F2F2"/>
          </w:tcPr>
          <w:p>
            <w:pPr>
              <w:spacing w:after="0"/>
              <w:rPr>
                <w:sz w:val="14"/>
                <w:szCs w:val="14"/>
                <w:color w:val="auto"/>
              </w:rPr>
            </w:pPr>
          </w:p>
        </w:tc>
        <w:tc>
          <w:tcPr>
            <w:tcW w:w="780" w:type="dxa"/>
            <w:vAlign w:val="bottom"/>
            <w:shd w:val="clear" w:color="auto" w:fill="F2F2F2"/>
          </w:tcPr>
          <w:p>
            <w:pPr>
              <w:spacing w:after="0"/>
              <w:rPr>
                <w:sz w:val="14"/>
                <w:szCs w:val="14"/>
                <w:color w:val="auto"/>
              </w:rPr>
            </w:pPr>
          </w:p>
        </w:tc>
        <w:tc>
          <w:tcPr>
            <w:tcW w:w="1760" w:type="dxa"/>
            <w:vAlign w:val="bottom"/>
            <w:shd w:val="clear" w:color="auto" w:fill="F2F2F2"/>
          </w:tcPr>
          <w:p>
            <w:pPr>
              <w:jc w:val="right"/>
              <w:ind w:right="158"/>
              <w:spacing w:after="0"/>
              <w:rPr>
                <w:sz w:val="20"/>
                <w:szCs w:val="20"/>
                <w:color w:val="auto"/>
              </w:rPr>
            </w:pPr>
            <w:r>
              <w:rPr>
                <w:rFonts w:ascii="Arial" w:cs="Arial" w:eastAsia="Arial" w:hAnsi="Arial"/>
                <w:sz w:val="12"/>
                <w:szCs w:val="12"/>
                <w:color w:val="auto"/>
              </w:rPr>
              <w:t>1,687</w:t>
            </w:r>
          </w:p>
        </w:tc>
        <w:tc>
          <w:tcPr>
            <w:tcW w:w="800" w:type="dxa"/>
            <w:vAlign w:val="bottom"/>
            <w:shd w:val="clear" w:color="auto" w:fill="F2F2F2"/>
          </w:tcPr>
          <w:p>
            <w:pPr>
              <w:jc w:val="right"/>
              <w:ind w:right="158"/>
              <w:spacing w:after="0"/>
              <w:rPr>
                <w:sz w:val="20"/>
                <w:szCs w:val="20"/>
                <w:color w:val="auto"/>
              </w:rPr>
            </w:pPr>
            <w:r>
              <w:rPr>
                <w:rFonts w:ascii="Arial" w:cs="Arial" w:eastAsia="Arial" w:hAnsi="Arial"/>
                <w:sz w:val="12"/>
                <w:szCs w:val="12"/>
                <w:color w:val="auto"/>
              </w:rPr>
              <w:t>6,749</w:t>
            </w:r>
          </w:p>
        </w:tc>
        <w:tc>
          <w:tcPr>
            <w:tcW w:w="2240" w:type="dxa"/>
            <w:vAlign w:val="bottom"/>
            <w:shd w:val="clear" w:color="auto" w:fill="F2F2F2"/>
          </w:tcPr>
          <w:p>
            <w:pPr>
              <w:jc w:val="right"/>
              <w:ind w:right="1498"/>
              <w:spacing w:after="0"/>
              <w:rPr>
                <w:sz w:val="20"/>
                <w:szCs w:val="20"/>
                <w:color w:val="auto"/>
              </w:rPr>
            </w:pPr>
            <w:r>
              <w:rPr>
                <w:rFonts w:ascii="Arial" w:cs="Arial" w:eastAsia="Arial" w:hAnsi="Arial"/>
                <w:sz w:val="12"/>
                <w:szCs w:val="12"/>
                <w:color w:val="auto"/>
              </w:rPr>
              <w:t>13,498</w:t>
            </w:r>
          </w:p>
        </w:tc>
        <w:tc>
          <w:tcPr>
            <w:tcW w:w="560" w:type="dxa"/>
            <w:vAlign w:val="bottom"/>
            <w:shd w:val="clear" w:color="auto" w:fill="F2F2F2"/>
          </w:tcPr>
          <w:p>
            <w:pPr>
              <w:spacing w:after="0"/>
              <w:rPr>
                <w:sz w:val="14"/>
                <w:szCs w:val="14"/>
                <w:color w:val="auto"/>
              </w:rPr>
            </w:pPr>
          </w:p>
        </w:tc>
        <w:tc>
          <w:tcPr>
            <w:tcW w:w="1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652,595</w:t>
            </w:r>
          </w:p>
        </w:tc>
      </w:tr>
      <w:tr>
        <w:trPr>
          <w:trHeight w:val="134"/>
        </w:trPr>
        <w:tc>
          <w:tcPr>
            <w:tcW w:w="1900" w:type="dxa"/>
            <w:vAlign w:val="bottom"/>
            <w:gridSpan w:val="2"/>
            <w:shd w:val="clear" w:color="auto" w:fill="F2F2F2"/>
          </w:tcPr>
          <w:p>
            <w:pPr>
              <w:ind w:left="80"/>
              <w:spacing w:after="0" w:line="134" w:lineRule="exact"/>
              <w:rPr>
                <w:sz w:val="20"/>
                <w:szCs w:val="20"/>
                <w:color w:val="auto"/>
              </w:rPr>
            </w:pPr>
            <w:r>
              <w:rPr>
                <w:rFonts w:ascii="Arial" w:cs="Arial" w:eastAsia="Arial" w:hAnsi="Arial"/>
                <w:sz w:val="12"/>
                <w:szCs w:val="12"/>
                <w:color w:val="auto"/>
              </w:rPr>
              <w:t>   TSR vs. S&amp;P 500</w:t>
            </w:r>
          </w:p>
        </w:tc>
        <w:tc>
          <w:tcPr>
            <w:tcW w:w="68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800" w:type="dxa"/>
            <w:vAlign w:val="bottom"/>
            <w:shd w:val="clear" w:color="auto" w:fill="F2F2F2"/>
          </w:tcPr>
          <w:p>
            <w:pPr>
              <w:spacing w:after="0"/>
              <w:rPr>
                <w:sz w:val="11"/>
                <w:szCs w:val="11"/>
                <w:color w:val="auto"/>
              </w:rPr>
            </w:pPr>
          </w:p>
        </w:tc>
        <w:tc>
          <w:tcPr>
            <w:tcW w:w="780" w:type="dxa"/>
            <w:vAlign w:val="bottom"/>
            <w:shd w:val="clear" w:color="auto" w:fill="F2F2F2"/>
          </w:tcPr>
          <w:p>
            <w:pPr>
              <w:spacing w:after="0"/>
              <w:rPr>
                <w:sz w:val="11"/>
                <w:szCs w:val="11"/>
                <w:color w:val="auto"/>
              </w:rPr>
            </w:pPr>
          </w:p>
        </w:tc>
        <w:tc>
          <w:tcPr>
            <w:tcW w:w="1760" w:type="dxa"/>
            <w:vAlign w:val="bottom"/>
            <w:shd w:val="clear" w:color="auto" w:fill="F2F2F2"/>
          </w:tcPr>
          <w:p>
            <w:pPr>
              <w:spacing w:after="0"/>
              <w:rPr>
                <w:sz w:val="11"/>
                <w:szCs w:val="11"/>
                <w:color w:val="auto"/>
              </w:rPr>
            </w:pPr>
          </w:p>
        </w:tc>
        <w:tc>
          <w:tcPr>
            <w:tcW w:w="800" w:type="dxa"/>
            <w:vAlign w:val="bottom"/>
            <w:shd w:val="clear" w:color="auto" w:fill="F2F2F2"/>
          </w:tcPr>
          <w:p>
            <w:pPr>
              <w:spacing w:after="0"/>
              <w:rPr>
                <w:sz w:val="11"/>
                <w:szCs w:val="11"/>
                <w:color w:val="auto"/>
              </w:rPr>
            </w:pPr>
          </w:p>
        </w:tc>
        <w:tc>
          <w:tcPr>
            <w:tcW w:w="2240" w:type="dxa"/>
            <w:vAlign w:val="bottom"/>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r>
      <w:tr>
        <w:trPr>
          <w:trHeight w:val="197"/>
        </w:trPr>
        <w:tc>
          <w:tcPr>
            <w:tcW w:w="1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2"/>
                <w:szCs w:val="12"/>
                <w:color w:val="auto"/>
              </w:rPr>
              <w:t>Utilities Index</w:t>
            </w:r>
          </w:p>
        </w:tc>
        <w:tc>
          <w:tcPr>
            <w:tcW w:w="680" w:type="dxa"/>
            <w:vAlign w:val="bottom"/>
            <w:tcBorders>
              <w:bottom w:val="single" w:sz="8" w:color="F2F2F2"/>
            </w:tcBorders>
            <w:shd w:val="clear" w:color="auto" w:fill="F2F2F2"/>
          </w:tcPr>
          <w:p>
            <w:pPr>
              <w:spacing w:after="0"/>
              <w:rPr>
                <w:sz w:val="16"/>
                <w:szCs w:val="16"/>
                <w:color w:val="auto"/>
              </w:rPr>
            </w:pPr>
          </w:p>
        </w:tc>
        <w:tc>
          <w:tcPr>
            <w:tcW w:w="640" w:type="dxa"/>
            <w:vAlign w:val="bottom"/>
            <w:tcBorders>
              <w:bottom w:val="single" w:sz="8" w:color="F2F2F2"/>
            </w:tcBorders>
            <w:shd w:val="clear" w:color="auto" w:fill="F2F2F2"/>
          </w:tcPr>
          <w:p>
            <w:pPr>
              <w:spacing w:after="0"/>
              <w:rPr>
                <w:sz w:val="16"/>
                <w:szCs w:val="16"/>
                <w:color w:val="auto"/>
              </w:rPr>
            </w:pPr>
          </w:p>
        </w:tc>
        <w:tc>
          <w:tcPr>
            <w:tcW w:w="80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shd w:val="clear" w:color="auto" w:fill="F2F2F2"/>
          </w:tcPr>
          <w:p>
            <w:pPr>
              <w:spacing w:after="0"/>
              <w:rPr>
                <w:sz w:val="16"/>
                <w:szCs w:val="16"/>
                <w:color w:val="auto"/>
              </w:rPr>
            </w:pPr>
          </w:p>
        </w:tc>
        <w:tc>
          <w:tcPr>
            <w:tcW w:w="1760" w:type="dxa"/>
            <w:vAlign w:val="bottom"/>
            <w:tcBorders>
              <w:bottom w:val="single" w:sz="8" w:color="F2F2F2"/>
            </w:tcBorders>
            <w:shd w:val="clear" w:color="auto" w:fill="F2F2F2"/>
          </w:tcPr>
          <w:p>
            <w:pPr>
              <w:spacing w:after="0"/>
              <w:rPr>
                <w:sz w:val="16"/>
                <w:szCs w:val="16"/>
                <w:color w:val="auto"/>
              </w:rPr>
            </w:pPr>
          </w:p>
        </w:tc>
        <w:tc>
          <w:tcPr>
            <w:tcW w:w="800" w:type="dxa"/>
            <w:vAlign w:val="bottom"/>
            <w:tcBorders>
              <w:bottom w:val="single" w:sz="8" w:color="F2F2F2"/>
            </w:tcBorders>
            <w:shd w:val="clear" w:color="auto" w:fill="F2F2F2"/>
          </w:tcPr>
          <w:p>
            <w:pPr>
              <w:spacing w:after="0"/>
              <w:rPr>
                <w:sz w:val="16"/>
                <w:szCs w:val="16"/>
                <w:color w:val="auto"/>
              </w:rPr>
            </w:pPr>
          </w:p>
        </w:tc>
        <w:tc>
          <w:tcPr>
            <w:tcW w:w="224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600" w:type="dxa"/>
            <w:vAlign w:val="bottom"/>
            <w:tcBorders>
              <w:bottom w:val="single" w:sz="8" w:color="F2F2F2"/>
            </w:tcBorders>
            <w:shd w:val="clear" w:color="auto" w:fill="F2F2F2"/>
          </w:tcPr>
          <w:p>
            <w:pPr>
              <w:spacing w:after="0"/>
              <w:rPr>
                <w:sz w:val="16"/>
                <w:szCs w:val="16"/>
                <w:color w:val="auto"/>
              </w:rPr>
            </w:pPr>
          </w:p>
        </w:tc>
      </w:tr>
      <w:tr>
        <w:trPr>
          <w:trHeight w:val="175"/>
        </w:trPr>
        <w:tc>
          <w:tcPr>
            <w:tcW w:w="190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PBRSU based on</w:t>
            </w:r>
          </w:p>
        </w:tc>
        <w:tc>
          <w:tcPr>
            <w:tcW w:w="68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1/02/25</w:t>
            </w:r>
          </w:p>
        </w:tc>
        <w:tc>
          <w:tcPr>
            <w:tcW w:w="6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11/07/24</w:t>
            </w:r>
          </w:p>
        </w:tc>
        <w:tc>
          <w:tcPr>
            <w:tcW w:w="800" w:type="dxa"/>
            <w:vAlign w:val="bottom"/>
            <w:tcBorders>
              <w:top w:val="single" w:sz="8" w:color="7F7F7F"/>
            </w:tcBorders>
          </w:tcPr>
          <w:p>
            <w:pPr>
              <w:spacing w:after="0"/>
              <w:rPr>
                <w:sz w:val="15"/>
                <w:szCs w:val="15"/>
                <w:color w:val="auto"/>
              </w:rPr>
            </w:pPr>
          </w:p>
        </w:tc>
        <w:tc>
          <w:tcPr>
            <w:tcW w:w="780" w:type="dxa"/>
            <w:vAlign w:val="bottom"/>
            <w:tcBorders>
              <w:top w:val="single" w:sz="8" w:color="7F7F7F"/>
            </w:tcBorders>
          </w:tcPr>
          <w:p>
            <w:pPr>
              <w:spacing w:after="0"/>
              <w:rPr>
                <w:sz w:val="15"/>
                <w:szCs w:val="15"/>
                <w:color w:val="auto"/>
              </w:rPr>
            </w:pPr>
          </w:p>
        </w:tc>
        <w:tc>
          <w:tcPr>
            <w:tcW w:w="1760" w:type="dxa"/>
            <w:vAlign w:val="bottom"/>
            <w:tcBorders>
              <w:top w:val="single" w:sz="8" w:color="7F7F7F"/>
            </w:tcBorders>
          </w:tcPr>
          <w:p>
            <w:pPr>
              <w:jc w:val="right"/>
              <w:ind w:right="158"/>
              <w:spacing w:after="0"/>
              <w:rPr>
                <w:sz w:val="20"/>
                <w:szCs w:val="20"/>
                <w:color w:val="auto"/>
              </w:rPr>
            </w:pPr>
            <w:r>
              <w:rPr>
                <w:rFonts w:ascii="Arial" w:cs="Arial" w:eastAsia="Arial" w:hAnsi="Arial"/>
                <w:sz w:val="12"/>
                <w:szCs w:val="12"/>
                <w:color w:val="auto"/>
              </w:rPr>
              <w:t>723</w:t>
            </w:r>
          </w:p>
        </w:tc>
        <w:tc>
          <w:tcPr>
            <w:tcW w:w="800" w:type="dxa"/>
            <w:vAlign w:val="bottom"/>
            <w:tcBorders>
              <w:top w:val="single" w:sz="8" w:color="7F7F7F"/>
            </w:tcBorders>
          </w:tcPr>
          <w:p>
            <w:pPr>
              <w:jc w:val="right"/>
              <w:ind w:right="158"/>
              <w:spacing w:after="0"/>
              <w:rPr>
                <w:sz w:val="20"/>
                <w:szCs w:val="20"/>
                <w:color w:val="auto"/>
              </w:rPr>
            </w:pPr>
            <w:r>
              <w:rPr>
                <w:rFonts w:ascii="Arial" w:cs="Arial" w:eastAsia="Arial" w:hAnsi="Arial"/>
                <w:sz w:val="12"/>
                <w:szCs w:val="12"/>
                <w:color w:val="auto"/>
              </w:rPr>
              <w:t>2,893</w:t>
            </w:r>
          </w:p>
        </w:tc>
        <w:tc>
          <w:tcPr>
            <w:tcW w:w="2240" w:type="dxa"/>
            <w:vAlign w:val="bottom"/>
            <w:tcBorders>
              <w:top w:val="single" w:sz="8" w:color="7F7F7F"/>
            </w:tcBorders>
          </w:tcPr>
          <w:p>
            <w:pPr>
              <w:jc w:val="right"/>
              <w:ind w:right="1498"/>
              <w:spacing w:after="0"/>
              <w:rPr>
                <w:sz w:val="20"/>
                <w:szCs w:val="20"/>
                <w:color w:val="auto"/>
              </w:rPr>
            </w:pPr>
            <w:r>
              <w:rPr>
                <w:rFonts w:ascii="Arial" w:cs="Arial" w:eastAsia="Arial" w:hAnsi="Arial"/>
                <w:sz w:val="12"/>
                <w:szCs w:val="12"/>
                <w:color w:val="auto"/>
              </w:rPr>
              <w:t>5,786</w:t>
            </w:r>
          </w:p>
        </w:tc>
        <w:tc>
          <w:tcPr>
            <w:tcW w:w="560" w:type="dxa"/>
            <w:vAlign w:val="bottom"/>
            <w:tcBorders>
              <w:top w:val="single" w:sz="8" w:color="7F7F7F"/>
            </w:tcBorders>
          </w:tcPr>
          <w:p>
            <w:pPr>
              <w:spacing w:after="0"/>
              <w:rPr>
                <w:sz w:val="15"/>
                <w:szCs w:val="15"/>
                <w:color w:val="auto"/>
              </w:rPr>
            </w:pPr>
          </w:p>
        </w:tc>
        <w:tc>
          <w:tcPr>
            <w:tcW w:w="1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318,441</w:t>
            </w:r>
          </w:p>
        </w:tc>
      </w:tr>
    </w:tbl>
    <w:p>
      <w:pPr>
        <w:ind w:left="360" w:hanging="121"/>
        <w:spacing w:after="0" w:line="232" w:lineRule="auto"/>
        <w:tabs>
          <w:tab w:leader="none" w:pos="3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TSR vs. S&amp;P 500</w:t>
      </w:r>
    </w:p>
    <w:p>
      <w:pPr>
        <w:ind w:left="360" w:hanging="121"/>
        <w:spacing w:after="0"/>
        <w:tabs>
          <w:tab w:leader="none" w:pos="3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Index</w:t>
      </w:r>
    </w:p>
    <w:p>
      <w:pPr>
        <w:spacing w:after="0" w:line="22"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1900" w:type="dxa"/>
            <w:vAlign w:val="bottom"/>
            <w:tcBorders>
              <w:top w:val="single" w:sz="8" w:color="7F7F7F"/>
            </w:tcBorders>
            <w:gridSpan w:val="2"/>
            <w:shd w:val="clear" w:color="auto" w:fill="F2F2F2"/>
          </w:tcPr>
          <w:p>
            <w:pPr>
              <w:ind w:left="80"/>
              <w:spacing w:after="0"/>
              <w:rPr>
                <w:sz w:val="20"/>
                <w:szCs w:val="20"/>
                <w:color w:val="auto"/>
              </w:rPr>
            </w:pPr>
            <w:r>
              <w:rPr>
                <w:rFonts w:ascii="Arial" w:cs="Arial" w:eastAsia="Arial" w:hAnsi="Arial"/>
                <w:sz w:val="12"/>
                <w:szCs w:val="12"/>
                <w:color w:val="auto"/>
              </w:rPr>
              <w:t>PBRSU based on</w:t>
            </w:r>
          </w:p>
        </w:tc>
        <w:tc>
          <w:tcPr>
            <w:tcW w:w="680" w:type="dxa"/>
            <w:vAlign w:val="bottom"/>
            <w:tcBorders>
              <w:top w:val="single" w:sz="8" w:color="7F7F7F"/>
            </w:tcBorders>
            <w:shd w:val="clear" w:color="auto" w:fill="F2F2F2"/>
          </w:tcPr>
          <w:p>
            <w:pPr>
              <w:jc w:val="right"/>
              <w:ind w:right="38"/>
              <w:spacing w:after="0"/>
              <w:rPr>
                <w:sz w:val="20"/>
                <w:szCs w:val="20"/>
                <w:color w:val="auto"/>
              </w:rPr>
            </w:pPr>
            <w:r>
              <w:rPr>
                <w:rFonts w:ascii="Arial" w:cs="Arial" w:eastAsia="Arial" w:hAnsi="Arial"/>
                <w:sz w:val="12"/>
                <w:szCs w:val="12"/>
                <w:color w:val="auto"/>
              </w:rPr>
              <w:t>1/02/25</w:t>
            </w:r>
          </w:p>
        </w:tc>
        <w:tc>
          <w:tcPr>
            <w:tcW w:w="640" w:type="dxa"/>
            <w:vAlign w:val="bottom"/>
            <w:tcBorders>
              <w:top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11/07/24</w:t>
            </w:r>
          </w:p>
        </w:tc>
        <w:tc>
          <w:tcPr>
            <w:tcW w:w="200" w:type="dxa"/>
            <w:vAlign w:val="bottom"/>
            <w:tcBorders>
              <w:top w:val="single" w:sz="8" w:color="7F7F7F"/>
            </w:tcBorders>
            <w:shd w:val="clear" w:color="auto" w:fill="F2F2F2"/>
          </w:tcPr>
          <w:p>
            <w:pPr>
              <w:spacing w:after="0"/>
              <w:rPr>
                <w:sz w:val="15"/>
                <w:szCs w:val="15"/>
                <w:color w:val="auto"/>
              </w:rPr>
            </w:pPr>
          </w:p>
        </w:tc>
        <w:tc>
          <w:tcPr>
            <w:tcW w:w="600" w:type="dxa"/>
            <w:vAlign w:val="bottom"/>
            <w:tcBorders>
              <w:top w:val="single" w:sz="8" w:color="7F7F7F"/>
            </w:tcBorders>
            <w:shd w:val="clear" w:color="auto" w:fill="F2F2F2"/>
          </w:tcPr>
          <w:p>
            <w:pPr>
              <w:spacing w:after="0"/>
              <w:rPr>
                <w:sz w:val="15"/>
                <w:szCs w:val="15"/>
                <w:color w:val="auto"/>
              </w:rPr>
            </w:pPr>
          </w:p>
        </w:tc>
        <w:tc>
          <w:tcPr>
            <w:tcW w:w="200" w:type="dxa"/>
            <w:vAlign w:val="bottom"/>
            <w:tcBorders>
              <w:top w:val="single" w:sz="8" w:color="7F7F7F"/>
            </w:tcBorders>
            <w:shd w:val="clear" w:color="auto" w:fill="F2F2F2"/>
          </w:tcPr>
          <w:p>
            <w:pPr>
              <w:spacing w:after="0"/>
              <w:rPr>
                <w:sz w:val="15"/>
                <w:szCs w:val="15"/>
                <w:color w:val="auto"/>
              </w:rPr>
            </w:pPr>
          </w:p>
        </w:tc>
        <w:tc>
          <w:tcPr>
            <w:tcW w:w="580" w:type="dxa"/>
            <w:vAlign w:val="bottom"/>
            <w:tcBorders>
              <w:top w:val="single" w:sz="8" w:color="7F7F7F"/>
            </w:tcBorders>
            <w:shd w:val="clear" w:color="auto" w:fill="F2F2F2"/>
          </w:tcPr>
          <w:p>
            <w:pPr>
              <w:spacing w:after="0"/>
              <w:rPr>
                <w:sz w:val="15"/>
                <w:szCs w:val="15"/>
                <w:color w:val="auto"/>
              </w:rPr>
            </w:pPr>
          </w:p>
        </w:tc>
        <w:tc>
          <w:tcPr>
            <w:tcW w:w="1780" w:type="dxa"/>
            <w:vAlign w:val="bottom"/>
            <w:tcBorders>
              <w:top w:val="single" w:sz="8" w:color="7F7F7F"/>
            </w:tcBorders>
            <w:shd w:val="clear" w:color="auto" w:fill="F2F2F2"/>
          </w:tcPr>
          <w:p>
            <w:pPr>
              <w:jc w:val="right"/>
              <w:ind w:right="178"/>
              <w:spacing w:after="0"/>
              <w:rPr>
                <w:sz w:val="20"/>
                <w:szCs w:val="20"/>
                <w:color w:val="auto"/>
              </w:rPr>
            </w:pPr>
            <w:r>
              <w:rPr>
                <w:rFonts w:ascii="Arial" w:cs="Arial" w:eastAsia="Arial" w:hAnsi="Arial"/>
                <w:sz w:val="12"/>
                <w:szCs w:val="12"/>
                <w:color w:val="auto"/>
              </w:rPr>
              <w:t>2,410</w:t>
            </w:r>
          </w:p>
        </w:tc>
        <w:tc>
          <w:tcPr>
            <w:tcW w:w="820" w:type="dxa"/>
            <w:vAlign w:val="bottom"/>
            <w:tcBorders>
              <w:top w:val="single" w:sz="8" w:color="7F7F7F"/>
            </w:tcBorders>
            <w:shd w:val="clear" w:color="auto" w:fill="F2F2F2"/>
          </w:tcPr>
          <w:p>
            <w:pPr>
              <w:jc w:val="right"/>
              <w:ind w:right="198"/>
              <w:spacing w:after="0"/>
              <w:rPr>
                <w:sz w:val="20"/>
                <w:szCs w:val="20"/>
                <w:color w:val="auto"/>
              </w:rPr>
            </w:pPr>
            <w:r>
              <w:rPr>
                <w:rFonts w:ascii="Arial" w:cs="Arial" w:eastAsia="Arial" w:hAnsi="Arial"/>
                <w:sz w:val="12"/>
                <w:szCs w:val="12"/>
                <w:color w:val="auto"/>
              </w:rPr>
              <w:t>9,641</w:t>
            </w:r>
          </w:p>
        </w:tc>
        <w:tc>
          <w:tcPr>
            <w:tcW w:w="2200" w:type="dxa"/>
            <w:vAlign w:val="bottom"/>
            <w:tcBorders>
              <w:top w:val="single" w:sz="8" w:color="7F7F7F"/>
            </w:tcBorders>
            <w:shd w:val="clear" w:color="auto" w:fill="F2F2F2"/>
          </w:tcPr>
          <w:p>
            <w:pPr>
              <w:jc w:val="right"/>
              <w:ind w:right="1498"/>
              <w:spacing w:after="0"/>
              <w:rPr>
                <w:sz w:val="20"/>
                <w:szCs w:val="20"/>
                <w:color w:val="auto"/>
              </w:rPr>
            </w:pPr>
            <w:r>
              <w:rPr>
                <w:rFonts w:ascii="Arial" w:cs="Arial" w:eastAsia="Arial" w:hAnsi="Arial"/>
                <w:sz w:val="12"/>
                <w:szCs w:val="12"/>
                <w:color w:val="auto"/>
              </w:rPr>
              <w:t>19,282</w:t>
            </w:r>
          </w:p>
        </w:tc>
        <w:tc>
          <w:tcPr>
            <w:tcW w:w="560" w:type="dxa"/>
            <w:vAlign w:val="bottom"/>
            <w:tcBorders>
              <w:top w:val="single" w:sz="8" w:color="7F7F7F"/>
            </w:tcBorders>
            <w:shd w:val="clear" w:color="auto" w:fill="F2F2F2"/>
          </w:tcPr>
          <w:p>
            <w:pPr>
              <w:spacing w:after="0"/>
              <w:rPr>
                <w:sz w:val="15"/>
                <w:szCs w:val="15"/>
                <w:color w:val="auto"/>
              </w:rPr>
            </w:pPr>
          </w:p>
        </w:tc>
        <w:tc>
          <w:tcPr>
            <w:tcW w:w="200" w:type="dxa"/>
            <w:vAlign w:val="bottom"/>
            <w:tcBorders>
              <w:top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840,020</w:t>
            </w:r>
          </w:p>
        </w:tc>
      </w:tr>
      <w:tr>
        <w:trPr>
          <w:trHeight w:val="197"/>
        </w:trPr>
        <w:tc>
          <w:tcPr>
            <w:tcW w:w="1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2"/>
                <w:szCs w:val="12"/>
                <w:color w:val="auto"/>
              </w:rPr>
              <w:t>EPS growth</w:t>
            </w:r>
          </w:p>
        </w:tc>
        <w:tc>
          <w:tcPr>
            <w:tcW w:w="680" w:type="dxa"/>
            <w:vAlign w:val="bottom"/>
            <w:tcBorders>
              <w:bottom w:val="single" w:sz="8" w:color="F2F2F2"/>
            </w:tcBorders>
            <w:shd w:val="clear" w:color="auto" w:fill="F2F2F2"/>
          </w:tcPr>
          <w:p>
            <w:pPr>
              <w:spacing w:after="0"/>
              <w:rPr>
                <w:sz w:val="16"/>
                <w:szCs w:val="16"/>
                <w:color w:val="auto"/>
              </w:rPr>
            </w:pPr>
          </w:p>
        </w:tc>
        <w:tc>
          <w:tcPr>
            <w:tcW w:w="64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60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80" w:type="dxa"/>
            <w:vAlign w:val="bottom"/>
            <w:tcBorders>
              <w:bottom w:val="single" w:sz="8" w:color="F2F2F2"/>
            </w:tcBorders>
            <w:shd w:val="clear" w:color="auto" w:fill="F2F2F2"/>
          </w:tcPr>
          <w:p>
            <w:pPr>
              <w:spacing w:after="0"/>
              <w:rPr>
                <w:sz w:val="16"/>
                <w:szCs w:val="16"/>
                <w:color w:val="auto"/>
              </w:rPr>
            </w:pPr>
          </w:p>
        </w:tc>
        <w:tc>
          <w:tcPr>
            <w:tcW w:w="178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F2F2F2"/>
            </w:tcBorders>
            <w:shd w:val="clear" w:color="auto" w:fill="F2F2F2"/>
          </w:tcPr>
          <w:p>
            <w:pPr>
              <w:spacing w:after="0"/>
              <w:rPr>
                <w:sz w:val="16"/>
                <w:szCs w:val="16"/>
                <w:color w:val="auto"/>
              </w:rPr>
            </w:pPr>
          </w:p>
        </w:tc>
        <w:tc>
          <w:tcPr>
            <w:tcW w:w="2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r>
      <w:tr>
        <w:trPr>
          <w:trHeight w:val="163"/>
        </w:trPr>
        <w:tc>
          <w:tcPr>
            <w:tcW w:w="190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Nonqualified</w:t>
            </w:r>
          </w:p>
        </w:tc>
        <w:tc>
          <w:tcPr>
            <w:tcW w:w="68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1/02/25</w:t>
            </w:r>
          </w:p>
        </w:tc>
        <w:tc>
          <w:tcPr>
            <w:tcW w:w="6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11/07/24</w:t>
            </w:r>
          </w:p>
        </w:tc>
        <w:tc>
          <w:tcPr>
            <w:tcW w:w="200" w:type="dxa"/>
            <w:vAlign w:val="bottom"/>
            <w:tcBorders>
              <w:top w:val="single" w:sz="8" w:color="7F7F7F"/>
            </w:tcBorders>
          </w:tcPr>
          <w:p>
            <w:pPr>
              <w:spacing w:after="0"/>
              <w:rPr>
                <w:sz w:val="14"/>
                <w:szCs w:val="14"/>
                <w:color w:val="auto"/>
              </w:rPr>
            </w:pPr>
          </w:p>
        </w:tc>
        <w:tc>
          <w:tcPr>
            <w:tcW w:w="600" w:type="dxa"/>
            <w:vAlign w:val="bottom"/>
            <w:tcBorders>
              <w:top w:val="single" w:sz="8" w:color="7F7F7F"/>
            </w:tcBorders>
          </w:tcPr>
          <w:p>
            <w:pPr>
              <w:spacing w:after="0"/>
              <w:rPr>
                <w:sz w:val="14"/>
                <w:szCs w:val="14"/>
                <w:color w:val="auto"/>
              </w:rPr>
            </w:pPr>
          </w:p>
        </w:tc>
        <w:tc>
          <w:tcPr>
            <w:tcW w:w="200" w:type="dxa"/>
            <w:vAlign w:val="bottom"/>
            <w:tcBorders>
              <w:top w:val="single" w:sz="8" w:color="7F7F7F"/>
            </w:tcBorders>
          </w:tcPr>
          <w:p>
            <w:pPr>
              <w:spacing w:after="0"/>
              <w:rPr>
                <w:sz w:val="14"/>
                <w:szCs w:val="14"/>
                <w:color w:val="auto"/>
              </w:rPr>
            </w:pPr>
          </w:p>
        </w:tc>
        <w:tc>
          <w:tcPr>
            <w:tcW w:w="580" w:type="dxa"/>
            <w:vAlign w:val="bottom"/>
            <w:tcBorders>
              <w:top w:val="single" w:sz="8" w:color="7F7F7F"/>
            </w:tcBorders>
          </w:tcPr>
          <w:p>
            <w:pPr>
              <w:spacing w:after="0"/>
              <w:rPr>
                <w:sz w:val="14"/>
                <w:szCs w:val="14"/>
                <w:color w:val="auto"/>
              </w:rPr>
            </w:pPr>
          </w:p>
        </w:tc>
        <w:tc>
          <w:tcPr>
            <w:tcW w:w="1780" w:type="dxa"/>
            <w:vAlign w:val="bottom"/>
            <w:tcBorders>
              <w:top w:val="single" w:sz="8" w:color="7F7F7F"/>
            </w:tcBorders>
          </w:tcPr>
          <w:p>
            <w:pPr>
              <w:spacing w:after="0"/>
              <w:rPr>
                <w:sz w:val="14"/>
                <w:szCs w:val="14"/>
                <w:color w:val="auto"/>
              </w:rPr>
            </w:pPr>
          </w:p>
        </w:tc>
        <w:tc>
          <w:tcPr>
            <w:tcW w:w="820" w:type="dxa"/>
            <w:vAlign w:val="bottom"/>
            <w:tcBorders>
              <w:top w:val="single" w:sz="8" w:color="7F7F7F"/>
            </w:tcBorders>
          </w:tcPr>
          <w:p>
            <w:pPr>
              <w:spacing w:after="0"/>
              <w:rPr>
                <w:sz w:val="14"/>
                <w:szCs w:val="14"/>
                <w:color w:val="auto"/>
              </w:rPr>
            </w:pPr>
          </w:p>
        </w:tc>
        <w:tc>
          <w:tcPr>
            <w:tcW w:w="220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40,817</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$ 87.13</w:t>
            </w:r>
          </w:p>
        </w:tc>
        <w:tc>
          <w:tcPr>
            <w:tcW w:w="2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840,014</w:t>
            </w:r>
          </w:p>
        </w:tc>
      </w:tr>
      <w:tr>
        <w:trPr>
          <w:trHeight w:val="165"/>
        </w:trPr>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tcPr>
          <w:p>
            <w:pPr>
              <w:ind w:left="40"/>
              <w:spacing w:after="0"/>
              <w:rPr>
                <w:sz w:val="20"/>
                <w:szCs w:val="20"/>
                <w:color w:val="auto"/>
              </w:rPr>
            </w:pPr>
            <w:r>
              <w:rPr>
                <w:rFonts w:ascii="Arial" w:cs="Arial" w:eastAsia="Arial" w:hAnsi="Arial"/>
                <w:sz w:val="12"/>
                <w:szCs w:val="12"/>
                <w:color w:val="auto"/>
              </w:rPr>
              <w:t>Stock Options</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7"/>
        </w:trPr>
        <w:tc>
          <w:tcPr>
            <w:tcW w:w="1900" w:type="dxa"/>
            <w:vAlign w:val="bottom"/>
            <w:tcBorders>
              <w:bottom w:val="single" w:sz="8" w:color="7F7F7F"/>
            </w:tcBorders>
            <w:gridSpan w:val="2"/>
          </w:tcPr>
          <w:p>
            <w:pPr>
              <w:spacing w:after="0"/>
              <w:rPr>
                <w:sz w:val="2"/>
                <w:szCs w:val="2"/>
                <w:color w:val="auto"/>
              </w:rPr>
            </w:pPr>
          </w:p>
        </w:tc>
        <w:tc>
          <w:tcPr>
            <w:tcW w:w="680" w:type="dxa"/>
            <w:vAlign w:val="bottom"/>
            <w:tcBorders>
              <w:bottom w:val="single" w:sz="8" w:color="7F7F7F"/>
            </w:tcBorders>
          </w:tcPr>
          <w:p>
            <w:pPr>
              <w:spacing w:after="0"/>
              <w:rPr>
                <w:sz w:val="2"/>
                <w:szCs w:val="2"/>
                <w:color w:val="auto"/>
              </w:rPr>
            </w:pPr>
          </w:p>
        </w:tc>
        <w:tc>
          <w:tcPr>
            <w:tcW w:w="64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60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580" w:type="dxa"/>
            <w:vAlign w:val="bottom"/>
            <w:tcBorders>
              <w:bottom w:val="single" w:sz="8" w:color="7F7F7F"/>
            </w:tcBorders>
          </w:tcPr>
          <w:p>
            <w:pPr>
              <w:spacing w:after="0"/>
              <w:rPr>
                <w:sz w:val="2"/>
                <w:szCs w:val="2"/>
                <w:color w:val="auto"/>
              </w:rPr>
            </w:pPr>
          </w:p>
        </w:tc>
        <w:tc>
          <w:tcPr>
            <w:tcW w:w="1780" w:type="dxa"/>
            <w:vAlign w:val="bottom"/>
            <w:tcBorders>
              <w:bottom w:val="single" w:sz="8" w:color="7F7F7F"/>
            </w:tcBorders>
          </w:tcPr>
          <w:p>
            <w:pPr>
              <w:spacing w:after="0"/>
              <w:rPr>
                <w:sz w:val="2"/>
                <w:szCs w:val="2"/>
                <w:color w:val="auto"/>
              </w:rPr>
            </w:pPr>
          </w:p>
        </w:tc>
        <w:tc>
          <w:tcPr>
            <w:tcW w:w="820" w:type="dxa"/>
            <w:vAlign w:val="bottom"/>
            <w:tcBorders>
              <w:bottom w:val="single" w:sz="8" w:color="7F7F7F"/>
            </w:tcBorders>
          </w:tcPr>
          <w:p>
            <w:pPr>
              <w:spacing w:after="0"/>
              <w:rPr>
                <w:sz w:val="2"/>
                <w:szCs w:val="2"/>
                <w:color w:val="auto"/>
              </w:rPr>
            </w:pPr>
          </w:p>
        </w:tc>
        <w:tc>
          <w:tcPr>
            <w:tcW w:w="2200" w:type="dxa"/>
            <w:vAlign w:val="bottom"/>
            <w:tcBorders>
              <w:bottom w:val="single" w:sz="8" w:color="7F7F7F"/>
            </w:tcBorders>
          </w:tcPr>
          <w:p>
            <w:pPr>
              <w:spacing w:after="0"/>
              <w:rPr>
                <w:sz w:val="2"/>
                <w:szCs w:val="2"/>
                <w:color w:val="auto"/>
              </w:rPr>
            </w:pPr>
          </w:p>
        </w:tc>
        <w:tc>
          <w:tcPr>
            <w:tcW w:w="56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560" w:type="dxa"/>
            <w:vAlign w:val="bottom"/>
            <w:tcBorders>
              <w:bottom w:val="single" w:sz="8" w:color="7F7F7F"/>
            </w:tcBorders>
          </w:tcPr>
          <w:p>
            <w:pPr>
              <w:spacing w:after="0"/>
              <w:rPr>
                <w:sz w:val="2"/>
                <w:szCs w:val="2"/>
                <w:color w:val="auto"/>
              </w:rPr>
            </w:pPr>
          </w:p>
        </w:tc>
      </w:tr>
      <w:tr>
        <w:trPr>
          <w:trHeight w:val="163"/>
        </w:trPr>
        <w:tc>
          <w:tcPr>
            <w:tcW w:w="190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Performance-Based</w:t>
            </w:r>
          </w:p>
        </w:tc>
        <w:tc>
          <w:tcPr>
            <w:tcW w:w="68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2F2F2"/>
          </w:tcPr>
          <w:p>
            <w:pPr>
              <w:jc w:val="right"/>
              <w:ind w:right="18"/>
              <w:spacing w:after="0"/>
              <w:rPr>
                <w:sz w:val="20"/>
                <w:szCs w:val="20"/>
                <w:color w:val="auto"/>
              </w:rPr>
            </w:pPr>
            <w:r>
              <w:rPr>
                <w:rFonts w:ascii="Arial" w:cs="Arial" w:eastAsia="Arial" w:hAnsi="Arial"/>
                <w:sz w:val="12"/>
                <w:szCs w:val="12"/>
                <w:color w:val="auto"/>
              </w:rPr>
              <w:t>252,000</w:t>
            </w:r>
          </w:p>
        </w:tc>
        <w:tc>
          <w:tcPr>
            <w:tcW w:w="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F2F2F2"/>
          </w:tcPr>
          <w:p>
            <w:pPr>
              <w:jc w:val="right"/>
              <w:ind w:right="18"/>
              <w:spacing w:after="0"/>
              <w:rPr>
                <w:sz w:val="20"/>
                <w:szCs w:val="20"/>
                <w:color w:val="auto"/>
              </w:rPr>
            </w:pPr>
            <w:r>
              <w:rPr>
                <w:rFonts w:ascii="Arial" w:cs="Arial" w:eastAsia="Arial" w:hAnsi="Arial"/>
                <w:sz w:val="12"/>
                <w:szCs w:val="12"/>
                <w:color w:val="auto"/>
              </w:rPr>
              <w:t>630,000</w:t>
            </w:r>
          </w:p>
        </w:tc>
        <w:tc>
          <w:tcPr>
            <w:tcW w:w="1780" w:type="dxa"/>
            <w:vAlign w:val="bottom"/>
            <w:shd w:val="clear" w:color="auto" w:fill="F2F2F2"/>
          </w:tcPr>
          <w:p>
            <w:pPr>
              <w:jc w:val="right"/>
              <w:ind w:right="998"/>
              <w:spacing w:after="0"/>
              <w:rPr>
                <w:sz w:val="20"/>
                <w:szCs w:val="20"/>
                <w:color w:val="auto"/>
              </w:rPr>
            </w:pPr>
            <w:r>
              <w:rPr>
                <w:rFonts w:ascii="Arial" w:cs="Arial" w:eastAsia="Arial" w:hAnsi="Arial"/>
                <w:sz w:val="12"/>
                <w:szCs w:val="12"/>
                <w:color w:val="auto"/>
              </w:rPr>
              <w:t>$ 1,260,000</w:t>
            </w:r>
          </w:p>
        </w:tc>
        <w:tc>
          <w:tcPr>
            <w:tcW w:w="820" w:type="dxa"/>
            <w:vAlign w:val="bottom"/>
            <w:shd w:val="clear" w:color="auto" w:fill="F2F2F2"/>
          </w:tcPr>
          <w:p>
            <w:pPr>
              <w:spacing w:after="0"/>
              <w:rPr>
                <w:sz w:val="14"/>
                <w:szCs w:val="14"/>
                <w:color w:val="auto"/>
              </w:rPr>
            </w:pPr>
          </w:p>
        </w:tc>
        <w:tc>
          <w:tcPr>
            <w:tcW w:w="220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r>
      <w:tr>
        <w:trPr>
          <w:trHeight w:val="197"/>
        </w:trPr>
        <w:tc>
          <w:tcPr>
            <w:tcW w:w="1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2"/>
                <w:szCs w:val="12"/>
                <w:color w:val="auto"/>
              </w:rPr>
              <w:t>Annual Bonus</w:t>
            </w:r>
          </w:p>
        </w:tc>
        <w:tc>
          <w:tcPr>
            <w:tcW w:w="680" w:type="dxa"/>
            <w:vAlign w:val="bottom"/>
            <w:tcBorders>
              <w:bottom w:val="single" w:sz="8" w:color="F2F2F2"/>
            </w:tcBorders>
            <w:shd w:val="clear" w:color="auto" w:fill="F2F2F2"/>
          </w:tcPr>
          <w:p>
            <w:pPr>
              <w:spacing w:after="0"/>
              <w:rPr>
                <w:sz w:val="16"/>
                <w:szCs w:val="16"/>
                <w:color w:val="auto"/>
              </w:rPr>
            </w:pPr>
          </w:p>
        </w:tc>
        <w:tc>
          <w:tcPr>
            <w:tcW w:w="64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60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80" w:type="dxa"/>
            <w:vAlign w:val="bottom"/>
            <w:tcBorders>
              <w:bottom w:val="single" w:sz="8" w:color="F2F2F2"/>
            </w:tcBorders>
            <w:shd w:val="clear" w:color="auto" w:fill="F2F2F2"/>
          </w:tcPr>
          <w:p>
            <w:pPr>
              <w:spacing w:after="0"/>
              <w:rPr>
                <w:sz w:val="16"/>
                <w:szCs w:val="16"/>
                <w:color w:val="auto"/>
              </w:rPr>
            </w:pPr>
          </w:p>
        </w:tc>
        <w:tc>
          <w:tcPr>
            <w:tcW w:w="178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F2F2F2"/>
            </w:tcBorders>
            <w:shd w:val="clear" w:color="auto" w:fill="F2F2F2"/>
          </w:tcPr>
          <w:p>
            <w:pPr>
              <w:spacing w:after="0"/>
              <w:rPr>
                <w:sz w:val="16"/>
                <w:szCs w:val="16"/>
                <w:color w:val="auto"/>
              </w:rPr>
            </w:pPr>
          </w:p>
        </w:tc>
        <w:tc>
          <w:tcPr>
            <w:tcW w:w="2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r>
      <w:tr>
        <w:trPr>
          <w:trHeight w:val="200"/>
        </w:trPr>
        <w:tc>
          <w:tcPr>
            <w:tcW w:w="190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b w:val="1"/>
                <w:bCs w:val="1"/>
                <w:color w:val="auto"/>
              </w:rPr>
              <w:t>Justin C. Bird</w:t>
            </w:r>
          </w:p>
        </w:tc>
        <w:tc>
          <w:tcPr>
            <w:tcW w:w="680" w:type="dxa"/>
            <w:vAlign w:val="bottom"/>
            <w:tcBorders>
              <w:top w:val="single" w:sz="8" w:color="7F7F7F"/>
            </w:tcBorders>
          </w:tcPr>
          <w:p>
            <w:pPr>
              <w:spacing w:after="0"/>
              <w:rPr>
                <w:sz w:val="17"/>
                <w:szCs w:val="17"/>
                <w:color w:val="auto"/>
              </w:rPr>
            </w:pPr>
          </w:p>
        </w:tc>
        <w:tc>
          <w:tcPr>
            <w:tcW w:w="640" w:type="dxa"/>
            <w:vAlign w:val="bottom"/>
            <w:tcBorders>
              <w:top w:val="single" w:sz="8" w:color="7F7F7F"/>
            </w:tcBorders>
          </w:tcPr>
          <w:p>
            <w:pPr>
              <w:spacing w:after="0"/>
              <w:rPr>
                <w:sz w:val="17"/>
                <w:szCs w:val="17"/>
                <w:color w:val="auto"/>
              </w:rPr>
            </w:pPr>
          </w:p>
        </w:tc>
        <w:tc>
          <w:tcPr>
            <w:tcW w:w="200" w:type="dxa"/>
            <w:vAlign w:val="bottom"/>
            <w:tcBorders>
              <w:top w:val="single" w:sz="8" w:color="7F7F7F"/>
            </w:tcBorders>
          </w:tcPr>
          <w:p>
            <w:pPr>
              <w:spacing w:after="0"/>
              <w:rPr>
                <w:sz w:val="17"/>
                <w:szCs w:val="17"/>
                <w:color w:val="auto"/>
              </w:rPr>
            </w:pPr>
          </w:p>
        </w:tc>
        <w:tc>
          <w:tcPr>
            <w:tcW w:w="600" w:type="dxa"/>
            <w:vAlign w:val="bottom"/>
            <w:tcBorders>
              <w:top w:val="single" w:sz="8" w:color="7F7F7F"/>
            </w:tcBorders>
          </w:tcPr>
          <w:p>
            <w:pPr>
              <w:spacing w:after="0"/>
              <w:rPr>
                <w:sz w:val="17"/>
                <w:szCs w:val="17"/>
                <w:color w:val="auto"/>
              </w:rPr>
            </w:pPr>
          </w:p>
        </w:tc>
        <w:tc>
          <w:tcPr>
            <w:tcW w:w="200" w:type="dxa"/>
            <w:vAlign w:val="bottom"/>
            <w:tcBorders>
              <w:top w:val="single" w:sz="8" w:color="7F7F7F"/>
            </w:tcBorders>
          </w:tcPr>
          <w:p>
            <w:pPr>
              <w:spacing w:after="0"/>
              <w:rPr>
                <w:sz w:val="17"/>
                <w:szCs w:val="17"/>
                <w:color w:val="auto"/>
              </w:rPr>
            </w:pPr>
          </w:p>
        </w:tc>
        <w:tc>
          <w:tcPr>
            <w:tcW w:w="580" w:type="dxa"/>
            <w:vAlign w:val="bottom"/>
            <w:tcBorders>
              <w:top w:val="single" w:sz="8" w:color="7F7F7F"/>
            </w:tcBorders>
          </w:tcPr>
          <w:p>
            <w:pPr>
              <w:spacing w:after="0"/>
              <w:rPr>
                <w:sz w:val="17"/>
                <w:szCs w:val="17"/>
                <w:color w:val="auto"/>
              </w:rPr>
            </w:pPr>
          </w:p>
        </w:tc>
        <w:tc>
          <w:tcPr>
            <w:tcW w:w="1780" w:type="dxa"/>
            <w:vAlign w:val="bottom"/>
            <w:tcBorders>
              <w:top w:val="single" w:sz="8" w:color="7F7F7F"/>
            </w:tcBorders>
          </w:tcPr>
          <w:p>
            <w:pPr>
              <w:spacing w:after="0"/>
              <w:rPr>
                <w:sz w:val="17"/>
                <w:szCs w:val="17"/>
                <w:color w:val="auto"/>
              </w:rPr>
            </w:pPr>
          </w:p>
        </w:tc>
        <w:tc>
          <w:tcPr>
            <w:tcW w:w="820" w:type="dxa"/>
            <w:vAlign w:val="bottom"/>
            <w:tcBorders>
              <w:top w:val="single" w:sz="8" w:color="7F7F7F"/>
            </w:tcBorders>
          </w:tcPr>
          <w:p>
            <w:pPr>
              <w:spacing w:after="0"/>
              <w:rPr>
                <w:sz w:val="17"/>
                <w:szCs w:val="17"/>
                <w:color w:val="auto"/>
              </w:rPr>
            </w:pPr>
          </w:p>
        </w:tc>
        <w:tc>
          <w:tcPr>
            <w:tcW w:w="2200" w:type="dxa"/>
            <w:vAlign w:val="bottom"/>
            <w:tcBorders>
              <w:top w:val="single" w:sz="8" w:color="7F7F7F"/>
            </w:tcBorders>
          </w:tcPr>
          <w:p>
            <w:pPr>
              <w:spacing w:after="0"/>
              <w:rPr>
                <w:sz w:val="17"/>
                <w:szCs w:val="17"/>
                <w:color w:val="auto"/>
              </w:rPr>
            </w:pPr>
          </w:p>
        </w:tc>
        <w:tc>
          <w:tcPr>
            <w:tcW w:w="560" w:type="dxa"/>
            <w:vAlign w:val="bottom"/>
            <w:tcBorders>
              <w:top w:val="single" w:sz="8" w:color="7F7F7F"/>
            </w:tcBorders>
          </w:tcPr>
          <w:p>
            <w:pPr>
              <w:spacing w:after="0"/>
              <w:rPr>
                <w:sz w:val="17"/>
                <w:szCs w:val="17"/>
                <w:color w:val="auto"/>
              </w:rPr>
            </w:pPr>
          </w:p>
        </w:tc>
        <w:tc>
          <w:tcPr>
            <w:tcW w:w="200" w:type="dxa"/>
            <w:vAlign w:val="bottom"/>
            <w:tcBorders>
              <w:top w:val="single" w:sz="8" w:color="7F7F7F"/>
            </w:tcBorders>
          </w:tcPr>
          <w:p>
            <w:pPr>
              <w:spacing w:after="0"/>
              <w:rPr>
                <w:sz w:val="17"/>
                <w:szCs w:val="17"/>
                <w:color w:val="auto"/>
              </w:rPr>
            </w:pPr>
          </w:p>
        </w:tc>
        <w:tc>
          <w:tcPr>
            <w:tcW w:w="560" w:type="dxa"/>
            <w:vAlign w:val="bottom"/>
            <w:tcBorders>
              <w:top w:val="single" w:sz="8" w:color="7F7F7F"/>
            </w:tcBorders>
          </w:tcPr>
          <w:p>
            <w:pPr>
              <w:spacing w:after="0"/>
              <w:rPr>
                <w:sz w:val="17"/>
                <w:szCs w:val="17"/>
                <w:color w:val="auto"/>
              </w:rPr>
            </w:pPr>
          </w:p>
        </w:tc>
      </w:tr>
      <w:tr>
        <w:trPr>
          <w:trHeight w:val="21"/>
        </w:trPr>
        <w:tc>
          <w:tcPr>
            <w:tcW w:w="1900" w:type="dxa"/>
            <w:vAlign w:val="bottom"/>
            <w:tcBorders>
              <w:bottom w:val="single" w:sz="8" w:color="7F7F7F"/>
            </w:tcBorders>
            <w:gridSpan w:val="2"/>
          </w:tcPr>
          <w:p>
            <w:pPr>
              <w:spacing w:after="0" w:line="20" w:lineRule="exact"/>
              <w:rPr>
                <w:sz w:val="1"/>
                <w:szCs w:val="1"/>
                <w:color w:val="auto"/>
              </w:rPr>
            </w:pPr>
          </w:p>
        </w:tc>
        <w:tc>
          <w:tcPr>
            <w:tcW w:w="680" w:type="dxa"/>
            <w:vAlign w:val="bottom"/>
            <w:tcBorders>
              <w:bottom w:val="single" w:sz="8" w:color="7F7F7F"/>
            </w:tcBorders>
          </w:tcPr>
          <w:p>
            <w:pPr>
              <w:spacing w:after="0" w:line="20" w:lineRule="exact"/>
              <w:rPr>
                <w:sz w:val="1"/>
                <w:szCs w:val="1"/>
                <w:color w:val="auto"/>
              </w:rPr>
            </w:pPr>
          </w:p>
        </w:tc>
        <w:tc>
          <w:tcPr>
            <w:tcW w:w="640" w:type="dxa"/>
            <w:vAlign w:val="bottom"/>
            <w:tcBorders>
              <w:bottom w:val="single" w:sz="8" w:color="7F7F7F"/>
            </w:tcBorders>
          </w:tcPr>
          <w:p>
            <w:pPr>
              <w:spacing w:after="0" w:line="20" w:lineRule="exact"/>
              <w:rPr>
                <w:sz w:val="1"/>
                <w:szCs w:val="1"/>
                <w:color w:val="auto"/>
              </w:rPr>
            </w:pPr>
          </w:p>
        </w:tc>
        <w:tc>
          <w:tcPr>
            <w:tcW w:w="200" w:type="dxa"/>
            <w:vAlign w:val="bottom"/>
            <w:tcBorders>
              <w:bottom w:val="single" w:sz="8" w:color="7F7F7F"/>
            </w:tcBorders>
          </w:tcPr>
          <w:p>
            <w:pPr>
              <w:spacing w:after="0" w:line="20" w:lineRule="exact"/>
              <w:rPr>
                <w:sz w:val="1"/>
                <w:szCs w:val="1"/>
                <w:color w:val="auto"/>
              </w:rPr>
            </w:pPr>
          </w:p>
        </w:tc>
        <w:tc>
          <w:tcPr>
            <w:tcW w:w="600" w:type="dxa"/>
            <w:vAlign w:val="bottom"/>
            <w:tcBorders>
              <w:bottom w:val="single" w:sz="8" w:color="7F7F7F"/>
            </w:tcBorders>
          </w:tcPr>
          <w:p>
            <w:pPr>
              <w:spacing w:after="0" w:line="20" w:lineRule="exact"/>
              <w:rPr>
                <w:sz w:val="1"/>
                <w:szCs w:val="1"/>
                <w:color w:val="auto"/>
              </w:rPr>
            </w:pPr>
          </w:p>
        </w:tc>
        <w:tc>
          <w:tcPr>
            <w:tcW w:w="200" w:type="dxa"/>
            <w:vAlign w:val="bottom"/>
            <w:tcBorders>
              <w:bottom w:val="single" w:sz="8" w:color="7F7F7F"/>
            </w:tcBorders>
          </w:tcPr>
          <w:p>
            <w:pPr>
              <w:spacing w:after="0" w:line="20" w:lineRule="exact"/>
              <w:rPr>
                <w:sz w:val="1"/>
                <w:szCs w:val="1"/>
                <w:color w:val="auto"/>
              </w:rPr>
            </w:pPr>
          </w:p>
        </w:tc>
        <w:tc>
          <w:tcPr>
            <w:tcW w:w="580" w:type="dxa"/>
            <w:vAlign w:val="bottom"/>
            <w:tcBorders>
              <w:bottom w:val="single" w:sz="8" w:color="7F7F7F"/>
            </w:tcBorders>
          </w:tcPr>
          <w:p>
            <w:pPr>
              <w:spacing w:after="0" w:line="20" w:lineRule="exact"/>
              <w:rPr>
                <w:sz w:val="1"/>
                <w:szCs w:val="1"/>
                <w:color w:val="auto"/>
              </w:rPr>
            </w:pPr>
          </w:p>
        </w:tc>
        <w:tc>
          <w:tcPr>
            <w:tcW w:w="1780" w:type="dxa"/>
            <w:vAlign w:val="bottom"/>
            <w:tcBorders>
              <w:bottom w:val="single" w:sz="8" w:color="7F7F7F"/>
            </w:tcBorders>
          </w:tcPr>
          <w:p>
            <w:pPr>
              <w:spacing w:after="0" w:line="20" w:lineRule="exact"/>
              <w:rPr>
                <w:sz w:val="1"/>
                <w:szCs w:val="1"/>
                <w:color w:val="auto"/>
              </w:rPr>
            </w:pPr>
          </w:p>
        </w:tc>
        <w:tc>
          <w:tcPr>
            <w:tcW w:w="820" w:type="dxa"/>
            <w:vAlign w:val="bottom"/>
            <w:tcBorders>
              <w:bottom w:val="single" w:sz="8" w:color="7F7F7F"/>
            </w:tcBorders>
          </w:tcPr>
          <w:p>
            <w:pPr>
              <w:spacing w:after="0" w:line="20" w:lineRule="exact"/>
              <w:rPr>
                <w:sz w:val="1"/>
                <w:szCs w:val="1"/>
                <w:color w:val="auto"/>
              </w:rPr>
            </w:pPr>
          </w:p>
        </w:tc>
        <w:tc>
          <w:tcPr>
            <w:tcW w:w="2200" w:type="dxa"/>
            <w:vAlign w:val="bottom"/>
            <w:tcBorders>
              <w:bottom w:val="single" w:sz="8" w:color="7F7F7F"/>
            </w:tcBorders>
          </w:tcPr>
          <w:p>
            <w:pPr>
              <w:spacing w:after="0" w:line="20" w:lineRule="exact"/>
              <w:rPr>
                <w:sz w:val="1"/>
                <w:szCs w:val="1"/>
                <w:color w:val="auto"/>
              </w:rPr>
            </w:pPr>
          </w:p>
        </w:tc>
        <w:tc>
          <w:tcPr>
            <w:tcW w:w="560" w:type="dxa"/>
            <w:vAlign w:val="bottom"/>
            <w:tcBorders>
              <w:bottom w:val="single" w:sz="8" w:color="7F7F7F"/>
            </w:tcBorders>
          </w:tcPr>
          <w:p>
            <w:pPr>
              <w:spacing w:after="0" w:line="20" w:lineRule="exact"/>
              <w:rPr>
                <w:sz w:val="1"/>
                <w:szCs w:val="1"/>
                <w:color w:val="auto"/>
              </w:rPr>
            </w:pPr>
          </w:p>
        </w:tc>
        <w:tc>
          <w:tcPr>
            <w:tcW w:w="200" w:type="dxa"/>
            <w:vAlign w:val="bottom"/>
            <w:tcBorders>
              <w:bottom w:val="single" w:sz="8" w:color="7F7F7F"/>
            </w:tcBorders>
          </w:tcPr>
          <w:p>
            <w:pPr>
              <w:spacing w:after="0" w:line="20" w:lineRule="exact"/>
              <w:rPr>
                <w:sz w:val="1"/>
                <w:szCs w:val="1"/>
                <w:color w:val="auto"/>
              </w:rPr>
            </w:pPr>
          </w:p>
        </w:tc>
        <w:tc>
          <w:tcPr>
            <w:tcW w:w="560" w:type="dxa"/>
            <w:vAlign w:val="bottom"/>
            <w:tcBorders>
              <w:bottom w:val="single" w:sz="8" w:color="7F7F7F"/>
            </w:tcBorders>
          </w:tcPr>
          <w:p>
            <w:pPr>
              <w:spacing w:after="0" w:line="20" w:lineRule="exact"/>
              <w:rPr>
                <w:sz w:val="1"/>
                <w:szCs w:val="1"/>
                <w:color w:val="auto"/>
              </w:rPr>
            </w:pPr>
          </w:p>
        </w:tc>
      </w:tr>
      <w:tr>
        <w:trPr>
          <w:trHeight w:val="163"/>
        </w:trPr>
        <w:tc>
          <w:tcPr>
            <w:tcW w:w="190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PBRSU based on</w:t>
            </w:r>
          </w:p>
        </w:tc>
        <w:tc>
          <w:tcPr>
            <w:tcW w:w="680" w:type="dxa"/>
            <w:vAlign w:val="bottom"/>
            <w:shd w:val="clear" w:color="auto" w:fill="F2F2F2"/>
          </w:tcPr>
          <w:p>
            <w:pPr>
              <w:jc w:val="right"/>
              <w:ind w:right="38"/>
              <w:spacing w:after="0"/>
              <w:rPr>
                <w:sz w:val="20"/>
                <w:szCs w:val="20"/>
                <w:color w:val="auto"/>
              </w:rPr>
            </w:pPr>
            <w:r>
              <w:rPr>
                <w:rFonts w:ascii="Arial" w:cs="Arial" w:eastAsia="Arial" w:hAnsi="Arial"/>
                <w:sz w:val="12"/>
                <w:szCs w:val="12"/>
                <w:color w:val="auto"/>
              </w:rPr>
              <w:t>1/02/25</w:t>
            </w:r>
          </w:p>
        </w:tc>
        <w:tc>
          <w:tcPr>
            <w:tcW w:w="640" w:type="dxa"/>
            <w:vAlign w:val="bottom"/>
            <w:shd w:val="clear" w:color="auto" w:fill="F2F2F2"/>
          </w:tcPr>
          <w:p>
            <w:pPr>
              <w:jc w:val="right"/>
              <w:spacing w:after="0"/>
              <w:rPr>
                <w:sz w:val="20"/>
                <w:szCs w:val="20"/>
                <w:color w:val="auto"/>
              </w:rPr>
            </w:pPr>
            <w:r>
              <w:rPr>
                <w:rFonts w:ascii="Arial" w:cs="Arial" w:eastAsia="Arial" w:hAnsi="Arial"/>
                <w:sz w:val="12"/>
                <w:szCs w:val="12"/>
                <w:color w:val="auto"/>
              </w:rPr>
              <w:t>11/07/24</w:t>
            </w:r>
          </w:p>
        </w:tc>
        <w:tc>
          <w:tcPr>
            <w:tcW w:w="20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580" w:type="dxa"/>
            <w:vAlign w:val="bottom"/>
            <w:shd w:val="clear" w:color="auto" w:fill="F2F2F2"/>
          </w:tcPr>
          <w:p>
            <w:pPr>
              <w:spacing w:after="0"/>
              <w:rPr>
                <w:sz w:val="14"/>
                <w:szCs w:val="14"/>
                <w:color w:val="auto"/>
              </w:rPr>
            </w:pPr>
          </w:p>
        </w:tc>
        <w:tc>
          <w:tcPr>
            <w:tcW w:w="178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1,664</w:t>
            </w:r>
          </w:p>
        </w:tc>
        <w:tc>
          <w:tcPr>
            <w:tcW w:w="820" w:type="dxa"/>
            <w:vAlign w:val="bottom"/>
            <w:shd w:val="clear" w:color="auto" w:fill="F2F2F2"/>
          </w:tcPr>
          <w:p>
            <w:pPr>
              <w:jc w:val="right"/>
              <w:ind w:right="198"/>
              <w:spacing w:after="0"/>
              <w:rPr>
                <w:sz w:val="20"/>
                <w:szCs w:val="20"/>
                <w:color w:val="auto"/>
              </w:rPr>
            </w:pPr>
            <w:r>
              <w:rPr>
                <w:rFonts w:ascii="Arial" w:cs="Arial" w:eastAsia="Arial" w:hAnsi="Arial"/>
                <w:sz w:val="12"/>
                <w:szCs w:val="12"/>
                <w:color w:val="auto"/>
              </w:rPr>
              <w:t>6,655</w:t>
            </w:r>
          </w:p>
        </w:tc>
        <w:tc>
          <w:tcPr>
            <w:tcW w:w="2200" w:type="dxa"/>
            <w:vAlign w:val="bottom"/>
            <w:shd w:val="clear" w:color="auto" w:fill="F2F2F2"/>
          </w:tcPr>
          <w:p>
            <w:pPr>
              <w:jc w:val="right"/>
              <w:ind w:right="1498"/>
              <w:spacing w:after="0"/>
              <w:rPr>
                <w:sz w:val="20"/>
                <w:szCs w:val="20"/>
                <w:color w:val="auto"/>
              </w:rPr>
            </w:pPr>
            <w:r>
              <w:rPr>
                <w:rFonts w:ascii="Arial" w:cs="Arial" w:eastAsia="Arial" w:hAnsi="Arial"/>
                <w:sz w:val="12"/>
                <w:szCs w:val="12"/>
                <w:color w:val="auto"/>
              </w:rPr>
              <w:t>13,310</w:t>
            </w: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F2F2F2"/>
          </w:tcPr>
          <w:p>
            <w:pPr>
              <w:jc w:val="right"/>
              <w:spacing w:after="0"/>
              <w:rPr>
                <w:sz w:val="20"/>
                <w:szCs w:val="20"/>
                <w:color w:val="auto"/>
              </w:rPr>
            </w:pPr>
            <w:r>
              <w:rPr>
                <w:rFonts w:ascii="Arial" w:cs="Arial" w:eastAsia="Arial" w:hAnsi="Arial"/>
                <w:sz w:val="12"/>
                <w:szCs w:val="12"/>
                <w:color w:val="auto"/>
              </w:rPr>
              <w:t>643,505</w:t>
            </w:r>
          </w:p>
        </w:tc>
      </w:tr>
      <w:tr>
        <w:trPr>
          <w:trHeight w:val="134"/>
        </w:trPr>
        <w:tc>
          <w:tcPr>
            <w:tcW w:w="1900" w:type="dxa"/>
            <w:vAlign w:val="bottom"/>
            <w:gridSpan w:val="2"/>
            <w:shd w:val="clear" w:color="auto" w:fill="F2F2F2"/>
          </w:tcPr>
          <w:p>
            <w:pPr>
              <w:ind w:left="80"/>
              <w:spacing w:after="0" w:line="134" w:lineRule="exact"/>
              <w:rPr>
                <w:sz w:val="20"/>
                <w:szCs w:val="20"/>
                <w:color w:val="auto"/>
              </w:rPr>
            </w:pPr>
            <w:r>
              <w:rPr>
                <w:rFonts w:ascii="Arial" w:cs="Arial" w:eastAsia="Arial" w:hAnsi="Arial"/>
                <w:sz w:val="12"/>
                <w:szCs w:val="12"/>
                <w:color w:val="auto"/>
              </w:rPr>
              <w:t>   TSR vs. S&amp;P 500</w:t>
            </w:r>
          </w:p>
        </w:tc>
        <w:tc>
          <w:tcPr>
            <w:tcW w:w="68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580" w:type="dxa"/>
            <w:vAlign w:val="bottom"/>
            <w:shd w:val="clear" w:color="auto" w:fill="F2F2F2"/>
          </w:tcPr>
          <w:p>
            <w:pPr>
              <w:spacing w:after="0"/>
              <w:rPr>
                <w:sz w:val="11"/>
                <w:szCs w:val="11"/>
                <w:color w:val="auto"/>
              </w:rPr>
            </w:pPr>
          </w:p>
        </w:tc>
        <w:tc>
          <w:tcPr>
            <w:tcW w:w="178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2200" w:type="dxa"/>
            <w:vAlign w:val="bottom"/>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560" w:type="dxa"/>
            <w:vAlign w:val="bottom"/>
            <w:shd w:val="clear" w:color="auto" w:fill="F2F2F2"/>
          </w:tcPr>
          <w:p>
            <w:pPr>
              <w:spacing w:after="0"/>
              <w:rPr>
                <w:sz w:val="11"/>
                <w:szCs w:val="11"/>
                <w:color w:val="auto"/>
              </w:rPr>
            </w:pPr>
          </w:p>
        </w:tc>
      </w:tr>
      <w:tr>
        <w:trPr>
          <w:trHeight w:val="197"/>
        </w:trPr>
        <w:tc>
          <w:tcPr>
            <w:tcW w:w="16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740" w:type="dxa"/>
            <w:vAlign w:val="bottom"/>
            <w:tcBorders>
              <w:bottom w:val="single" w:sz="8" w:color="F2F2F2"/>
            </w:tcBorders>
            <w:shd w:val="clear" w:color="auto" w:fill="F2F2F2"/>
          </w:tcPr>
          <w:p>
            <w:pPr>
              <w:ind w:left="40"/>
              <w:spacing w:after="0"/>
              <w:rPr>
                <w:sz w:val="20"/>
                <w:szCs w:val="20"/>
                <w:color w:val="auto"/>
              </w:rPr>
            </w:pPr>
            <w:r>
              <w:rPr>
                <w:rFonts w:ascii="Arial" w:cs="Arial" w:eastAsia="Arial" w:hAnsi="Arial"/>
                <w:sz w:val="12"/>
                <w:szCs w:val="12"/>
                <w:color w:val="auto"/>
              </w:rPr>
              <w:t>Utilities Index</w:t>
            </w:r>
          </w:p>
        </w:tc>
        <w:tc>
          <w:tcPr>
            <w:tcW w:w="680" w:type="dxa"/>
            <w:vAlign w:val="bottom"/>
            <w:tcBorders>
              <w:bottom w:val="single" w:sz="8" w:color="F2F2F2"/>
            </w:tcBorders>
            <w:shd w:val="clear" w:color="auto" w:fill="F2F2F2"/>
          </w:tcPr>
          <w:p>
            <w:pPr>
              <w:spacing w:after="0"/>
              <w:rPr>
                <w:sz w:val="16"/>
                <w:szCs w:val="16"/>
                <w:color w:val="auto"/>
              </w:rPr>
            </w:pPr>
          </w:p>
        </w:tc>
        <w:tc>
          <w:tcPr>
            <w:tcW w:w="64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60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80" w:type="dxa"/>
            <w:vAlign w:val="bottom"/>
            <w:tcBorders>
              <w:bottom w:val="single" w:sz="8" w:color="F2F2F2"/>
            </w:tcBorders>
            <w:shd w:val="clear" w:color="auto" w:fill="F2F2F2"/>
          </w:tcPr>
          <w:p>
            <w:pPr>
              <w:spacing w:after="0"/>
              <w:rPr>
                <w:sz w:val="16"/>
                <w:szCs w:val="16"/>
                <w:color w:val="auto"/>
              </w:rPr>
            </w:pPr>
          </w:p>
        </w:tc>
        <w:tc>
          <w:tcPr>
            <w:tcW w:w="178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F2F2F2"/>
            </w:tcBorders>
            <w:shd w:val="clear" w:color="auto" w:fill="F2F2F2"/>
          </w:tcPr>
          <w:p>
            <w:pPr>
              <w:spacing w:after="0"/>
              <w:rPr>
                <w:sz w:val="16"/>
                <w:szCs w:val="16"/>
                <w:color w:val="auto"/>
              </w:rPr>
            </w:pPr>
          </w:p>
        </w:tc>
        <w:tc>
          <w:tcPr>
            <w:tcW w:w="2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r>
      <w:tr>
        <w:trPr>
          <w:trHeight w:val="175"/>
        </w:trPr>
        <w:tc>
          <w:tcPr>
            <w:tcW w:w="190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PBRSU based on</w:t>
            </w:r>
          </w:p>
        </w:tc>
        <w:tc>
          <w:tcPr>
            <w:tcW w:w="68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1/02/25</w:t>
            </w:r>
          </w:p>
        </w:tc>
        <w:tc>
          <w:tcPr>
            <w:tcW w:w="6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11/07/24</w:t>
            </w:r>
          </w:p>
        </w:tc>
        <w:tc>
          <w:tcPr>
            <w:tcW w:w="200" w:type="dxa"/>
            <w:vAlign w:val="bottom"/>
            <w:tcBorders>
              <w:top w:val="single" w:sz="8" w:color="7F7F7F"/>
            </w:tcBorders>
          </w:tcPr>
          <w:p>
            <w:pPr>
              <w:spacing w:after="0"/>
              <w:rPr>
                <w:sz w:val="15"/>
                <w:szCs w:val="15"/>
                <w:color w:val="auto"/>
              </w:rPr>
            </w:pPr>
          </w:p>
        </w:tc>
        <w:tc>
          <w:tcPr>
            <w:tcW w:w="600" w:type="dxa"/>
            <w:vAlign w:val="bottom"/>
            <w:tcBorders>
              <w:top w:val="single" w:sz="8" w:color="7F7F7F"/>
            </w:tcBorders>
          </w:tcPr>
          <w:p>
            <w:pPr>
              <w:spacing w:after="0"/>
              <w:rPr>
                <w:sz w:val="15"/>
                <w:szCs w:val="15"/>
                <w:color w:val="auto"/>
              </w:rPr>
            </w:pPr>
          </w:p>
        </w:tc>
        <w:tc>
          <w:tcPr>
            <w:tcW w:w="200" w:type="dxa"/>
            <w:vAlign w:val="bottom"/>
            <w:tcBorders>
              <w:top w:val="single" w:sz="8" w:color="7F7F7F"/>
            </w:tcBorders>
          </w:tcPr>
          <w:p>
            <w:pPr>
              <w:spacing w:after="0"/>
              <w:rPr>
                <w:sz w:val="15"/>
                <w:szCs w:val="15"/>
                <w:color w:val="auto"/>
              </w:rPr>
            </w:pPr>
          </w:p>
        </w:tc>
        <w:tc>
          <w:tcPr>
            <w:tcW w:w="580" w:type="dxa"/>
            <w:vAlign w:val="bottom"/>
            <w:tcBorders>
              <w:top w:val="single" w:sz="8" w:color="7F7F7F"/>
            </w:tcBorders>
          </w:tcPr>
          <w:p>
            <w:pPr>
              <w:spacing w:after="0"/>
              <w:rPr>
                <w:sz w:val="15"/>
                <w:szCs w:val="15"/>
                <w:color w:val="auto"/>
              </w:rPr>
            </w:pPr>
          </w:p>
        </w:tc>
        <w:tc>
          <w:tcPr>
            <w:tcW w:w="1780" w:type="dxa"/>
            <w:vAlign w:val="bottom"/>
            <w:tcBorders>
              <w:top w:val="single" w:sz="8" w:color="7F7F7F"/>
            </w:tcBorders>
          </w:tcPr>
          <w:p>
            <w:pPr>
              <w:jc w:val="right"/>
              <w:ind w:right="178"/>
              <w:spacing w:after="0"/>
              <w:rPr>
                <w:sz w:val="20"/>
                <w:szCs w:val="20"/>
                <w:color w:val="auto"/>
              </w:rPr>
            </w:pPr>
            <w:r>
              <w:rPr>
                <w:rFonts w:ascii="Arial" w:cs="Arial" w:eastAsia="Arial" w:hAnsi="Arial"/>
                <w:sz w:val="12"/>
                <w:szCs w:val="12"/>
                <w:color w:val="auto"/>
              </w:rPr>
              <w:t>713</w:t>
            </w:r>
          </w:p>
        </w:tc>
        <w:tc>
          <w:tcPr>
            <w:tcW w:w="820" w:type="dxa"/>
            <w:vAlign w:val="bottom"/>
            <w:tcBorders>
              <w:top w:val="single" w:sz="8" w:color="7F7F7F"/>
            </w:tcBorders>
          </w:tcPr>
          <w:p>
            <w:pPr>
              <w:jc w:val="right"/>
              <w:ind w:right="198"/>
              <w:spacing w:after="0"/>
              <w:rPr>
                <w:sz w:val="20"/>
                <w:szCs w:val="20"/>
                <w:color w:val="auto"/>
              </w:rPr>
            </w:pPr>
            <w:r>
              <w:rPr>
                <w:rFonts w:ascii="Arial" w:cs="Arial" w:eastAsia="Arial" w:hAnsi="Arial"/>
                <w:sz w:val="12"/>
                <w:szCs w:val="12"/>
                <w:color w:val="auto"/>
              </w:rPr>
              <w:t>2,853</w:t>
            </w:r>
          </w:p>
        </w:tc>
        <w:tc>
          <w:tcPr>
            <w:tcW w:w="2200" w:type="dxa"/>
            <w:vAlign w:val="bottom"/>
            <w:tcBorders>
              <w:top w:val="single" w:sz="8" w:color="7F7F7F"/>
            </w:tcBorders>
          </w:tcPr>
          <w:p>
            <w:pPr>
              <w:jc w:val="right"/>
              <w:ind w:right="1498"/>
              <w:spacing w:after="0"/>
              <w:rPr>
                <w:sz w:val="20"/>
                <w:szCs w:val="20"/>
                <w:color w:val="auto"/>
              </w:rPr>
            </w:pPr>
            <w:r>
              <w:rPr>
                <w:rFonts w:ascii="Arial" w:cs="Arial" w:eastAsia="Arial" w:hAnsi="Arial"/>
                <w:sz w:val="12"/>
                <w:szCs w:val="12"/>
                <w:color w:val="auto"/>
              </w:rPr>
              <w:t>5,706</w:t>
            </w:r>
          </w:p>
        </w:tc>
        <w:tc>
          <w:tcPr>
            <w:tcW w:w="560" w:type="dxa"/>
            <w:vAlign w:val="bottom"/>
            <w:tcBorders>
              <w:top w:val="single" w:sz="8" w:color="7F7F7F"/>
            </w:tcBorders>
          </w:tcPr>
          <w:p>
            <w:pPr>
              <w:spacing w:after="0"/>
              <w:rPr>
                <w:sz w:val="15"/>
                <w:szCs w:val="15"/>
                <w:color w:val="auto"/>
              </w:rPr>
            </w:pPr>
          </w:p>
        </w:tc>
        <w:tc>
          <w:tcPr>
            <w:tcW w:w="2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314,038</w:t>
            </w:r>
          </w:p>
        </w:tc>
      </w:tr>
    </w:tbl>
    <w:p>
      <w:pPr>
        <w:ind w:left="360" w:hanging="121"/>
        <w:spacing w:after="0" w:line="232" w:lineRule="auto"/>
        <w:tabs>
          <w:tab w:leader="none" w:pos="3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TSR vs. S&amp;P 500</w:t>
      </w:r>
    </w:p>
    <w:p>
      <w:pPr>
        <w:ind w:left="360" w:hanging="121"/>
        <w:spacing w:after="0"/>
        <w:tabs>
          <w:tab w:leader="none" w:pos="3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Index</w:t>
      </w:r>
    </w:p>
    <w:p>
      <w:pPr>
        <w:spacing w:after="0" w:line="22"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1900" w:type="dxa"/>
            <w:vAlign w:val="bottom"/>
            <w:tcBorders>
              <w:top w:val="single" w:sz="8" w:color="7F7F7F"/>
            </w:tcBorders>
            <w:gridSpan w:val="2"/>
            <w:shd w:val="clear" w:color="auto" w:fill="F2F2F2"/>
          </w:tcPr>
          <w:p>
            <w:pPr>
              <w:ind w:left="80"/>
              <w:spacing w:after="0"/>
              <w:rPr>
                <w:sz w:val="20"/>
                <w:szCs w:val="20"/>
                <w:color w:val="auto"/>
              </w:rPr>
            </w:pPr>
            <w:r>
              <w:rPr>
                <w:rFonts w:ascii="Arial" w:cs="Arial" w:eastAsia="Arial" w:hAnsi="Arial"/>
                <w:sz w:val="12"/>
                <w:szCs w:val="12"/>
                <w:color w:val="auto"/>
              </w:rPr>
              <w:t>PBRSU based on</w:t>
            </w:r>
          </w:p>
        </w:tc>
        <w:tc>
          <w:tcPr>
            <w:tcW w:w="600" w:type="dxa"/>
            <w:vAlign w:val="bottom"/>
            <w:tcBorders>
              <w:top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1/02/25</w:t>
            </w:r>
          </w:p>
        </w:tc>
        <w:tc>
          <w:tcPr>
            <w:tcW w:w="920" w:type="dxa"/>
            <w:vAlign w:val="bottom"/>
            <w:tcBorders>
              <w:top w:val="single" w:sz="8" w:color="7F7F7F"/>
            </w:tcBorders>
            <w:shd w:val="clear" w:color="auto" w:fill="F2F2F2"/>
          </w:tcPr>
          <w:p>
            <w:pPr>
              <w:jc w:val="right"/>
              <w:ind w:right="198"/>
              <w:spacing w:after="0"/>
              <w:rPr>
                <w:sz w:val="20"/>
                <w:szCs w:val="20"/>
                <w:color w:val="auto"/>
              </w:rPr>
            </w:pPr>
            <w:r>
              <w:rPr>
                <w:rFonts w:ascii="Arial" w:cs="Arial" w:eastAsia="Arial" w:hAnsi="Arial"/>
                <w:sz w:val="12"/>
                <w:szCs w:val="12"/>
                <w:color w:val="auto"/>
              </w:rPr>
              <w:t>11/07/24</w:t>
            </w:r>
          </w:p>
        </w:tc>
        <w:tc>
          <w:tcPr>
            <w:tcW w:w="600" w:type="dxa"/>
            <w:vAlign w:val="bottom"/>
            <w:tcBorders>
              <w:top w:val="single" w:sz="8" w:color="7F7F7F"/>
            </w:tcBorders>
            <w:shd w:val="clear" w:color="auto" w:fill="F2F2F2"/>
          </w:tcPr>
          <w:p>
            <w:pPr>
              <w:spacing w:after="0"/>
              <w:rPr>
                <w:sz w:val="15"/>
                <w:szCs w:val="15"/>
                <w:color w:val="auto"/>
              </w:rPr>
            </w:pPr>
          </w:p>
        </w:tc>
        <w:tc>
          <w:tcPr>
            <w:tcW w:w="200" w:type="dxa"/>
            <w:vAlign w:val="bottom"/>
            <w:tcBorders>
              <w:top w:val="single" w:sz="8" w:color="7F7F7F"/>
            </w:tcBorders>
            <w:shd w:val="clear" w:color="auto" w:fill="F2F2F2"/>
          </w:tcPr>
          <w:p>
            <w:pPr>
              <w:spacing w:after="0"/>
              <w:rPr>
                <w:sz w:val="15"/>
                <w:szCs w:val="15"/>
                <w:color w:val="auto"/>
              </w:rPr>
            </w:pPr>
          </w:p>
        </w:tc>
        <w:tc>
          <w:tcPr>
            <w:tcW w:w="580" w:type="dxa"/>
            <w:vAlign w:val="bottom"/>
            <w:tcBorders>
              <w:top w:val="single" w:sz="8" w:color="7F7F7F"/>
            </w:tcBorders>
            <w:shd w:val="clear" w:color="auto" w:fill="F2F2F2"/>
          </w:tcPr>
          <w:p>
            <w:pPr>
              <w:spacing w:after="0"/>
              <w:rPr>
                <w:sz w:val="15"/>
                <w:szCs w:val="15"/>
                <w:color w:val="auto"/>
              </w:rPr>
            </w:pPr>
          </w:p>
        </w:tc>
        <w:tc>
          <w:tcPr>
            <w:tcW w:w="1780" w:type="dxa"/>
            <w:vAlign w:val="bottom"/>
            <w:tcBorders>
              <w:top w:val="single" w:sz="8" w:color="7F7F7F"/>
            </w:tcBorders>
            <w:shd w:val="clear" w:color="auto" w:fill="F2F2F2"/>
          </w:tcPr>
          <w:p>
            <w:pPr>
              <w:jc w:val="right"/>
              <w:ind w:right="178"/>
              <w:spacing w:after="0"/>
              <w:rPr>
                <w:sz w:val="20"/>
                <w:szCs w:val="20"/>
                <w:color w:val="auto"/>
              </w:rPr>
            </w:pPr>
            <w:r>
              <w:rPr>
                <w:rFonts w:ascii="Arial" w:cs="Arial" w:eastAsia="Arial" w:hAnsi="Arial"/>
                <w:sz w:val="12"/>
                <w:szCs w:val="12"/>
                <w:color w:val="auto"/>
              </w:rPr>
              <w:t>2,377</w:t>
            </w:r>
          </w:p>
        </w:tc>
        <w:tc>
          <w:tcPr>
            <w:tcW w:w="820" w:type="dxa"/>
            <w:vAlign w:val="bottom"/>
            <w:tcBorders>
              <w:top w:val="single" w:sz="8" w:color="7F7F7F"/>
            </w:tcBorders>
            <w:shd w:val="clear" w:color="auto" w:fill="F2F2F2"/>
          </w:tcPr>
          <w:p>
            <w:pPr>
              <w:jc w:val="right"/>
              <w:ind w:right="198"/>
              <w:spacing w:after="0"/>
              <w:rPr>
                <w:sz w:val="20"/>
                <w:szCs w:val="20"/>
                <w:color w:val="auto"/>
              </w:rPr>
            </w:pPr>
            <w:r>
              <w:rPr>
                <w:rFonts w:ascii="Arial" w:cs="Arial" w:eastAsia="Arial" w:hAnsi="Arial"/>
                <w:sz w:val="12"/>
                <w:szCs w:val="12"/>
                <w:color w:val="auto"/>
              </w:rPr>
              <w:t>9,507</w:t>
            </w:r>
          </w:p>
        </w:tc>
        <w:tc>
          <w:tcPr>
            <w:tcW w:w="2200" w:type="dxa"/>
            <w:vAlign w:val="bottom"/>
            <w:tcBorders>
              <w:top w:val="single" w:sz="8" w:color="7F7F7F"/>
            </w:tcBorders>
            <w:shd w:val="clear" w:color="auto" w:fill="F2F2F2"/>
          </w:tcPr>
          <w:p>
            <w:pPr>
              <w:jc w:val="right"/>
              <w:ind w:right="1498"/>
              <w:spacing w:after="0"/>
              <w:rPr>
                <w:sz w:val="20"/>
                <w:szCs w:val="20"/>
                <w:color w:val="auto"/>
              </w:rPr>
            </w:pPr>
            <w:r>
              <w:rPr>
                <w:rFonts w:ascii="Arial" w:cs="Arial" w:eastAsia="Arial" w:hAnsi="Arial"/>
                <w:sz w:val="12"/>
                <w:szCs w:val="12"/>
                <w:color w:val="auto"/>
              </w:rPr>
              <w:t>19,014</w:t>
            </w:r>
          </w:p>
        </w:tc>
        <w:tc>
          <w:tcPr>
            <w:tcW w:w="560" w:type="dxa"/>
            <w:vAlign w:val="bottom"/>
            <w:tcBorders>
              <w:top w:val="single" w:sz="8" w:color="7F7F7F"/>
            </w:tcBorders>
            <w:shd w:val="clear" w:color="auto" w:fill="F2F2F2"/>
          </w:tcPr>
          <w:p>
            <w:pPr>
              <w:spacing w:after="0"/>
              <w:rPr>
                <w:sz w:val="15"/>
                <w:szCs w:val="15"/>
                <w:color w:val="auto"/>
              </w:rPr>
            </w:pPr>
          </w:p>
        </w:tc>
        <w:tc>
          <w:tcPr>
            <w:tcW w:w="200" w:type="dxa"/>
            <w:vAlign w:val="bottom"/>
            <w:tcBorders>
              <w:top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828,345</w:t>
            </w:r>
          </w:p>
        </w:tc>
      </w:tr>
      <w:tr>
        <w:trPr>
          <w:trHeight w:val="197"/>
        </w:trPr>
        <w:tc>
          <w:tcPr>
            <w:tcW w:w="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5"/>
                <w:szCs w:val="5"/>
                <w:color w:val="auto"/>
                <w:w w:val="79"/>
              </w:rPr>
              <w:t> </w:t>
            </w:r>
          </w:p>
        </w:tc>
        <w:tc>
          <w:tcPr>
            <w:tcW w:w="17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2"/>
                <w:szCs w:val="12"/>
                <w:color w:val="auto"/>
              </w:rPr>
              <w:t>EPS growth</w:t>
            </w:r>
          </w:p>
        </w:tc>
        <w:tc>
          <w:tcPr>
            <w:tcW w:w="600" w:type="dxa"/>
            <w:vAlign w:val="bottom"/>
            <w:tcBorders>
              <w:bottom w:val="single" w:sz="8" w:color="F2F2F2"/>
            </w:tcBorders>
            <w:shd w:val="clear" w:color="auto" w:fill="F2F2F2"/>
          </w:tcPr>
          <w:p>
            <w:pPr>
              <w:spacing w:after="0"/>
              <w:rPr>
                <w:sz w:val="16"/>
                <w:szCs w:val="16"/>
                <w:color w:val="auto"/>
              </w:rPr>
            </w:pPr>
          </w:p>
        </w:tc>
        <w:tc>
          <w:tcPr>
            <w:tcW w:w="920" w:type="dxa"/>
            <w:vAlign w:val="bottom"/>
            <w:tcBorders>
              <w:bottom w:val="single" w:sz="8" w:color="F2F2F2"/>
            </w:tcBorders>
            <w:shd w:val="clear" w:color="auto" w:fill="F2F2F2"/>
          </w:tcPr>
          <w:p>
            <w:pPr>
              <w:spacing w:after="0"/>
              <w:rPr>
                <w:sz w:val="16"/>
                <w:szCs w:val="16"/>
                <w:color w:val="auto"/>
              </w:rPr>
            </w:pPr>
          </w:p>
        </w:tc>
        <w:tc>
          <w:tcPr>
            <w:tcW w:w="60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80" w:type="dxa"/>
            <w:vAlign w:val="bottom"/>
            <w:tcBorders>
              <w:bottom w:val="single" w:sz="8" w:color="F2F2F2"/>
            </w:tcBorders>
            <w:shd w:val="clear" w:color="auto" w:fill="F2F2F2"/>
          </w:tcPr>
          <w:p>
            <w:pPr>
              <w:spacing w:after="0"/>
              <w:rPr>
                <w:sz w:val="16"/>
                <w:szCs w:val="16"/>
                <w:color w:val="auto"/>
              </w:rPr>
            </w:pPr>
          </w:p>
        </w:tc>
        <w:tc>
          <w:tcPr>
            <w:tcW w:w="178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F2F2F2"/>
            </w:tcBorders>
            <w:shd w:val="clear" w:color="auto" w:fill="F2F2F2"/>
          </w:tcPr>
          <w:p>
            <w:pPr>
              <w:spacing w:after="0"/>
              <w:rPr>
                <w:sz w:val="16"/>
                <w:szCs w:val="16"/>
                <w:color w:val="auto"/>
              </w:rPr>
            </w:pPr>
          </w:p>
        </w:tc>
        <w:tc>
          <w:tcPr>
            <w:tcW w:w="2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r>
      <w:tr>
        <w:trPr>
          <w:trHeight w:val="163"/>
        </w:trPr>
        <w:tc>
          <w:tcPr>
            <w:tcW w:w="190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Nonqualified Stock</w:t>
            </w:r>
          </w:p>
        </w:tc>
        <w:tc>
          <w:tcPr>
            <w:tcW w:w="6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1/02/25</w:t>
            </w:r>
          </w:p>
        </w:tc>
        <w:tc>
          <w:tcPr>
            <w:tcW w:w="920" w:type="dxa"/>
            <w:vAlign w:val="bottom"/>
            <w:tcBorders>
              <w:top w:val="single" w:sz="8" w:color="7F7F7F"/>
            </w:tcBorders>
          </w:tcPr>
          <w:p>
            <w:pPr>
              <w:jc w:val="right"/>
              <w:ind w:right="198"/>
              <w:spacing w:after="0"/>
              <w:rPr>
                <w:sz w:val="20"/>
                <w:szCs w:val="20"/>
                <w:color w:val="auto"/>
              </w:rPr>
            </w:pPr>
            <w:r>
              <w:rPr>
                <w:rFonts w:ascii="Arial" w:cs="Arial" w:eastAsia="Arial" w:hAnsi="Arial"/>
                <w:sz w:val="12"/>
                <w:szCs w:val="12"/>
                <w:color w:val="auto"/>
              </w:rPr>
              <w:t>11/07/24</w:t>
            </w:r>
          </w:p>
        </w:tc>
        <w:tc>
          <w:tcPr>
            <w:tcW w:w="600" w:type="dxa"/>
            <w:vAlign w:val="bottom"/>
            <w:tcBorders>
              <w:top w:val="single" w:sz="8" w:color="7F7F7F"/>
            </w:tcBorders>
          </w:tcPr>
          <w:p>
            <w:pPr>
              <w:spacing w:after="0"/>
              <w:rPr>
                <w:sz w:val="14"/>
                <w:szCs w:val="14"/>
                <w:color w:val="auto"/>
              </w:rPr>
            </w:pPr>
          </w:p>
        </w:tc>
        <w:tc>
          <w:tcPr>
            <w:tcW w:w="200" w:type="dxa"/>
            <w:vAlign w:val="bottom"/>
            <w:tcBorders>
              <w:top w:val="single" w:sz="8" w:color="7F7F7F"/>
            </w:tcBorders>
          </w:tcPr>
          <w:p>
            <w:pPr>
              <w:spacing w:after="0"/>
              <w:rPr>
                <w:sz w:val="14"/>
                <w:szCs w:val="14"/>
                <w:color w:val="auto"/>
              </w:rPr>
            </w:pPr>
          </w:p>
        </w:tc>
        <w:tc>
          <w:tcPr>
            <w:tcW w:w="580" w:type="dxa"/>
            <w:vAlign w:val="bottom"/>
            <w:tcBorders>
              <w:top w:val="single" w:sz="8" w:color="7F7F7F"/>
            </w:tcBorders>
          </w:tcPr>
          <w:p>
            <w:pPr>
              <w:spacing w:after="0"/>
              <w:rPr>
                <w:sz w:val="14"/>
                <w:szCs w:val="14"/>
                <w:color w:val="auto"/>
              </w:rPr>
            </w:pPr>
          </w:p>
        </w:tc>
        <w:tc>
          <w:tcPr>
            <w:tcW w:w="1780" w:type="dxa"/>
            <w:vAlign w:val="bottom"/>
            <w:tcBorders>
              <w:top w:val="single" w:sz="8" w:color="7F7F7F"/>
            </w:tcBorders>
          </w:tcPr>
          <w:p>
            <w:pPr>
              <w:spacing w:after="0"/>
              <w:rPr>
                <w:sz w:val="14"/>
                <w:szCs w:val="14"/>
                <w:color w:val="auto"/>
              </w:rPr>
            </w:pPr>
          </w:p>
        </w:tc>
        <w:tc>
          <w:tcPr>
            <w:tcW w:w="820" w:type="dxa"/>
            <w:vAlign w:val="bottom"/>
            <w:tcBorders>
              <w:top w:val="single" w:sz="8" w:color="7F7F7F"/>
            </w:tcBorders>
          </w:tcPr>
          <w:p>
            <w:pPr>
              <w:spacing w:after="0"/>
              <w:rPr>
                <w:sz w:val="14"/>
                <w:szCs w:val="14"/>
                <w:color w:val="auto"/>
              </w:rPr>
            </w:pPr>
          </w:p>
        </w:tc>
        <w:tc>
          <w:tcPr>
            <w:tcW w:w="220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40,250</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$ 87.13</w:t>
            </w:r>
          </w:p>
        </w:tc>
        <w:tc>
          <w:tcPr>
            <w:tcW w:w="2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828,345</w:t>
            </w:r>
          </w:p>
        </w:tc>
      </w:tr>
      <w:tr>
        <w:trPr>
          <w:trHeight w:val="165"/>
        </w:trPr>
        <w:tc>
          <w:tcPr>
            <w:tcW w:w="180" w:type="dxa"/>
            <w:vAlign w:val="bottom"/>
          </w:tcPr>
          <w:p>
            <w:pPr>
              <w:jc w:val="center"/>
              <w:spacing w:after="0"/>
              <w:rPr>
                <w:sz w:val="20"/>
                <w:szCs w:val="20"/>
                <w:color w:val="auto"/>
              </w:rPr>
            </w:pPr>
            <w:r>
              <w:rPr>
                <w:rFonts w:ascii="Arial" w:cs="Arial" w:eastAsia="Arial" w:hAnsi="Arial"/>
                <w:sz w:val="5"/>
                <w:szCs w:val="5"/>
                <w:color w:val="auto"/>
                <w:w w:val="79"/>
              </w:rPr>
              <w:t> </w:t>
            </w:r>
          </w:p>
        </w:tc>
        <w:tc>
          <w:tcPr>
            <w:tcW w:w="1720" w:type="dxa"/>
            <w:vAlign w:val="bottom"/>
          </w:tcPr>
          <w:p>
            <w:pPr>
              <w:ind w:left="20"/>
              <w:spacing w:after="0"/>
              <w:rPr>
                <w:sz w:val="20"/>
                <w:szCs w:val="20"/>
                <w:color w:val="auto"/>
              </w:rPr>
            </w:pPr>
            <w:r>
              <w:rPr>
                <w:rFonts w:ascii="Arial" w:cs="Arial" w:eastAsia="Arial" w:hAnsi="Arial"/>
                <w:sz w:val="12"/>
                <w:szCs w:val="12"/>
                <w:color w:val="auto"/>
              </w:rPr>
              <w:t>Options</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7"/>
        </w:trPr>
        <w:tc>
          <w:tcPr>
            <w:tcW w:w="1900" w:type="dxa"/>
            <w:vAlign w:val="bottom"/>
            <w:tcBorders>
              <w:bottom w:val="single" w:sz="8" w:color="7F7F7F"/>
            </w:tcBorders>
            <w:gridSpan w:val="2"/>
          </w:tcPr>
          <w:p>
            <w:pPr>
              <w:spacing w:after="0"/>
              <w:rPr>
                <w:sz w:val="2"/>
                <w:szCs w:val="2"/>
                <w:color w:val="auto"/>
              </w:rPr>
            </w:pPr>
          </w:p>
        </w:tc>
        <w:tc>
          <w:tcPr>
            <w:tcW w:w="600" w:type="dxa"/>
            <w:vAlign w:val="bottom"/>
            <w:tcBorders>
              <w:bottom w:val="single" w:sz="8" w:color="7F7F7F"/>
            </w:tcBorders>
          </w:tcPr>
          <w:p>
            <w:pPr>
              <w:spacing w:after="0"/>
              <w:rPr>
                <w:sz w:val="2"/>
                <w:szCs w:val="2"/>
                <w:color w:val="auto"/>
              </w:rPr>
            </w:pPr>
          </w:p>
        </w:tc>
        <w:tc>
          <w:tcPr>
            <w:tcW w:w="920" w:type="dxa"/>
            <w:vAlign w:val="bottom"/>
            <w:tcBorders>
              <w:bottom w:val="single" w:sz="8" w:color="7F7F7F"/>
            </w:tcBorders>
          </w:tcPr>
          <w:p>
            <w:pPr>
              <w:spacing w:after="0"/>
              <w:rPr>
                <w:sz w:val="2"/>
                <w:szCs w:val="2"/>
                <w:color w:val="auto"/>
              </w:rPr>
            </w:pPr>
          </w:p>
        </w:tc>
        <w:tc>
          <w:tcPr>
            <w:tcW w:w="60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580" w:type="dxa"/>
            <w:vAlign w:val="bottom"/>
            <w:tcBorders>
              <w:bottom w:val="single" w:sz="8" w:color="7F7F7F"/>
            </w:tcBorders>
          </w:tcPr>
          <w:p>
            <w:pPr>
              <w:spacing w:after="0"/>
              <w:rPr>
                <w:sz w:val="2"/>
                <w:szCs w:val="2"/>
                <w:color w:val="auto"/>
              </w:rPr>
            </w:pPr>
          </w:p>
        </w:tc>
        <w:tc>
          <w:tcPr>
            <w:tcW w:w="1780" w:type="dxa"/>
            <w:vAlign w:val="bottom"/>
            <w:tcBorders>
              <w:bottom w:val="single" w:sz="8" w:color="7F7F7F"/>
            </w:tcBorders>
          </w:tcPr>
          <w:p>
            <w:pPr>
              <w:spacing w:after="0"/>
              <w:rPr>
                <w:sz w:val="2"/>
                <w:szCs w:val="2"/>
                <w:color w:val="auto"/>
              </w:rPr>
            </w:pPr>
          </w:p>
        </w:tc>
        <w:tc>
          <w:tcPr>
            <w:tcW w:w="820" w:type="dxa"/>
            <w:vAlign w:val="bottom"/>
            <w:tcBorders>
              <w:bottom w:val="single" w:sz="8" w:color="7F7F7F"/>
            </w:tcBorders>
          </w:tcPr>
          <w:p>
            <w:pPr>
              <w:spacing w:after="0"/>
              <w:rPr>
                <w:sz w:val="2"/>
                <w:szCs w:val="2"/>
                <w:color w:val="auto"/>
              </w:rPr>
            </w:pPr>
          </w:p>
        </w:tc>
        <w:tc>
          <w:tcPr>
            <w:tcW w:w="2200" w:type="dxa"/>
            <w:vAlign w:val="bottom"/>
            <w:tcBorders>
              <w:bottom w:val="single" w:sz="8" w:color="7F7F7F"/>
            </w:tcBorders>
          </w:tcPr>
          <w:p>
            <w:pPr>
              <w:spacing w:after="0"/>
              <w:rPr>
                <w:sz w:val="2"/>
                <w:szCs w:val="2"/>
                <w:color w:val="auto"/>
              </w:rPr>
            </w:pPr>
          </w:p>
        </w:tc>
        <w:tc>
          <w:tcPr>
            <w:tcW w:w="560" w:type="dxa"/>
            <w:vAlign w:val="bottom"/>
            <w:tcBorders>
              <w:bottom w:val="single" w:sz="8" w:color="7F7F7F"/>
            </w:tcBorders>
          </w:tcPr>
          <w:p>
            <w:pPr>
              <w:spacing w:after="0"/>
              <w:rPr>
                <w:sz w:val="2"/>
                <w:szCs w:val="2"/>
                <w:color w:val="auto"/>
              </w:rPr>
            </w:pPr>
          </w:p>
        </w:tc>
        <w:tc>
          <w:tcPr>
            <w:tcW w:w="200" w:type="dxa"/>
            <w:vAlign w:val="bottom"/>
            <w:tcBorders>
              <w:bottom w:val="single" w:sz="8" w:color="7F7F7F"/>
            </w:tcBorders>
          </w:tcPr>
          <w:p>
            <w:pPr>
              <w:spacing w:after="0"/>
              <w:rPr>
                <w:sz w:val="2"/>
                <w:szCs w:val="2"/>
                <w:color w:val="auto"/>
              </w:rPr>
            </w:pPr>
          </w:p>
        </w:tc>
        <w:tc>
          <w:tcPr>
            <w:tcW w:w="560" w:type="dxa"/>
            <w:vAlign w:val="bottom"/>
            <w:tcBorders>
              <w:bottom w:val="single" w:sz="8" w:color="7F7F7F"/>
            </w:tcBorders>
          </w:tcPr>
          <w:p>
            <w:pPr>
              <w:spacing w:after="0"/>
              <w:rPr>
                <w:sz w:val="2"/>
                <w:szCs w:val="2"/>
                <w:color w:val="auto"/>
              </w:rPr>
            </w:pPr>
          </w:p>
        </w:tc>
      </w:tr>
      <w:tr>
        <w:trPr>
          <w:trHeight w:val="163"/>
        </w:trPr>
        <w:tc>
          <w:tcPr>
            <w:tcW w:w="190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Performance-Based</w:t>
            </w:r>
          </w:p>
        </w:tc>
        <w:tc>
          <w:tcPr>
            <w:tcW w:w="600" w:type="dxa"/>
            <w:vAlign w:val="bottom"/>
            <w:shd w:val="clear" w:color="auto" w:fill="F2F2F2"/>
          </w:tcPr>
          <w:p>
            <w:pPr>
              <w:spacing w:after="0"/>
              <w:rPr>
                <w:sz w:val="14"/>
                <w:szCs w:val="14"/>
                <w:color w:val="auto"/>
              </w:rPr>
            </w:pPr>
          </w:p>
        </w:tc>
        <w:tc>
          <w:tcPr>
            <w:tcW w:w="92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2F2F2"/>
          </w:tcPr>
          <w:p>
            <w:pPr>
              <w:jc w:val="right"/>
              <w:ind w:right="18"/>
              <w:spacing w:after="0"/>
              <w:rPr>
                <w:sz w:val="20"/>
                <w:szCs w:val="20"/>
                <w:color w:val="auto"/>
              </w:rPr>
            </w:pPr>
            <w:r>
              <w:rPr>
                <w:rFonts w:ascii="Arial" w:cs="Arial" w:eastAsia="Arial" w:hAnsi="Arial"/>
                <w:sz w:val="12"/>
                <w:szCs w:val="12"/>
                <w:color w:val="auto"/>
              </w:rPr>
              <w:t>343,300</w:t>
            </w:r>
          </w:p>
        </w:tc>
        <w:tc>
          <w:tcPr>
            <w:tcW w:w="2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F2F2F2"/>
          </w:tcPr>
          <w:p>
            <w:pPr>
              <w:jc w:val="right"/>
              <w:ind w:right="18"/>
              <w:spacing w:after="0"/>
              <w:rPr>
                <w:sz w:val="20"/>
                <w:szCs w:val="20"/>
                <w:color w:val="auto"/>
              </w:rPr>
            </w:pPr>
            <w:r>
              <w:rPr>
                <w:rFonts w:ascii="Arial" w:cs="Arial" w:eastAsia="Arial" w:hAnsi="Arial"/>
                <w:sz w:val="12"/>
                <w:szCs w:val="12"/>
                <w:color w:val="auto"/>
              </w:rPr>
              <w:t>858,100</w:t>
            </w:r>
          </w:p>
        </w:tc>
        <w:tc>
          <w:tcPr>
            <w:tcW w:w="1780" w:type="dxa"/>
            <w:vAlign w:val="bottom"/>
            <w:shd w:val="clear" w:color="auto" w:fill="F2F2F2"/>
          </w:tcPr>
          <w:p>
            <w:pPr>
              <w:jc w:val="right"/>
              <w:ind w:right="998"/>
              <w:spacing w:after="0"/>
              <w:rPr>
                <w:sz w:val="20"/>
                <w:szCs w:val="20"/>
                <w:color w:val="auto"/>
              </w:rPr>
            </w:pPr>
            <w:r>
              <w:rPr>
                <w:rFonts w:ascii="Arial" w:cs="Arial" w:eastAsia="Arial" w:hAnsi="Arial"/>
                <w:sz w:val="12"/>
                <w:szCs w:val="12"/>
                <w:color w:val="auto"/>
              </w:rPr>
              <w:t>$ 1,716,200</w:t>
            </w:r>
          </w:p>
        </w:tc>
        <w:tc>
          <w:tcPr>
            <w:tcW w:w="820" w:type="dxa"/>
            <w:vAlign w:val="bottom"/>
            <w:shd w:val="clear" w:color="auto" w:fill="F2F2F2"/>
          </w:tcPr>
          <w:p>
            <w:pPr>
              <w:spacing w:after="0"/>
              <w:rPr>
                <w:sz w:val="14"/>
                <w:szCs w:val="14"/>
                <w:color w:val="auto"/>
              </w:rPr>
            </w:pPr>
          </w:p>
        </w:tc>
        <w:tc>
          <w:tcPr>
            <w:tcW w:w="220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c>
          <w:tcPr>
            <w:tcW w:w="200" w:type="dxa"/>
            <w:vAlign w:val="bottom"/>
            <w:shd w:val="clear" w:color="auto" w:fill="F2F2F2"/>
          </w:tcPr>
          <w:p>
            <w:pPr>
              <w:spacing w:after="0"/>
              <w:rPr>
                <w:sz w:val="14"/>
                <w:szCs w:val="14"/>
                <w:color w:val="auto"/>
              </w:rPr>
            </w:pPr>
          </w:p>
        </w:tc>
        <w:tc>
          <w:tcPr>
            <w:tcW w:w="560" w:type="dxa"/>
            <w:vAlign w:val="bottom"/>
            <w:shd w:val="clear" w:color="auto" w:fill="F2F2F2"/>
          </w:tcPr>
          <w:p>
            <w:pPr>
              <w:spacing w:after="0"/>
              <w:rPr>
                <w:sz w:val="14"/>
                <w:szCs w:val="14"/>
                <w:color w:val="auto"/>
              </w:rPr>
            </w:pPr>
          </w:p>
        </w:tc>
      </w:tr>
      <w:tr>
        <w:trPr>
          <w:trHeight w:val="197"/>
        </w:trPr>
        <w:tc>
          <w:tcPr>
            <w:tcW w:w="18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5"/>
                <w:szCs w:val="5"/>
                <w:color w:val="auto"/>
                <w:w w:val="79"/>
              </w:rPr>
              <w:t> </w:t>
            </w:r>
          </w:p>
        </w:tc>
        <w:tc>
          <w:tcPr>
            <w:tcW w:w="172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2"/>
                <w:szCs w:val="12"/>
                <w:color w:val="auto"/>
              </w:rPr>
              <w:t>Annual Bonus</w:t>
            </w:r>
          </w:p>
        </w:tc>
        <w:tc>
          <w:tcPr>
            <w:tcW w:w="600" w:type="dxa"/>
            <w:vAlign w:val="bottom"/>
            <w:tcBorders>
              <w:bottom w:val="single" w:sz="8" w:color="F2F2F2"/>
            </w:tcBorders>
            <w:shd w:val="clear" w:color="auto" w:fill="F2F2F2"/>
          </w:tcPr>
          <w:p>
            <w:pPr>
              <w:spacing w:after="0"/>
              <w:rPr>
                <w:sz w:val="16"/>
                <w:szCs w:val="16"/>
                <w:color w:val="auto"/>
              </w:rPr>
            </w:pPr>
          </w:p>
        </w:tc>
        <w:tc>
          <w:tcPr>
            <w:tcW w:w="920" w:type="dxa"/>
            <w:vAlign w:val="bottom"/>
            <w:tcBorders>
              <w:bottom w:val="single" w:sz="8" w:color="F2F2F2"/>
            </w:tcBorders>
            <w:shd w:val="clear" w:color="auto" w:fill="F2F2F2"/>
          </w:tcPr>
          <w:p>
            <w:pPr>
              <w:spacing w:after="0"/>
              <w:rPr>
                <w:sz w:val="16"/>
                <w:szCs w:val="16"/>
                <w:color w:val="auto"/>
              </w:rPr>
            </w:pPr>
          </w:p>
        </w:tc>
        <w:tc>
          <w:tcPr>
            <w:tcW w:w="60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80" w:type="dxa"/>
            <w:vAlign w:val="bottom"/>
            <w:tcBorders>
              <w:bottom w:val="single" w:sz="8" w:color="F2F2F2"/>
            </w:tcBorders>
            <w:shd w:val="clear" w:color="auto" w:fill="F2F2F2"/>
          </w:tcPr>
          <w:p>
            <w:pPr>
              <w:spacing w:after="0"/>
              <w:rPr>
                <w:sz w:val="16"/>
                <w:szCs w:val="16"/>
                <w:color w:val="auto"/>
              </w:rPr>
            </w:pPr>
          </w:p>
        </w:tc>
        <w:tc>
          <w:tcPr>
            <w:tcW w:w="1780" w:type="dxa"/>
            <w:vAlign w:val="bottom"/>
            <w:tcBorders>
              <w:bottom w:val="single" w:sz="8" w:color="F2F2F2"/>
            </w:tcBorders>
            <w:shd w:val="clear" w:color="auto" w:fill="F2F2F2"/>
          </w:tcPr>
          <w:p>
            <w:pPr>
              <w:spacing w:after="0"/>
              <w:rPr>
                <w:sz w:val="16"/>
                <w:szCs w:val="16"/>
                <w:color w:val="auto"/>
              </w:rPr>
            </w:pPr>
          </w:p>
        </w:tc>
        <w:tc>
          <w:tcPr>
            <w:tcW w:w="820" w:type="dxa"/>
            <w:vAlign w:val="bottom"/>
            <w:tcBorders>
              <w:bottom w:val="single" w:sz="8" w:color="F2F2F2"/>
            </w:tcBorders>
            <w:shd w:val="clear" w:color="auto" w:fill="F2F2F2"/>
          </w:tcPr>
          <w:p>
            <w:pPr>
              <w:spacing w:after="0"/>
              <w:rPr>
                <w:sz w:val="16"/>
                <w:szCs w:val="16"/>
                <w:color w:val="auto"/>
              </w:rPr>
            </w:pPr>
          </w:p>
        </w:tc>
        <w:tc>
          <w:tcPr>
            <w:tcW w:w="2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c>
          <w:tcPr>
            <w:tcW w:w="200" w:type="dxa"/>
            <w:vAlign w:val="bottom"/>
            <w:tcBorders>
              <w:bottom w:val="single" w:sz="8" w:color="F2F2F2"/>
            </w:tcBorders>
            <w:shd w:val="clear" w:color="auto" w:fill="F2F2F2"/>
          </w:tcPr>
          <w:p>
            <w:pPr>
              <w:spacing w:after="0"/>
              <w:rPr>
                <w:sz w:val="16"/>
                <w:szCs w:val="16"/>
                <w:color w:val="auto"/>
              </w:rPr>
            </w:pPr>
          </w:p>
        </w:tc>
        <w:tc>
          <w:tcPr>
            <w:tcW w:w="560" w:type="dxa"/>
            <w:vAlign w:val="bottom"/>
            <w:tcBorders>
              <w:bottom w:val="single" w:sz="8" w:color="F2F2F2"/>
            </w:tcBorders>
            <w:shd w:val="clear" w:color="auto" w:fill="F2F2F2"/>
          </w:tcPr>
          <w:p>
            <w:pPr>
              <w:spacing w:after="0"/>
              <w:rPr>
                <w:sz w:val="16"/>
                <w:szCs w:val="16"/>
                <w:color w:val="auto"/>
              </w:rPr>
            </w:pPr>
          </w:p>
        </w:tc>
      </w:tr>
      <w:tr>
        <w:trPr>
          <w:trHeight w:val="154"/>
        </w:trPr>
        <w:tc>
          <w:tcPr>
            <w:tcW w:w="180" w:type="dxa"/>
            <w:vAlign w:val="bottom"/>
            <w:tcBorders>
              <w:top w:val="single" w:sz="8" w:color="7F7F7F"/>
              <w:bottom w:val="single" w:sz="8" w:color="7F7F7F"/>
            </w:tcBorders>
          </w:tcPr>
          <w:p>
            <w:pPr>
              <w:spacing w:after="0"/>
              <w:rPr>
                <w:sz w:val="13"/>
                <w:szCs w:val="13"/>
                <w:color w:val="auto"/>
              </w:rPr>
            </w:pPr>
          </w:p>
        </w:tc>
        <w:tc>
          <w:tcPr>
            <w:tcW w:w="1720" w:type="dxa"/>
            <w:vAlign w:val="bottom"/>
            <w:tcBorders>
              <w:top w:val="single" w:sz="8" w:color="7F7F7F"/>
              <w:bottom w:val="single" w:sz="8" w:color="7F7F7F"/>
            </w:tcBorders>
          </w:tcPr>
          <w:p>
            <w:pPr>
              <w:spacing w:after="0"/>
              <w:rPr>
                <w:sz w:val="13"/>
                <w:szCs w:val="13"/>
                <w:color w:val="auto"/>
              </w:rPr>
            </w:pPr>
          </w:p>
        </w:tc>
        <w:tc>
          <w:tcPr>
            <w:tcW w:w="600" w:type="dxa"/>
            <w:vAlign w:val="bottom"/>
            <w:tcBorders>
              <w:top w:val="single" w:sz="8" w:color="7F7F7F"/>
              <w:bottom w:val="single" w:sz="8" w:color="7F7F7F"/>
            </w:tcBorders>
          </w:tcPr>
          <w:p>
            <w:pPr>
              <w:spacing w:after="0"/>
              <w:rPr>
                <w:sz w:val="13"/>
                <w:szCs w:val="13"/>
                <w:color w:val="auto"/>
              </w:rPr>
            </w:pPr>
          </w:p>
        </w:tc>
        <w:tc>
          <w:tcPr>
            <w:tcW w:w="1520" w:type="dxa"/>
            <w:vAlign w:val="bottom"/>
            <w:tcBorders>
              <w:top w:val="single" w:sz="8" w:color="7F7F7F"/>
              <w:bottom w:val="single" w:sz="8" w:color="7F7F7F"/>
            </w:tcBorders>
            <w:gridSpan w:val="2"/>
          </w:tcPr>
          <w:p>
            <w:pPr>
              <w:spacing w:after="0"/>
              <w:rPr>
                <w:sz w:val="13"/>
                <w:szCs w:val="13"/>
                <w:color w:val="auto"/>
              </w:rPr>
            </w:pPr>
          </w:p>
        </w:tc>
        <w:tc>
          <w:tcPr>
            <w:tcW w:w="200" w:type="dxa"/>
            <w:vAlign w:val="bottom"/>
            <w:tcBorders>
              <w:top w:val="single" w:sz="8" w:color="7F7F7F"/>
              <w:bottom w:val="single" w:sz="8" w:color="7F7F7F"/>
            </w:tcBorders>
          </w:tcPr>
          <w:p>
            <w:pPr>
              <w:spacing w:after="0"/>
              <w:rPr>
                <w:sz w:val="13"/>
                <w:szCs w:val="13"/>
                <w:color w:val="auto"/>
              </w:rPr>
            </w:pPr>
          </w:p>
        </w:tc>
        <w:tc>
          <w:tcPr>
            <w:tcW w:w="580" w:type="dxa"/>
            <w:vAlign w:val="bottom"/>
            <w:tcBorders>
              <w:top w:val="single" w:sz="8" w:color="7F7F7F"/>
              <w:bottom w:val="single" w:sz="8" w:color="7F7F7F"/>
            </w:tcBorders>
          </w:tcPr>
          <w:p>
            <w:pPr>
              <w:spacing w:after="0"/>
              <w:rPr>
                <w:sz w:val="13"/>
                <w:szCs w:val="13"/>
                <w:color w:val="auto"/>
              </w:rPr>
            </w:pPr>
          </w:p>
        </w:tc>
        <w:tc>
          <w:tcPr>
            <w:tcW w:w="1780" w:type="dxa"/>
            <w:vAlign w:val="bottom"/>
            <w:tcBorders>
              <w:top w:val="single" w:sz="8" w:color="7F7F7F"/>
              <w:bottom w:val="single" w:sz="8" w:color="7F7F7F"/>
            </w:tcBorders>
          </w:tcPr>
          <w:p>
            <w:pPr>
              <w:spacing w:after="0"/>
              <w:rPr>
                <w:sz w:val="13"/>
                <w:szCs w:val="13"/>
                <w:color w:val="auto"/>
              </w:rPr>
            </w:pPr>
          </w:p>
        </w:tc>
        <w:tc>
          <w:tcPr>
            <w:tcW w:w="820" w:type="dxa"/>
            <w:vAlign w:val="bottom"/>
            <w:tcBorders>
              <w:top w:val="single" w:sz="8" w:color="7F7F7F"/>
              <w:bottom w:val="single" w:sz="8" w:color="7F7F7F"/>
            </w:tcBorders>
          </w:tcPr>
          <w:p>
            <w:pPr>
              <w:spacing w:after="0"/>
              <w:rPr>
                <w:sz w:val="13"/>
                <w:szCs w:val="13"/>
                <w:color w:val="auto"/>
              </w:rPr>
            </w:pPr>
          </w:p>
        </w:tc>
        <w:tc>
          <w:tcPr>
            <w:tcW w:w="2200" w:type="dxa"/>
            <w:vAlign w:val="bottom"/>
            <w:tcBorders>
              <w:top w:val="single" w:sz="8" w:color="7F7F7F"/>
              <w:bottom w:val="single" w:sz="8" w:color="7F7F7F"/>
            </w:tcBorders>
          </w:tcPr>
          <w:p>
            <w:pPr>
              <w:spacing w:after="0"/>
              <w:rPr>
                <w:sz w:val="13"/>
                <w:szCs w:val="13"/>
                <w:color w:val="auto"/>
              </w:rPr>
            </w:pPr>
          </w:p>
        </w:tc>
        <w:tc>
          <w:tcPr>
            <w:tcW w:w="560" w:type="dxa"/>
            <w:vAlign w:val="bottom"/>
            <w:tcBorders>
              <w:top w:val="single" w:sz="8" w:color="7F7F7F"/>
              <w:bottom w:val="single" w:sz="8" w:color="7F7F7F"/>
            </w:tcBorders>
          </w:tcPr>
          <w:p>
            <w:pPr>
              <w:spacing w:after="0"/>
              <w:rPr>
                <w:sz w:val="13"/>
                <w:szCs w:val="13"/>
                <w:color w:val="auto"/>
              </w:rPr>
            </w:pPr>
          </w:p>
        </w:tc>
        <w:tc>
          <w:tcPr>
            <w:tcW w:w="200" w:type="dxa"/>
            <w:vAlign w:val="bottom"/>
            <w:tcBorders>
              <w:top w:val="single" w:sz="8" w:color="7F7F7F"/>
              <w:bottom w:val="single" w:sz="8" w:color="7F7F7F"/>
            </w:tcBorders>
          </w:tcPr>
          <w:p>
            <w:pPr>
              <w:spacing w:after="0"/>
              <w:rPr>
                <w:sz w:val="13"/>
                <w:szCs w:val="13"/>
                <w:color w:val="auto"/>
              </w:rPr>
            </w:pPr>
          </w:p>
        </w:tc>
        <w:tc>
          <w:tcPr>
            <w:tcW w:w="560" w:type="dxa"/>
            <w:vAlign w:val="bottom"/>
            <w:tcBorders>
              <w:top w:val="single" w:sz="8" w:color="7F7F7F"/>
              <w:bottom w:val="single" w:sz="8" w:color="7F7F7F"/>
            </w:tcBorders>
          </w:tcPr>
          <w:p>
            <w:pPr>
              <w:spacing w:after="0"/>
              <w:rPr>
                <w:sz w:val="13"/>
                <w:szCs w:val="13"/>
                <w:color w:val="auto"/>
              </w:rPr>
            </w:pPr>
          </w:p>
        </w:tc>
      </w:tr>
      <w:tr>
        <w:trPr>
          <w:trHeight w:val="368"/>
        </w:trPr>
        <w:tc>
          <w:tcPr>
            <w:tcW w:w="180" w:type="dxa"/>
            <w:vAlign w:val="bottom"/>
          </w:tcPr>
          <w:p>
            <w:pPr>
              <w:jc w:val="center"/>
              <w:spacing w:after="0"/>
              <w:rPr>
                <w:sz w:val="20"/>
                <w:szCs w:val="20"/>
                <w:color w:val="auto"/>
              </w:rPr>
            </w:pPr>
            <w:r>
              <w:rPr>
                <w:rFonts w:ascii="Arial" w:cs="Arial" w:eastAsia="Arial" w:hAnsi="Arial"/>
                <w:sz w:val="12"/>
                <w:szCs w:val="12"/>
                <w:color w:val="auto"/>
                <w:w w:val="70"/>
              </w:rPr>
              <w:t>72 </w:t>
            </w:r>
          </w:p>
        </w:tc>
        <w:tc>
          <w:tcPr>
            <w:tcW w:w="1720" w:type="dxa"/>
            <w:vAlign w:val="bottom"/>
          </w:tcPr>
          <w:p>
            <w:pPr>
              <w:ind w:left="100"/>
              <w:spacing w:after="0"/>
              <w:rPr>
                <w:sz w:val="20"/>
                <w:szCs w:val="20"/>
                <w:color w:val="auto"/>
              </w:rPr>
            </w:pPr>
            <w:r>
              <w:rPr>
                <w:rFonts w:ascii="Arial" w:cs="Arial" w:eastAsia="Arial" w:hAnsi="Arial"/>
                <w:sz w:val="12"/>
                <w:szCs w:val="12"/>
                <w:color w:val="auto"/>
              </w:rPr>
              <w:t xml:space="preserve">       </w:t>
            </w:r>
          </w:p>
        </w:tc>
        <w:tc>
          <w:tcPr>
            <w:tcW w:w="600" w:type="dxa"/>
            <w:vAlign w:val="bottom"/>
          </w:tcPr>
          <w:p>
            <w:pPr>
              <w:jc w:val="right"/>
              <w:spacing w:after="0"/>
              <w:rPr>
                <w:sz w:val="20"/>
                <w:szCs w:val="20"/>
                <w:color w:val="auto"/>
              </w:rPr>
            </w:pPr>
            <w:r>
              <w:rPr>
                <w:rFonts w:ascii="Arial" w:cs="Arial" w:eastAsia="Arial" w:hAnsi="Arial"/>
                <w:sz w:val="12"/>
                <w:szCs w:val="12"/>
                <w:color w:val="auto"/>
              </w:rPr>
              <w:t xml:space="preserve">    </w:t>
            </w:r>
          </w:p>
        </w:tc>
        <w:tc>
          <w:tcPr>
            <w:tcW w:w="1520" w:type="dxa"/>
            <w:vAlign w:val="bottom"/>
            <w:gridSpan w:val="2"/>
          </w:tcPr>
          <w:p>
            <w:pPr>
              <w:jc w:val="right"/>
              <w:ind w:right="198"/>
              <w:spacing w:after="0"/>
              <w:rPr>
                <w:sz w:val="20"/>
                <w:szCs w:val="20"/>
                <w:color w:val="auto"/>
              </w:rPr>
            </w:pPr>
            <w:r>
              <w:rPr>
                <w:rFonts w:ascii="Arial" w:cs="Arial" w:eastAsia="Arial" w:hAnsi="Arial"/>
                <w:sz w:val="12"/>
                <w:szCs w:val="12"/>
                <w:color w:val="auto"/>
              </w:rPr>
              <w:t>2026 Proxy Statement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-118110</wp:posOffset>
            </wp:positionV>
            <wp:extent cx="739140" cy="144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60" w:type="dxa"/>
        <w:tblCellMar>
          <w:top w:w="0" w:type="dxa"/>
          <w:left w:w="0" w:type="dxa"/>
          <w:bottom w:w="0" w:type="dxa"/>
          <w:right w:w="0" w:type="dxa"/>
        </w:tblCellMar>
      </w:tblPr>
      <w:tr>
        <w:trPr>
          <w:trHeight w:val="147"/>
        </w:trPr>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7F7F7F"/>
                <w:w w:val="96"/>
              </w:rPr>
              <w:t>Executive Compensation</w:t>
            </w: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80" w:type="dxa"/>
            <w:vAlign w:val="bottom"/>
            <w:gridSpan w:val="4"/>
          </w:tcPr>
          <w:p>
            <w:pPr>
              <w:spacing w:after="0"/>
              <w:rPr>
                <w:sz w:val="11"/>
                <w:szCs w:val="11"/>
                <w:color w:val="auto"/>
              </w:rPr>
            </w:pPr>
          </w:p>
        </w:tc>
        <w:tc>
          <w:tcPr>
            <w:tcW w:w="2580" w:type="dxa"/>
            <w:vAlign w:val="bottom"/>
            <w:gridSpan w:val="3"/>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60" w:type="dxa"/>
            <w:vAlign w:val="bottom"/>
            <w:shd w:val="clear" w:color="auto" w:fill="005CB9"/>
          </w:tcPr>
          <w:p>
            <w:pPr>
              <w:spacing w:after="0"/>
              <w:rPr>
                <w:sz w:val="18"/>
                <w:szCs w:val="18"/>
                <w:color w:val="auto"/>
              </w:rPr>
            </w:pPr>
          </w:p>
        </w:tc>
        <w:tc>
          <w:tcPr>
            <w:tcW w:w="1220" w:type="dxa"/>
            <w:vAlign w:val="bottom"/>
            <w:shd w:val="clear" w:color="auto" w:fill="005CB9"/>
          </w:tcPr>
          <w:p>
            <w:pPr>
              <w:spacing w:after="0"/>
              <w:rPr>
                <w:sz w:val="18"/>
                <w:szCs w:val="18"/>
                <w:color w:val="auto"/>
              </w:rPr>
            </w:pPr>
          </w:p>
        </w:tc>
        <w:tc>
          <w:tcPr>
            <w:tcW w:w="620" w:type="dxa"/>
            <w:vAlign w:val="bottom"/>
            <w:shd w:val="clear" w:color="auto" w:fill="005CB9"/>
          </w:tcPr>
          <w:p>
            <w:pPr>
              <w:spacing w:after="0"/>
              <w:rPr>
                <w:sz w:val="18"/>
                <w:szCs w:val="18"/>
                <w:color w:val="auto"/>
              </w:rPr>
            </w:pPr>
          </w:p>
        </w:tc>
        <w:tc>
          <w:tcPr>
            <w:tcW w:w="760" w:type="dxa"/>
            <w:vAlign w:val="bottom"/>
            <w:shd w:val="clear" w:color="auto" w:fill="005CB9"/>
          </w:tcPr>
          <w:p>
            <w:pPr>
              <w:spacing w:after="0"/>
              <w:rPr>
                <w:sz w:val="18"/>
                <w:szCs w:val="18"/>
                <w:color w:val="auto"/>
              </w:rPr>
            </w:pPr>
          </w:p>
        </w:tc>
        <w:tc>
          <w:tcPr>
            <w:tcW w:w="3180" w:type="dxa"/>
            <w:vAlign w:val="bottom"/>
            <w:gridSpan w:val="4"/>
            <w:shd w:val="clear" w:color="auto" w:fill="005CB9"/>
          </w:tcPr>
          <w:p>
            <w:pPr>
              <w:jc w:val="center"/>
              <w:spacing w:after="0"/>
              <w:rPr>
                <w:sz w:val="20"/>
                <w:szCs w:val="20"/>
                <w:color w:val="auto"/>
              </w:rPr>
            </w:pPr>
            <w:r>
              <w:rPr>
                <w:rFonts w:ascii="Arial" w:cs="Arial" w:eastAsia="Arial" w:hAnsi="Arial"/>
                <w:sz w:val="12"/>
                <w:szCs w:val="12"/>
                <w:b w:val="1"/>
                <w:bCs w:val="1"/>
                <w:color w:val="FFFFFF"/>
              </w:rPr>
              <w:t>Estimated Possible Payouts Under</w:t>
            </w:r>
          </w:p>
        </w:tc>
        <w:tc>
          <w:tcPr>
            <w:tcW w:w="2580" w:type="dxa"/>
            <w:vAlign w:val="bottom"/>
            <w:gridSpan w:val="3"/>
            <w:shd w:val="clear" w:color="auto" w:fill="005CB9"/>
          </w:tcPr>
          <w:p>
            <w:pPr>
              <w:jc w:val="center"/>
              <w:ind w:left="18"/>
              <w:spacing w:after="0"/>
              <w:rPr>
                <w:sz w:val="20"/>
                <w:szCs w:val="20"/>
                <w:color w:val="auto"/>
              </w:rPr>
            </w:pPr>
            <w:r>
              <w:rPr>
                <w:rFonts w:ascii="Arial" w:cs="Arial" w:eastAsia="Arial" w:hAnsi="Arial"/>
                <w:sz w:val="12"/>
                <w:szCs w:val="12"/>
                <w:b w:val="1"/>
                <w:bCs w:val="1"/>
                <w:color w:val="FFFFFF"/>
              </w:rPr>
              <w:t>Estimated Future Payouts</w:t>
            </w:r>
          </w:p>
        </w:tc>
        <w:tc>
          <w:tcPr>
            <w:tcW w:w="64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All</w:t>
            </w:r>
          </w:p>
        </w:tc>
        <w:tc>
          <w:tcPr>
            <w:tcW w:w="480" w:type="dxa"/>
            <w:vAlign w:val="bottom"/>
            <w:shd w:val="clear" w:color="auto" w:fill="005CB9"/>
          </w:tcPr>
          <w:p>
            <w:pPr>
              <w:spacing w:after="0"/>
              <w:rPr>
                <w:sz w:val="18"/>
                <w:szCs w:val="18"/>
                <w:color w:val="auto"/>
              </w:rPr>
            </w:pPr>
          </w:p>
        </w:tc>
        <w:tc>
          <w:tcPr>
            <w:tcW w:w="600" w:type="dxa"/>
            <w:vAlign w:val="bottom"/>
            <w:shd w:val="clear" w:color="auto" w:fill="005CB9"/>
          </w:tcPr>
          <w:p>
            <w:pPr>
              <w:spacing w:after="0"/>
              <w:rPr>
                <w:sz w:val="18"/>
                <w:szCs w:val="18"/>
                <w:color w:val="auto"/>
              </w:rPr>
            </w:pPr>
          </w:p>
        </w:tc>
        <w:tc>
          <w:tcPr>
            <w:tcW w:w="680" w:type="dxa"/>
            <w:vAlign w:val="bottom"/>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0" w:type="dxa"/>
            <w:vAlign w:val="bottom"/>
            <w:shd w:val="clear" w:color="auto" w:fill="005CB9"/>
          </w:tcPr>
          <w:p>
            <w:pPr>
              <w:spacing w:after="0"/>
              <w:rPr>
                <w:sz w:val="10"/>
                <w:szCs w:val="10"/>
                <w:color w:val="auto"/>
              </w:rPr>
            </w:pPr>
          </w:p>
        </w:tc>
        <w:tc>
          <w:tcPr>
            <w:tcW w:w="1220" w:type="dxa"/>
            <w:vAlign w:val="bottom"/>
            <w:shd w:val="clear" w:color="auto" w:fill="005CB9"/>
          </w:tcPr>
          <w:p>
            <w:pPr>
              <w:spacing w:after="0"/>
              <w:rPr>
                <w:sz w:val="10"/>
                <w:szCs w:val="10"/>
                <w:color w:val="auto"/>
              </w:rPr>
            </w:pPr>
          </w:p>
        </w:tc>
        <w:tc>
          <w:tcPr>
            <w:tcW w:w="620" w:type="dxa"/>
            <w:vAlign w:val="bottom"/>
            <w:shd w:val="clear" w:color="auto" w:fill="005CB9"/>
          </w:tcPr>
          <w:p>
            <w:pPr>
              <w:spacing w:after="0"/>
              <w:rPr>
                <w:sz w:val="10"/>
                <w:szCs w:val="10"/>
                <w:color w:val="auto"/>
              </w:rPr>
            </w:pPr>
          </w:p>
        </w:tc>
        <w:tc>
          <w:tcPr>
            <w:tcW w:w="760" w:type="dxa"/>
            <w:vAlign w:val="bottom"/>
            <w:shd w:val="clear" w:color="auto" w:fill="005CB9"/>
          </w:tcPr>
          <w:p>
            <w:pPr>
              <w:spacing w:after="0"/>
              <w:rPr>
                <w:sz w:val="10"/>
                <w:szCs w:val="10"/>
                <w:color w:val="auto"/>
              </w:rPr>
            </w:pPr>
          </w:p>
        </w:tc>
        <w:tc>
          <w:tcPr>
            <w:tcW w:w="3180" w:type="dxa"/>
            <w:vAlign w:val="bottom"/>
            <w:gridSpan w:val="4"/>
            <w:shd w:val="clear" w:color="auto" w:fill="005CB9"/>
          </w:tcPr>
          <w:p>
            <w:pPr>
              <w:jc w:val="center"/>
              <w:spacing w:after="0" w:line="122" w:lineRule="exact"/>
              <w:rPr>
                <w:sz w:val="20"/>
                <w:szCs w:val="20"/>
                <w:color w:val="auto"/>
              </w:rPr>
            </w:pPr>
            <w:r>
              <w:rPr>
                <w:rFonts w:ascii="Arial" w:cs="Arial" w:eastAsia="Arial" w:hAnsi="Arial"/>
                <w:sz w:val="12"/>
                <w:szCs w:val="12"/>
                <w:b w:val="1"/>
                <w:bCs w:val="1"/>
                <w:color w:val="FFFFFF"/>
              </w:rPr>
              <w:t>Non-Equity Incentive Plan Awards</w:t>
            </w:r>
          </w:p>
        </w:tc>
        <w:tc>
          <w:tcPr>
            <w:tcW w:w="2580" w:type="dxa"/>
            <w:vAlign w:val="bottom"/>
            <w:gridSpan w:val="3"/>
            <w:shd w:val="clear" w:color="auto" w:fill="005CB9"/>
          </w:tcPr>
          <w:p>
            <w:pPr>
              <w:jc w:val="center"/>
              <w:ind w:left="18"/>
              <w:spacing w:after="0" w:line="122" w:lineRule="exact"/>
              <w:rPr>
                <w:sz w:val="20"/>
                <w:szCs w:val="20"/>
                <w:color w:val="auto"/>
              </w:rPr>
            </w:pPr>
            <w:r>
              <w:rPr>
                <w:rFonts w:ascii="Arial" w:cs="Arial" w:eastAsia="Arial" w:hAnsi="Arial"/>
                <w:sz w:val="12"/>
                <w:szCs w:val="12"/>
                <w:b w:val="1"/>
                <w:bCs w:val="1"/>
                <w:color w:val="FFFFFF"/>
              </w:rPr>
              <w:t>Under Equity Incentive Plan</w:t>
            </w:r>
          </w:p>
        </w:tc>
        <w:tc>
          <w:tcPr>
            <w:tcW w:w="640" w:type="dxa"/>
            <w:vAlign w:val="bottom"/>
            <w:shd w:val="clear" w:color="auto" w:fill="005CB9"/>
          </w:tcPr>
          <w:p>
            <w:pPr>
              <w:jc w:val="center"/>
              <w:spacing w:after="0" w:line="122" w:lineRule="exact"/>
              <w:rPr>
                <w:sz w:val="20"/>
                <w:szCs w:val="20"/>
                <w:color w:val="auto"/>
              </w:rPr>
            </w:pPr>
            <w:r>
              <w:rPr>
                <w:rFonts w:ascii="Arial" w:cs="Arial" w:eastAsia="Arial" w:hAnsi="Arial"/>
                <w:sz w:val="12"/>
                <w:szCs w:val="12"/>
                <w:b w:val="1"/>
                <w:bCs w:val="1"/>
                <w:color w:val="FFFFFF"/>
                <w:w w:val="99"/>
              </w:rPr>
              <w:t>Other</w:t>
            </w:r>
          </w:p>
        </w:tc>
        <w:tc>
          <w:tcPr>
            <w:tcW w:w="1080" w:type="dxa"/>
            <w:vAlign w:val="bottom"/>
            <w:gridSpan w:val="2"/>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Option Awards</w:t>
            </w:r>
          </w:p>
        </w:tc>
        <w:tc>
          <w:tcPr>
            <w:tcW w:w="68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Grant</w:t>
            </w:r>
          </w:p>
        </w:tc>
        <w:tc>
          <w:tcPr>
            <w:tcW w:w="0" w:type="dxa"/>
            <w:vAlign w:val="bottom"/>
          </w:tcPr>
          <w:p>
            <w:pPr>
              <w:spacing w:after="0"/>
              <w:rPr>
                <w:sz w:val="1"/>
                <w:szCs w:val="1"/>
                <w:color w:val="auto"/>
              </w:rPr>
            </w:pPr>
          </w:p>
        </w:tc>
      </w:tr>
      <w:tr>
        <w:trPr>
          <w:trHeight w:val="132"/>
        </w:trPr>
        <w:tc>
          <w:tcPr>
            <w:tcW w:w="160" w:type="dxa"/>
            <w:vAlign w:val="bottom"/>
            <w:shd w:val="clear" w:color="auto" w:fill="005CB9"/>
          </w:tcPr>
          <w:p>
            <w:pPr>
              <w:spacing w:after="0"/>
              <w:rPr>
                <w:sz w:val="11"/>
                <w:szCs w:val="11"/>
                <w:color w:val="auto"/>
              </w:rPr>
            </w:pPr>
          </w:p>
        </w:tc>
        <w:tc>
          <w:tcPr>
            <w:tcW w:w="1220" w:type="dxa"/>
            <w:vAlign w:val="bottom"/>
            <w:shd w:val="clear" w:color="auto" w:fill="005CB9"/>
          </w:tcPr>
          <w:p>
            <w:pPr>
              <w:spacing w:after="0"/>
              <w:rPr>
                <w:sz w:val="11"/>
                <w:szCs w:val="11"/>
                <w:color w:val="auto"/>
              </w:rPr>
            </w:pPr>
          </w:p>
        </w:tc>
        <w:tc>
          <w:tcPr>
            <w:tcW w:w="620" w:type="dxa"/>
            <w:vAlign w:val="bottom"/>
            <w:shd w:val="clear" w:color="auto" w:fill="005CB9"/>
          </w:tcPr>
          <w:p>
            <w:pPr>
              <w:spacing w:after="0"/>
              <w:rPr>
                <w:sz w:val="11"/>
                <w:szCs w:val="11"/>
                <w:color w:val="auto"/>
              </w:rPr>
            </w:pPr>
          </w:p>
        </w:tc>
        <w:tc>
          <w:tcPr>
            <w:tcW w:w="760" w:type="dxa"/>
            <w:vAlign w:val="bottom"/>
            <w:shd w:val="clear" w:color="auto" w:fill="005CB9"/>
          </w:tcPr>
          <w:p>
            <w:pPr>
              <w:spacing w:after="0"/>
              <w:rPr>
                <w:sz w:val="11"/>
                <w:szCs w:val="11"/>
                <w:color w:val="auto"/>
              </w:rPr>
            </w:pPr>
          </w:p>
        </w:tc>
        <w:tc>
          <w:tcPr>
            <w:tcW w:w="3180" w:type="dxa"/>
            <w:vAlign w:val="bottom"/>
            <w:gridSpan w:val="4"/>
            <w:shd w:val="clear" w:color="auto" w:fill="005CB9"/>
          </w:tcPr>
          <w:p>
            <w:pPr>
              <w:jc w:val="center"/>
              <w:spacing w:after="0" w:line="133" w:lineRule="exact"/>
              <w:rPr>
                <w:sz w:val="20"/>
                <w:szCs w:val="20"/>
                <w:color w:val="auto"/>
              </w:rPr>
            </w:pPr>
            <w:r>
              <w:rPr>
                <w:rFonts w:ascii="Arial" w:cs="Arial" w:eastAsia="Arial" w:hAnsi="Arial"/>
                <w:sz w:val="12"/>
                <w:szCs w:val="12"/>
                <w:b w:val="1"/>
                <w:bCs w:val="1"/>
                <w:color w:val="FFFFFF"/>
              </w:rPr>
              <w:t>(Performance-Based Annual</w:t>
            </w:r>
          </w:p>
        </w:tc>
        <w:tc>
          <w:tcPr>
            <w:tcW w:w="2580" w:type="dxa"/>
            <w:vAlign w:val="bottom"/>
            <w:gridSpan w:val="3"/>
            <w:shd w:val="clear" w:color="auto" w:fill="005CB9"/>
          </w:tcPr>
          <w:p>
            <w:pPr>
              <w:jc w:val="center"/>
              <w:ind w:left="18"/>
              <w:spacing w:after="0" w:line="133" w:lineRule="exact"/>
              <w:rPr>
                <w:sz w:val="20"/>
                <w:szCs w:val="20"/>
                <w:color w:val="auto"/>
              </w:rPr>
            </w:pPr>
            <w:r>
              <w:rPr>
                <w:rFonts w:ascii="Arial" w:cs="Arial" w:eastAsia="Arial" w:hAnsi="Arial"/>
                <w:sz w:val="12"/>
                <w:szCs w:val="12"/>
                <w:b w:val="1"/>
                <w:bCs w:val="1"/>
                <w:color w:val="FFFFFF"/>
              </w:rPr>
              <w:t>Awards (Number of</w:t>
            </w:r>
          </w:p>
        </w:tc>
        <w:tc>
          <w:tcPr>
            <w:tcW w:w="640" w:type="dxa"/>
            <w:vAlign w:val="bottom"/>
            <w:shd w:val="clear" w:color="auto" w:fill="005CB9"/>
          </w:tcPr>
          <w:p>
            <w:pPr>
              <w:jc w:val="center"/>
              <w:spacing w:after="0" w:line="133" w:lineRule="exact"/>
              <w:rPr>
                <w:sz w:val="20"/>
                <w:szCs w:val="20"/>
                <w:color w:val="auto"/>
              </w:rPr>
            </w:pPr>
            <w:r>
              <w:rPr>
                <w:rFonts w:ascii="Arial" w:cs="Arial" w:eastAsia="Arial" w:hAnsi="Arial"/>
                <w:sz w:val="12"/>
                <w:szCs w:val="12"/>
                <w:b w:val="1"/>
                <w:bCs w:val="1"/>
                <w:color w:val="FFFFFF"/>
              </w:rPr>
              <w:t>Stock</w:t>
            </w:r>
          </w:p>
        </w:tc>
        <w:tc>
          <w:tcPr>
            <w:tcW w:w="1080" w:type="dxa"/>
            <w:vAlign w:val="bottom"/>
            <w:gridSpan w:val="2"/>
            <w:vMerge w:val="continue"/>
            <w:shd w:val="clear" w:color="auto" w:fill="005CB9"/>
          </w:tcPr>
          <w:p>
            <w:pPr>
              <w:spacing w:after="0"/>
              <w:rPr>
                <w:sz w:val="11"/>
                <w:szCs w:val="11"/>
                <w:color w:val="auto"/>
              </w:rPr>
            </w:pPr>
          </w:p>
        </w:tc>
        <w:tc>
          <w:tcPr>
            <w:tcW w:w="680" w:type="dxa"/>
            <w:vAlign w:val="bottom"/>
            <w:vMerge w:val="continue"/>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0" w:type="dxa"/>
            <w:vAlign w:val="bottom"/>
            <w:shd w:val="clear" w:color="auto" w:fill="005CB9"/>
          </w:tcPr>
          <w:p>
            <w:pPr>
              <w:spacing w:after="0"/>
              <w:rPr>
                <w:sz w:val="13"/>
                <w:szCs w:val="13"/>
                <w:color w:val="auto"/>
              </w:rPr>
            </w:pPr>
          </w:p>
        </w:tc>
        <w:tc>
          <w:tcPr>
            <w:tcW w:w="1220" w:type="dxa"/>
            <w:vAlign w:val="bottom"/>
            <w:shd w:val="clear" w:color="auto" w:fill="005CB9"/>
          </w:tcPr>
          <w:p>
            <w:pPr>
              <w:spacing w:after="0"/>
              <w:rPr>
                <w:sz w:val="13"/>
                <w:szCs w:val="13"/>
                <w:color w:val="auto"/>
              </w:rPr>
            </w:pPr>
          </w:p>
        </w:tc>
        <w:tc>
          <w:tcPr>
            <w:tcW w:w="62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000" w:type="dxa"/>
            <w:vAlign w:val="bottom"/>
            <w:shd w:val="clear" w:color="auto" w:fill="005CB9"/>
          </w:tcPr>
          <w:p>
            <w:pPr>
              <w:spacing w:after="0"/>
              <w:rPr>
                <w:sz w:val="13"/>
                <w:szCs w:val="13"/>
                <w:color w:val="auto"/>
              </w:rPr>
            </w:pPr>
          </w:p>
        </w:tc>
        <w:tc>
          <w:tcPr>
            <w:tcW w:w="1060" w:type="dxa"/>
            <w:vAlign w:val="bottom"/>
            <w:shd w:val="clear" w:color="auto" w:fill="005CB9"/>
          </w:tcPr>
          <w:p>
            <w:pPr>
              <w:jc w:val="center"/>
              <w:spacing w:after="0" w:line="153" w:lineRule="exact"/>
              <w:rPr>
                <w:sz w:val="20"/>
                <w:szCs w:val="20"/>
                <w:color w:val="auto"/>
              </w:rPr>
            </w:pPr>
            <w:r>
              <w:rPr>
                <w:rFonts w:ascii="Arial" w:cs="Arial" w:eastAsia="Arial" w:hAnsi="Arial"/>
                <w:sz w:val="12"/>
                <w:szCs w:val="12"/>
                <w:b w:val="1"/>
                <w:bCs w:val="1"/>
                <w:color w:val="FFFFFF"/>
                <w:w w:val="98"/>
              </w:rPr>
              <w:t>Bonus)</w:t>
            </w:r>
            <w:r>
              <w:rPr>
                <w:rFonts w:ascii="Arial" w:cs="Arial" w:eastAsia="Arial" w:hAnsi="Arial"/>
                <w:sz w:val="17"/>
                <w:szCs w:val="17"/>
                <w:b w:val="1"/>
                <w:bCs w:val="1"/>
                <w:color w:val="FFFFFF"/>
                <w:w w:val="98"/>
                <w:vertAlign w:val="superscript"/>
              </w:rPr>
              <w:t>(B)</w:t>
            </w:r>
          </w:p>
        </w:tc>
        <w:tc>
          <w:tcPr>
            <w:tcW w:w="300" w:type="dxa"/>
            <w:vAlign w:val="bottom"/>
            <w:shd w:val="clear" w:color="auto" w:fill="005CB9"/>
          </w:tcPr>
          <w:p>
            <w:pPr>
              <w:spacing w:after="0"/>
              <w:rPr>
                <w:sz w:val="13"/>
                <w:szCs w:val="13"/>
                <w:color w:val="auto"/>
              </w:rPr>
            </w:pPr>
          </w:p>
        </w:tc>
        <w:tc>
          <w:tcPr>
            <w:tcW w:w="820" w:type="dxa"/>
            <w:vAlign w:val="bottom"/>
            <w:shd w:val="clear" w:color="auto" w:fill="005CB9"/>
          </w:tcPr>
          <w:p>
            <w:pPr>
              <w:spacing w:after="0"/>
              <w:rPr>
                <w:sz w:val="13"/>
                <w:szCs w:val="13"/>
                <w:color w:val="auto"/>
              </w:rPr>
            </w:pPr>
          </w:p>
        </w:tc>
        <w:tc>
          <w:tcPr>
            <w:tcW w:w="920" w:type="dxa"/>
            <w:vAlign w:val="bottom"/>
            <w:shd w:val="clear" w:color="auto" w:fill="005CB9"/>
          </w:tcPr>
          <w:p>
            <w:pPr>
              <w:spacing w:after="0"/>
              <w:rPr>
                <w:sz w:val="13"/>
                <w:szCs w:val="13"/>
                <w:color w:val="auto"/>
              </w:rPr>
            </w:pPr>
          </w:p>
        </w:tc>
        <w:tc>
          <w:tcPr>
            <w:tcW w:w="820" w:type="dxa"/>
            <w:vAlign w:val="bottom"/>
            <w:shd w:val="clear" w:color="auto" w:fill="005CB9"/>
          </w:tcPr>
          <w:p>
            <w:pPr>
              <w:jc w:val="center"/>
              <w:spacing w:after="0" w:line="153" w:lineRule="exact"/>
              <w:rPr>
                <w:sz w:val="20"/>
                <w:szCs w:val="20"/>
                <w:color w:val="auto"/>
              </w:rPr>
            </w:pPr>
            <w:r>
              <w:rPr>
                <w:rFonts w:ascii="Arial" w:cs="Arial" w:eastAsia="Arial" w:hAnsi="Arial"/>
                <w:sz w:val="12"/>
                <w:szCs w:val="12"/>
                <w:b w:val="1"/>
                <w:bCs w:val="1"/>
                <w:color w:val="FFFFFF"/>
                <w:w w:val="93"/>
              </w:rPr>
              <w:t>Shares)</w:t>
            </w:r>
            <w:r>
              <w:rPr>
                <w:rFonts w:ascii="Arial" w:cs="Arial" w:eastAsia="Arial" w:hAnsi="Arial"/>
                <w:sz w:val="17"/>
                <w:szCs w:val="17"/>
                <w:b w:val="1"/>
                <w:bCs w:val="1"/>
                <w:color w:val="FFFFFF"/>
                <w:w w:val="93"/>
                <w:vertAlign w:val="superscript"/>
              </w:rPr>
              <w:t>(C)(E)</w:t>
            </w:r>
          </w:p>
        </w:tc>
        <w:tc>
          <w:tcPr>
            <w:tcW w:w="840" w:type="dxa"/>
            <w:vAlign w:val="bottom"/>
            <w:shd w:val="clear" w:color="auto" w:fill="005CB9"/>
          </w:tcPr>
          <w:p>
            <w:pPr>
              <w:spacing w:after="0"/>
              <w:rPr>
                <w:sz w:val="13"/>
                <w:szCs w:val="13"/>
                <w:color w:val="auto"/>
              </w:rPr>
            </w:pPr>
          </w:p>
        </w:tc>
        <w:tc>
          <w:tcPr>
            <w:tcW w:w="64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Awards</w:t>
            </w:r>
          </w:p>
        </w:tc>
        <w:tc>
          <w:tcPr>
            <w:tcW w:w="1080" w:type="dxa"/>
            <w:vAlign w:val="bottom"/>
            <w:gridSpan w:val="2"/>
            <w:shd w:val="clear" w:color="auto" w:fill="005CB9"/>
          </w:tcPr>
          <w:p>
            <w:pPr>
              <w:jc w:val="center"/>
              <w:spacing w:after="0" w:line="153" w:lineRule="exact"/>
              <w:rPr>
                <w:sz w:val="20"/>
                <w:szCs w:val="20"/>
                <w:color w:val="auto"/>
              </w:rPr>
            </w:pPr>
            <w:r>
              <w:rPr>
                <w:rFonts w:ascii="Arial" w:cs="Arial" w:eastAsia="Arial" w:hAnsi="Arial"/>
                <w:sz w:val="12"/>
                <w:szCs w:val="12"/>
                <w:b w:val="1"/>
                <w:bCs w:val="1"/>
                <w:color w:val="FFFFFF"/>
              </w:rPr>
              <w:t>(Stock Options)</w:t>
            </w:r>
            <w:r>
              <w:rPr>
                <w:rFonts w:ascii="Arial" w:cs="Arial" w:eastAsia="Arial" w:hAnsi="Arial"/>
                <w:sz w:val="17"/>
                <w:szCs w:val="17"/>
                <w:b w:val="1"/>
                <w:bCs w:val="1"/>
                <w:color w:val="FFFFFF"/>
                <w:vertAlign w:val="superscript"/>
              </w:rPr>
              <w:t>(F)</w:t>
            </w:r>
          </w:p>
        </w:tc>
        <w:tc>
          <w:tcPr>
            <w:tcW w:w="68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Date Fair</w:t>
            </w:r>
          </w:p>
        </w:tc>
        <w:tc>
          <w:tcPr>
            <w:tcW w:w="0" w:type="dxa"/>
            <w:vAlign w:val="bottom"/>
          </w:tcPr>
          <w:p>
            <w:pPr>
              <w:spacing w:after="0"/>
              <w:rPr>
                <w:sz w:val="1"/>
                <w:szCs w:val="1"/>
                <w:color w:val="auto"/>
              </w:rPr>
            </w:pPr>
          </w:p>
        </w:tc>
      </w:tr>
      <w:tr>
        <w:trPr>
          <w:trHeight w:val="134"/>
        </w:trPr>
        <w:tc>
          <w:tcPr>
            <w:tcW w:w="160" w:type="dxa"/>
            <w:vAlign w:val="bottom"/>
            <w:shd w:val="clear" w:color="auto" w:fill="005CB9"/>
          </w:tcPr>
          <w:p>
            <w:pPr>
              <w:spacing w:after="0"/>
              <w:rPr>
                <w:sz w:val="11"/>
                <w:szCs w:val="11"/>
                <w:color w:val="auto"/>
              </w:rPr>
            </w:pPr>
          </w:p>
        </w:tc>
        <w:tc>
          <w:tcPr>
            <w:tcW w:w="1220" w:type="dxa"/>
            <w:vAlign w:val="bottom"/>
            <w:shd w:val="clear" w:color="auto" w:fill="005CB9"/>
          </w:tcPr>
          <w:p>
            <w:pPr>
              <w:spacing w:after="0"/>
              <w:rPr>
                <w:sz w:val="11"/>
                <w:szCs w:val="11"/>
                <w:color w:val="auto"/>
              </w:rPr>
            </w:pPr>
          </w:p>
        </w:tc>
        <w:tc>
          <w:tcPr>
            <w:tcW w:w="620" w:type="dxa"/>
            <w:vAlign w:val="bottom"/>
            <w:shd w:val="clear" w:color="auto" w:fill="005CB9"/>
          </w:tcPr>
          <w:p>
            <w:pPr>
              <w:spacing w:after="0"/>
              <w:rPr>
                <w:sz w:val="11"/>
                <w:szCs w:val="11"/>
                <w:color w:val="auto"/>
              </w:rPr>
            </w:pPr>
          </w:p>
        </w:tc>
        <w:tc>
          <w:tcPr>
            <w:tcW w:w="760" w:type="dxa"/>
            <w:vAlign w:val="bottom"/>
            <w:vMerge w:val="restart"/>
            <w:shd w:val="clear" w:color="auto" w:fill="005CB9"/>
          </w:tcPr>
          <w:p>
            <w:pPr>
              <w:ind w:left="80"/>
              <w:spacing w:after="0"/>
              <w:rPr>
                <w:sz w:val="20"/>
                <w:szCs w:val="20"/>
                <w:color w:val="auto"/>
              </w:rPr>
            </w:pPr>
            <w:r>
              <w:rPr>
                <w:rFonts w:ascii="Arial" w:cs="Arial" w:eastAsia="Arial" w:hAnsi="Arial"/>
                <w:sz w:val="12"/>
                <w:szCs w:val="12"/>
                <w:b w:val="1"/>
                <w:bCs w:val="1"/>
                <w:color w:val="FFFFFF"/>
              </w:rPr>
              <w:t>Authori-</w:t>
            </w:r>
          </w:p>
        </w:tc>
        <w:tc>
          <w:tcPr>
            <w:tcW w:w="1000" w:type="dxa"/>
            <w:vAlign w:val="bottom"/>
            <w:shd w:val="clear" w:color="auto" w:fill="005CB9"/>
          </w:tcPr>
          <w:p>
            <w:pPr>
              <w:spacing w:after="0"/>
              <w:rPr>
                <w:sz w:val="11"/>
                <w:szCs w:val="11"/>
                <w:color w:val="auto"/>
              </w:rPr>
            </w:pPr>
          </w:p>
        </w:tc>
        <w:tc>
          <w:tcPr>
            <w:tcW w:w="1060" w:type="dxa"/>
            <w:vAlign w:val="bottom"/>
            <w:shd w:val="clear" w:color="auto" w:fill="005CB9"/>
          </w:tcPr>
          <w:p>
            <w:pPr>
              <w:spacing w:after="0"/>
              <w:rPr>
                <w:sz w:val="11"/>
                <w:szCs w:val="11"/>
                <w:color w:val="auto"/>
              </w:rPr>
            </w:pPr>
          </w:p>
        </w:tc>
        <w:tc>
          <w:tcPr>
            <w:tcW w:w="300" w:type="dxa"/>
            <w:vAlign w:val="bottom"/>
            <w:shd w:val="clear" w:color="auto" w:fill="005CB9"/>
          </w:tcPr>
          <w:p>
            <w:pPr>
              <w:spacing w:after="0"/>
              <w:rPr>
                <w:sz w:val="11"/>
                <w:szCs w:val="11"/>
                <w:color w:val="auto"/>
              </w:rPr>
            </w:pPr>
          </w:p>
        </w:tc>
        <w:tc>
          <w:tcPr>
            <w:tcW w:w="820" w:type="dxa"/>
            <w:vAlign w:val="bottom"/>
            <w:shd w:val="clear" w:color="auto" w:fill="005CB9"/>
          </w:tcPr>
          <w:p>
            <w:pPr>
              <w:spacing w:after="0"/>
              <w:rPr>
                <w:sz w:val="11"/>
                <w:szCs w:val="11"/>
                <w:color w:val="auto"/>
              </w:rPr>
            </w:pPr>
          </w:p>
        </w:tc>
        <w:tc>
          <w:tcPr>
            <w:tcW w:w="920" w:type="dxa"/>
            <w:vAlign w:val="bottom"/>
            <w:shd w:val="clear" w:color="auto" w:fill="005CB9"/>
          </w:tcPr>
          <w:p>
            <w:pPr>
              <w:spacing w:after="0"/>
              <w:rPr>
                <w:sz w:val="11"/>
                <w:szCs w:val="11"/>
                <w:color w:val="auto"/>
              </w:rPr>
            </w:pPr>
          </w:p>
        </w:tc>
        <w:tc>
          <w:tcPr>
            <w:tcW w:w="820" w:type="dxa"/>
            <w:vAlign w:val="bottom"/>
            <w:shd w:val="clear" w:color="auto" w:fill="005CB9"/>
          </w:tcPr>
          <w:p>
            <w:pPr>
              <w:spacing w:after="0"/>
              <w:rPr>
                <w:sz w:val="11"/>
                <w:szCs w:val="11"/>
                <w:color w:val="auto"/>
              </w:rPr>
            </w:pPr>
          </w:p>
        </w:tc>
        <w:tc>
          <w:tcPr>
            <w:tcW w:w="840" w:type="dxa"/>
            <w:vAlign w:val="bottom"/>
            <w:shd w:val="clear" w:color="auto" w:fill="005CB9"/>
          </w:tcPr>
          <w:p>
            <w:pPr>
              <w:spacing w:after="0"/>
              <w:rPr>
                <w:sz w:val="11"/>
                <w:szCs w:val="11"/>
                <w:color w:val="auto"/>
              </w:rPr>
            </w:pPr>
          </w:p>
        </w:tc>
        <w:tc>
          <w:tcPr>
            <w:tcW w:w="640" w:type="dxa"/>
            <w:vAlign w:val="bottom"/>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(Number</w:t>
            </w:r>
          </w:p>
        </w:tc>
        <w:tc>
          <w:tcPr>
            <w:tcW w:w="48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Number</w:t>
            </w:r>
          </w:p>
        </w:tc>
        <w:tc>
          <w:tcPr>
            <w:tcW w:w="600" w:type="dxa"/>
            <w:vAlign w:val="bottom"/>
            <w:shd w:val="clear" w:color="auto" w:fill="005CB9"/>
          </w:tcPr>
          <w:p>
            <w:pPr>
              <w:jc w:val="center"/>
              <w:ind w:left="19"/>
              <w:spacing w:after="0" w:line="134" w:lineRule="exact"/>
              <w:rPr>
                <w:sz w:val="20"/>
                <w:szCs w:val="20"/>
                <w:color w:val="auto"/>
              </w:rPr>
            </w:pPr>
            <w:r>
              <w:rPr>
                <w:rFonts w:ascii="Arial" w:cs="Arial" w:eastAsia="Arial" w:hAnsi="Arial"/>
                <w:sz w:val="12"/>
                <w:szCs w:val="12"/>
                <w:b w:val="1"/>
                <w:bCs w:val="1"/>
                <w:color w:val="FFFFFF"/>
              </w:rPr>
              <w:t>Exercise</w:t>
            </w:r>
          </w:p>
        </w:tc>
        <w:tc>
          <w:tcPr>
            <w:tcW w:w="680" w:type="dxa"/>
            <w:vAlign w:val="bottom"/>
            <w:shd w:val="clear" w:color="auto" w:fill="005CB9"/>
          </w:tcPr>
          <w:p>
            <w:pPr>
              <w:jc w:val="center"/>
              <w:ind w:left="18"/>
              <w:spacing w:after="0" w:line="134" w:lineRule="exact"/>
              <w:rPr>
                <w:sz w:val="20"/>
                <w:szCs w:val="20"/>
                <w:color w:val="auto"/>
              </w:rPr>
            </w:pPr>
            <w:r>
              <w:rPr>
                <w:rFonts w:ascii="Arial" w:cs="Arial" w:eastAsia="Arial" w:hAnsi="Arial"/>
                <w:sz w:val="12"/>
                <w:szCs w:val="12"/>
                <w:b w:val="1"/>
                <w:bCs w:val="1"/>
                <w:color w:val="FFFFFF"/>
              </w:rPr>
              <w:t>Value of</w:t>
            </w:r>
          </w:p>
        </w:tc>
        <w:tc>
          <w:tcPr>
            <w:tcW w:w="0" w:type="dxa"/>
            <w:vAlign w:val="bottom"/>
          </w:tcPr>
          <w:p>
            <w:pPr>
              <w:spacing w:after="0"/>
              <w:rPr>
                <w:sz w:val="1"/>
                <w:szCs w:val="1"/>
                <w:color w:val="auto"/>
              </w:rPr>
            </w:pPr>
          </w:p>
        </w:tc>
      </w:tr>
      <w:tr>
        <w:trPr>
          <w:trHeight w:val="120"/>
        </w:trPr>
        <w:tc>
          <w:tcPr>
            <w:tcW w:w="160" w:type="dxa"/>
            <w:vAlign w:val="bottom"/>
            <w:shd w:val="clear" w:color="auto" w:fill="005CB9"/>
          </w:tcPr>
          <w:p>
            <w:pPr>
              <w:spacing w:after="0"/>
              <w:rPr>
                <w:sz w:val="10"/>
                <w:szCs w:val="10"/>
                <w:color w:val="auto"/>
              </w:rPr>
            </w:pPr>
          </w:p>
        </w:tc>
        <w:tc>
          <w:tcPr>
            <w:tcW w:w="1220" w:type="dxa"/>
            <w:vAlign w:val="bottom"/>
            <w:shd w:val="clear" w:color="auto" w:fill="005CB9"/>
          </w:tcPr>
          <w:p>
            <w:pPr>
              <w:spacing w:after="0"/>
              <w:rPr>
                <w:sz w:val="10"/>
                <w:szCs w:val="10"/>
                <w:color w:val="auto"/>
              </w:rPr>
            </w:pPr>
          </w:p>
        </w:tc>
        <w:tc>
          <w:tcPr>
            <w:tcW w:w="620" w:type="dxa"/>
            <w:vAlign w:val="bottom"/>
            <w:shd w:val="clear" w:color="auto" w:fill="005CB9"/>
          </w:tcPr>
          <w:p>
            <w:pPr>
              <w:spacing w:after="0"/>
              <w:rPr>
                <w:sz w:val="10"/>
                <w:szCs w:val="10"/>
                <w:color w:val="auto"/>
              </w:rPr>
            </w:pPr>
          </w:p>
        </w:tc>
        <w:tc>
          <w:tcPr>
            <w:tcW w:w="760" w:type="dxa"/>
            <w:vAlign w:val="bottom"/>
            <w:vMerge w:val="continue"/>
            <w:shd w:val="clear" w:color="auto" w:fill="005CB9"/>
          </w:tcPr>
          <w:p>
            <w:pPr>
              <w:spacing w:after="0"/>
              <w:rPr>
                <w:sz w:val="10"/>
                <w:szCs w:val="10"/>
                <w:color w:val="auto"/>
              </w:rPr>
            </w:pPr>
          </w:p>
        </w:tc>
        <w:tc>
          <w:tcPr>
            <w:tcW w:w="1000" w:type="dxa"/>
            <w:vAlign w:val="bottom"/>
            <w:shd w:val="clear" w:color="auto" w:fill="005CB9"/>
          </w:tcPr>
          <w:p>
            <w:pPr>
              <w:spacing w:after="0"/>
              <w:rPr>
                <w:sz w:val="10"/>
                <w:szCs w:val="10"/>
                <w:color w:val="auto"/>
              </w:rPr>
            </w:pPr>
          </w:p>
        </w:tc>
        <w:tc>
          <w:tcPr>
            <w:tcW w:w="1060" w:type="dxa"/>
            <w:vAlign w:val="bottom"/>
            <w:shd w:val="clear" w:color="auto" w:fill="005CB9"/>
          </w:tcPr>
          <w:p>
            <w:pPr>
              <w:spacing w:after="0"/>
              <w:rPr>
                <w:sz w:val="10"/>
                <w:szCs w:val="10"/>
                <w:color w:val="auto"/>
              </w:rPr>
            </w:pPr>
          </w:p>
        </w:tc>
        <w:tc>
          <w:tcPr>
            <w:tcW w:w="300" w:type="dxa"/>
            <w:vAlign w:val="bottom"/>
            <w:shd w:val="clear" w:color="auto" w:fill="005CB9"/>
          </w:tcPr>
          <w:p>
            <w:pPr>
              <w:spacing w:after="0"/>
              <w:rPr>
                <w:sz w:val="10"/>
                <w:szCs w:val="10"/>
                <w:color w:val="auto"/>
              </w:rPr>
            </w:pPr>
          </w:p>
        </w:tc>
        <w:tc>
          <w:tcPr>
            <w:tcW w:w="820" w:type="dxa"/>
            <w:vAlign w:val="bottom"/>
            <w:shd w:val="clear" w:color="auto" w:fill="005CB9"/>
          </w:tcPr>
          <w:p>
            <w:pPr>
              <w:spacing w:after="0"/>
              <w:rPr>
                <w:sz w:val="10"/>
                <w:szCs w:val="10"/>
                <w:color w:val="auto"/>
              </w:rPr>
            </w:pPr>
          </w:p>
        </w:tc>
        <w:tc>
          <w:tcPr>
            <w:tcW w:w="920" w:type="dxa"/>
            <w:vAlign w:val="bottom"/>
            <w:shd w:val="clear" w:color="auto" w:fill="005CB9"/>
          </w:tcPr>
          <w:p>
            <w:pPr>
              <w:spacing w:after="0"/>
              <w:rPr>
                <w:sz w:val="10"/>
                <w:szCs w:val="10"/>
                <w:color w:val="auto"/>
              </w:rPr>
            </w:pPr>
          </w:p>
        </w:tc>
        <w:tc>
          <w:tcPr>
            <w:tcW w:w="820" w:type="dxa"/>
            <w:vAlign w:val="bottom"/>
            <w:shd w:val="clear" w:color="auto" w:fill="005CB9"/>
          </w:tcPr>
          <w:p>
            <w:pPr>
              <w:spacing w:after="0"/>
              <w:rPr>
                <w:sz w:val="10"/>
                <w:szCs w:val="10"/>
                <w:color w:val="auto"/>
              </w:rPr>
            </w:pPr>
          </w:p>
        </w:tc>
        <w:tc>
          <w:tcPr>
            <w:tcW w:w="840" w:type="dxa"/>
            <w:vAlign w:val="bottom"/>
            <w:shd w:val="clear" w:color="auto" w:fill="005CB9"/>
          </w:tcPr>
          <w:p>
            <w:pPr>
              <w:spacing w:after="0"/>
              <w:rPr>
                <w:sz w:val="10"/>
                <w:szCs w:val="10"/>
                <w:color w:val="auto"/>
              </w:rPr>
            </w:pPr>
          </w:p>
        </w:tc>
        <w:tc>
          <w:tcPr>
            <w:tcW w:w="640" w:type="dxa"/>
            <w:vAlign w:val="bottom"/>
            <w:shd w:val="clear" w:color="auto" w:fill="005CB9"/>
          </w:tcPr>
          <w:p>
            <w:pPr>
              <w:jc w:val="center"/>
              <w:spacing w:after="0" w:line="121" w:lineRule="exact"/>
              <w:rPr>
                <w:sz w:val="20"/>
                <w:szCs w:val="20"/>
                <w:color w:val="auto"/>
              </w:rPr>
            </w:pPr>
            <w:r>
              <w:rPr>
                <w:rFonts w:ascii="Arial" w:cs="Arial" w:eastAsia="Arial" w:hAnsi="Arial"/>
                <w:sz w:val="12"/>
                <w:szCs w:val="12"/>
                <w:b w:val="1"/>
                <w:bCs w:val="1"/>
                <w:color w:val="FFFFFF"/>
              </w:rPr>
              <w:t>of</w:t>
            </w:r>
          </w:p>
        </w:tc>
        <w:tc>
          <w:tcPr>
            <w:tcW w:w="480" w:type="dxa"/>
            <w:vAlign w:val="bottom"/>
            <w:vMerge w:val="continue"/>
            <w:shd w:val="clear" w:color="auto" w:fill="005CB9"/>
          </w:tcPr>
          <w:p>
            <w:pPr>
              <w:spacing w:after="0"/>
              <w:rPr>
                <w:sz w:val="10"/>
                <w:szCs w:val="10"/>
                <w:color w:val="auto"/>
              </w:rPr>
            </w:pPr>
          </w:p>
        </w:tc>
        <w:tc>
          <w:tcPr>
            <w:tcW w:w="600" w:type="dxa"/>
            <w:vAlign w:val="bottom"/>
            <w:shd w:val="clear" w:color="auto" w:fill="005CB9"/>
          </w:tcPr>
          <w:p>
            <w:pPr>
              <w:jc w:val="center"/>
              <w:ind w:left="19"/>
              <w:spacing w:after="0" w:line="121" w:lineRule="exact"/>
              <w:rPr>
                <w:sz w:val="20"/>
                <w:szCs w:val="20"/>
                <w:color w:val="auto"/>
              </w:rPr>
            </w:pPr>
            <w:r>
              <w:rPr>
                <w:rFonts w:ascii="Arial" w:cs="Arial" w:eastAsia="Arial" w:hAnsi="Arial"/>
                <w:sz w:val="12"/>
                <w:szCs w:val="12"/>
                <w:b w:val="1"/>
                <w:bCs w:val="1"/>
                <w:color w:val="FFFFFF"/>
              </w:rPr>
              <w:t>Price</w:t>
            </w:r>
          </w:p>
        </w:tc>
        <w:tc>
          <w:tcPr>
            <w:tcW w:w="680" w:type="dxa"/>
            <w:vAlign w:val="bottom"/>
            <w:shd w:val="clear" w:color="auto" w:fill="005CB9"/>
          </w:tcPr>
          <w:p>
            <w:pPr>
              <w:jc w:val="center"/>
              <w:ind w:left="18"/>
              <w:spacing w:after="0" w:line="121" w:lineRule="exact"/>
              <w:rPr>
                <w:sz w:val="20"/>
                <w:szCs w:val="20"/>
                <w:color w:val="auto"/>
              </w:rPr>
            </w:pPr>
            <w:r>
              <w:rPr>
                <w:rFonts w:ascii="Arial" w:cs="Arial" w:eastAsia="Arial" w:hAnsi="Arial"/>
                <w:sz w:val="12"/>
                <w:szCs w:val="12"/>
                <w:b w:val="1"/>
                <w:bCs w:val="1"/>
                <w:color w:val="FFFFFF"/>
              </w:rPr>
              <w:t>Stock and</w:t>
            </w:r>
          </w:p>
        </w:tc>
        <w:tc>
          <w:tcPr>
            <w:tcW w:w="0" w:type="dxa"/>
            <w:vAlign w:val="bottom"/>
          </w:tcPr>
          <w:p>
            <w:pPr>
              <w:spacing w:after="0"/>
              <w:rPr>
                <w:sz w:val="1"/>
                <w:szCs w:val="1"/>
                <w:color w:val="auto"/>
              </w:rPr>
            </w:pPr>
          </w:p>
        </w:tc>
      </w:tr>
      <w:tr>
        <w:trPr>
          <w:trHeight w:val="147"/>
        </w:trPr>
        <w:tc>
          <w:tcPr>
            <w:tcW w:w="160" w:type="dxa"/>
            <w:vAlign w:val="bottom"/>
            <w:shd w:val="clear" w:color="auto" w:fill="005CB9"/>
          </w:tcPr>
          <w:p>
            <w:pPr>
              <w:spacing w:after="0"/>
              <w:rPr>
                <w:sz w:val="12"/>
                <w:szCs w:val="12"/>
                <w:color w:val="auto"/>
              </w:rPr>
            </w:pPr>
          </w:p>
        </w:tc>
        <w:tc>
          <w:tcPr>
            <w:tcW w:w="1220" w:type="dxa"/>
            <w:vAlign w:val="bottom"/>
            <w:shd w:val="clear" w:color="auto" w:fill="005CB9"/>
          </w:tcPr>
          <w:p>
            <w:pPr>
              <w:spacing w:after="0"/>
              <w:rPr>
                <w:sz w:val="12"/>
                <w:szCs w:val="12"/>
                <w:color w:val="auto"/>
              </w:rPr>
            </w:pPr>
          </w:p>
        </w:tc>
        <w:tc>
          <w:tcPr>
            <w:tcW w:w="620" w:type="dxa"/>
            <w:vAlign w:val="bottom"/>
            <w:shd w:val="clear" w:color="auto" w:fill="005CB9"/>
          </w:tcPr>
          <w:p>
            <w:pPr>
              <w:ind w:left="160"/>
              <w:spacing w:after="0"/>
              <w:rPr>
                <w:sz w:val="20"/>
                <w:szCs w:val="20"/>
                <w:color w:val="auto"/>
              </w:rPr>
            </w:pPr>
            <w:r>
              <w:rPr>
                <w:rFonts w:ascii="Arial" w:cs="Arial" w:eastAsia="Arial" w:hAnsi="Arial"/>
                <w:sz w:val="12"/>
                <w:szCs w:val="12"/>
                <w:b w:val="1"/>
                <w:bCs w:val="1"/>
                <w:color w:val="FFFFFF"/>
              </w:rPr>
              <w:t>Grant</w:t>
            </w:r>
          </w:p>
        </w:tc>
        <w:tc>
          <w:tcPr>
            <w:tcW w:w="760" w:type="dxa"/>
            <w:vAlign w:val="bottom"/>
            <w:shd w:val="clear" w:color="auto" w:fill="005CB9"/>
          </w:tcPr>
          <w:p>
            <w:pPr>
              <w:ind w:left="140"/>
              <w:spacing w:after="0"/>
              <w:rPr>
                <w:sz w:val="20"/>
                <w:szCs w:val="20"/>
                <w:color w:val="auto"/>
              </w:rPr>
            </w:pPr>
            <w:r>
              <w:rPr>
                <w:rFonts w:ascii="Arial" w:cs="Arial" w:eastAsia="Arial" w:hAnsi="Arial"/>
                <w:sz w:val="12"/>
                <w:szCs w:val="12"/>
                <w:b w:val="1"/>
                <w:bCs w:val="1"/>
                <w:color w:val="FFFFFF"/>
              </w:rPr>
              <w:t>zation</w:t>
            </w:r>
          </w:p>
        </w:tc>
        <w:tc>
          <w:tcPr>
            <w:tcW w:w="100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Threshold</w:t>
            </w:r>
          </w:p>
        </w:tc>
        <w:tc>
          <w:tcPr>
            <w:tcW w:w="1060" w:type="dxa"/>
            <w:vAlign w:val="bottom"/>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Target</w:t>
            </w:r>
          </w:p>
        </w:tc>
        <w:tc>
          <w:tcPr>
            <w:tcW w:w="1120" w:type="dxa"/>
            <w:vAlign w:val="bottom"/>
            <w:gridSpan w:val="2"/>
            <w:vMerge w:val="restart"/>
            <w:shd w:val="clear" w:color="auto" w:fill="005CB9"/>
          </w:tcPr>
          <w:p>
            <w:pPr>
              <w:jc w:val="right"/>
              <w:ind w:right="218"/>
              <w:spacing w:after="0"/>
              <w:rPr>
                <w:sz w:val="20"/>
                <w:szCs w:val="20"/>
                <w:color w:val="auto"/>
              </w:rPr>
            </w:pPr>
            <w:r>
              <w:rPr>
                <w:rFonts w:ascii="Arial" w:cs="Arial" w:eastAsia="Arial" w:hAnsi="Arial"/>
                <w:sz w:val="12"/>
                <w:szCs w:val="12"/>
                <w:b w:val="1"/>
                <w:bCs w:val="1"/>
                <w:color w:val="FFFFFF"/>
              </w:rPr>
              <w:t>Maximum</w:t>
            </w:r>
          </w:p>
        </w:tc>
        <w:tc>
          <w:tcPr>
            <w:tcW w:w="920" w:type="dxa"/>
            <w:vAlign w:val="bottom"/>
            <w:vMerge w:val="restart"/>
            <w:shd w:val="clear" w:color="auto" w:fill="005CB9"/>
          </w:tcPr>
          <w:p>
            <w:pPr>
              <w:jc w:val="right"/>
              <w:ind w:right="18"/>
              <w:spacing w:after="0"/>
              <w:rPr>
                <w:sz w:val="20"/>
                <w:szCs w:val="20"/>
                <w:color w:val="auto"/>
              </w:rPr>
            </w:pPr>
            <w:r>
              <w:rPr>
                <w:rFonts w:ascii="Arial" w:cs="Arial" w:eastAsia="Arial" w:hAnsi="Arial"/>
                <w:sz w:val="12"/>
                <w:szCs w:val="12"/>
                <w:b w:val="1"/>
                <w:bCs w:val="1"/>
                <w:color w:val="FFFFFF"/>
              </w:rPr>
              <w:t>Threshold</w:t>
            </w:r>
          </w:p>
        </w:tc>
        <w:tc>
          <w:tcPr>
            <w:tcW w:w="820" w:type="dxa"/>
            <w:vAlign w:val="bottom"/>
            <w:vMerge w:val="restart"/>
            <w:shd w:val="clear" w:color="auto" w:fill="005CB9"/>
          </w:tcPr>
          <w:p>
            <w:pPr>
              <w:ind w:left="200"/>
              <w:spacing w:after="0"/>
              <w:rPr>
                <w:sz w:val="20"/>
                <w:szCs w:val="20"/>
                <w:color w:val="auto"/>
              </w:rPr>
            </w:pPr>
            <w:r>
              <w:rPr>
                <w:rFonts w:ascii="Arial" w:cs="Arial" w:eastAsia="Arial" w:hAnsi="Arial"/>
                <w:sz w:val="12"/>
                <w:szCs w:val="12"/>
                <w:b w:val="1"/>
                <w:bCs w:val="1"/>
                <w:color w:val="FFFFFF"/>
              </w:rPr>
              <w:t>Target</w:t>
            </w:r>
          </w:p>
        </w:tc>
        <w:tc>
          <w:tcPr>
            <w:tcW w:w="840" w:type="dxa"/>
            <w:vAlign w:val="bottom"/>
            <w:vMerge w:val="restart"/>
            <w:shd w:val="clear" w:color="auto" w:fill="005CB9"/>
          </w:tcPr>
          <w:p>
            <w:pPr>
              <w:jc w:val="right"/>
              <w:ind w:right="158"/>
              <w:spacing w:after="0"/>
              <w:rPr>
                <w:sz w:val="20"/>
                <w:szCs w:val="20"/>
                <w:color w:val="auto"/>
              </w:rPr>
            </w:pPr>
            <w:r>
              <w:rPr>
                <w:rFonts w:ascii="Arial" w:cs="Arial" w:eastAsia="Arial" w:hAnsi="Arial"/>
                <w:sz w:val="12"/>
                <w:szCs w:val="12"/>
                <w:b w:val="1"/>
                <w:bCs w:val="1"/>
                <w:color w:val="FFFFFF"/>
              </w:rPr>
              <w:t>Maximum</w:t>
            </w:r>
          </w:p>
        </w:tc>
        <w:tc>
          <w:tcPr>
            <w:tcW w:w="64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w w:val="99"/>
              </w:rPr>
              <w:t>Shares)</w:t>
            </w:r>
          </w:p>
        </w:tc>
        <w:tc>
          <w:tcPr>
            <w:tcW w:w="48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w w:val="87"/>
              </w:rPr>
              <w:t>of</w:t>
            </w:r>
          </w:p>
        </w:tc>
        <w:tc>
          <w:tcPr>
            <w:tcW w:w="600" w:type="dxa"/>
            <w:vAlign w:val="bottom"/>
            <w:shd w:val="clear" w:color="auto" w:fill="005CB9"/>
          </w:tcPr>
          <w:p>
            <w:pPr>
              <w:jc w:val="center"/>
              <w:ind w:left="19"/>
              <w:spacing w:after="0"/>
              <w:rPr>
                <w:sz w:val="20"/>
                <w:szCs w:val="20"/>
                <w:color w:val="auto"/>
              </w:rPr>
            </w:pPr>
            <w:r>
              <w:rPr>
                <w:rFonts w:ascii="Arial" w:cs="Arial" w:eastAsia="Arial" w:hAnsi="Arial"/>
                <w:sz w:val="12"/>
                <w:szCs w:val="12"/>
                <w:b w:val="1"/>
                <w:bCs w:val="1"/>
                <w:color w:val="FFFFFF"/>
              </w:rPr>
              <w:t>per</w:t>
            </w:r>
          </w:p>
        </w:tc>
        <w:tc>
          <w:tcPr>
            <w:tcW w:w="680" w:type="dxa"/>
            <w:vAlign w:val="bottom"/>
            <w:shd w:val="clear" w:color="auto" w:fill="005CB9"/>
          </w:tcPr>
          <w:p>
            <w:pPr>
              <w:jc w:val="center"/>
              <w:ind w:left="18"/>
              <w:spacing w:after="0"/>
              <w:rPr>
                <w:sz w:val="20"/>
                <w:szCs w:val="20"/>
                <w:color w:val="auto"/>
              </w:rPr>
            </w:pPr>
            <w:r>
              <w:rPr>
                <w:rFonts w:ascii="Arial" w:cs="Arial" w:eastAsia="Arial" w:hAnsi="Arial"/>
                <w:sz w:val="12"/>
                <w:szCs w:val="12"/>
                <w:b w:val="1"/>
                <w:bCs w:val="1"/>
                <w:color w:val="FFFFFF"/>
              </w:rPr>
              <w:t>Option</w:t>
            </w:r>
          </w:p>
        </w:tc>
        <w:tc>
          <w:tcPr>
            <w:tcW w:w="0" w:type="dxa"/>
            <w:vAlign w:val="bottom"/>
          </w:tcPr>
          <w:p>
            <w:pPr>
              <w:spacing w:after="0"/>
              <w:rPr>
                <w:sz w:val="1"/>
                <w:szCs w:val="1"/>
                <w:color w:val="auto"/>
              </w:rPr>
            </w:pPr>
          </w:p>
        </w:tc>
      </w:tr>
      <w:tr>
        <w:trPr>
          <w:trHeight w:val="214"/>
        </w:trPr>
        <w:tc>
          <w:tcPr>
            <w:tcW w:w="160" w:type="dxa"/>
            <w:vAlign w:val="bottom"/>
            <w:shd w:val="clear" w:color="auto" w:fill="005CB9"/>
          </w:tcPr>
          <w:p>
            <w:pPr>
              <w:spacing w:after="0"/>
              <w:rPr>
                <w:sz w:val="18"/>
                <w:szCs w:val="18"/>
                <w:color w:val="auto"/>
              </w:rPr>
            </w:pPr>
          </w:p>
        </w:tc>
        <w:tc>
          <w:tcPr>
            <w:tcW w:w="1220" w:type="dxa"/>
            <w:vAlign w:val="bottom"/>
            <w:shd w:val="clear" w:color="auto" w:fill="005CB9"/>
          </w:tcPr>
          <w:p>
            <w:pPr>
              <w:spacing w:after="0"/>
              <w:rPr>
                <w:sz w:val="18"/>
                <w:szCs w:val="18"/>
                <w:color w:val="auto"/>
              </w:rPr>
            </w:pPr>
          </w:p>
        </w:tc>
        <w:tc>
          <w:tcPr>
            <w:tcW w:w="620" w:type="dxa"/>
            <w:vAlign w:val="bottom"/>
            <w:shd w:val="clear" w:color="auto" w:fill="005CB9"/>
          </w:tcPr>
          <w:p>
            <w:pPr>
              <w:ind w:left="120"/>
              <w:spacing w:after="0"/>
              <w:rPr>
                <w:sz w:val="20"/>
                <w:szCs w:val="20"/>
                <w:color w:val="auto"/>
              </w:rPr>
            </w:pPr>
            <w:r>
              <w:rPr>
                <w:rFonts w:ascii="Arial" w:cs="Arial" w:eastAsia="Arial" w:hAnsi="Arial"/>
                <w:sz w:val="12"/>
                <w:szCs w:val="12"/>
                <w:b w:val="1"/>
                <w:bCs w:val="1"/>
                <w:color w:val="FFFFFF"/>
              </w:rPr>
              <w:t>Date</w:t>
            </w:r>
            <w:r>
              <w:rPr>
                <w:rFonts w:ascii="Arial" w:cs="Arial" w:eastAsia="Arial" w:hAnsi="Arial"/>
                <w:sz w:val="18"/>
                <w:szCs w:val="18"/>
                <w:b w:val="1"/>
                <w:bCs w:val="1"/>
                <w:color w:val="FFFFFF"/>
                <w:vertAlign w:val="superscript"/>
              </w:rPr>
              <w:t>(A)</w:t>
            </w:r>
          </w:p>
        </w:tc>
        <w:tc>
          <w:tcPr>
            <w:tcW w:w="760" w:type="dxa"/>
            <w:vAlign w:val="bottom"/>
            <w:shd w:val="clear" w:color="auto" w:fill="005CB9"/>
          </w:tcPr>
          <w:p>
            <w:pPr>
              <w:ind w:left="120"/>
              <w:spacing w:after="0"/>
              <w:rPr>
                <w:sz w:val="20"/>
                <w:szCs w:val="20"/>
                <w:color w:val="auto"/>
              </w:rPr>
            </w:pPr>
            <w:r>
              <w:rPr>
                <w:rFonts w:ascii="Arial" w:cs="Arial" w:eastAsia="Arial" w:hAnsi="Arial"/>
                <w:sz w:val="12"/>
                <w:szCs w:val="12"/>
                <w:b w:val="1"/>
                <w:bCs w:val="1"/>
                <w:color w:val="FFFFFF"/>
              </w:rPr>
              <w:t>Date</w:t>
            </w:r>
            <w:r>
              <w:rPr>
                <w:rFonts w:ascii="Arial" w:cs="Arial" w:eastAsia="Arial" w:hAnsi="Arial"/>
                <w:sz w:val="18"/>
                <w:szCs w:val="18"/>
                <w:b w:val="1"/>
                <w:bCs w:val="1"/>
                <w:color w:val="FFFFFF"/>
                <w:vertAlign w:val="superscript"/>
              </w:rPr>
              <w:t>(A)</w:t>
            </w:r>
          </w:p>
        </w:tc>
        <w:tc>
          <w:tcPr>
            <w:tcW w:w="1000" w:type="dxa"/>
            <w:vAlign w:val="bottom"/>
            <w:vMerge w:val="continue"/>
            <w:shd w:val="clear" w:color="auto" w:fill="005CB9"/>
          </w:tcPr>
          <w:p>
            <w:pPr>
              <w:spacing w:after="0"/>
              <w:rPr>
                <w:sz w:val="18"/>
                <w:szCs w:val="18"/>
                <w:color w:val="auto"/>
              </w:rPr>
            </w:pPr>
          </w:p>
        </w:tc>
        <w:tc>
          <w:tcPr>
            <w:tcW w:w="1060" w:type="dxa"/>
            <w:vAlign w:val="bottom"/>
            <w:vMerge w:val="continue"/>
            <w:shd w:val="clear" w:color="auto" w:fill="005CB9"/>
          </w:tcPr>
          <w:p>
            <w:pPr>
              <w:spacing w:after="0"/>
              <w:rPr>
                <w:sz w:val="18"/>
                <w:szCs w:val="18"/>
                <w:color w:val="auto"/>
              </w:rPr>
            </w:pPr>
          </w:p>
        </w:tc>
        <w:tc>
          <w:tcPr>
            <w:tcW w:w="1120" w:type="dxa"/>
            <w:vAlign w:val="bottom"/>
            <w:gridSpan w:val="2"/>
            <w:vMerge w:val="continue"/>
            <w:shd w:val="clear" w:color="auto" w:fill="005CB9"/>
          </w:tcPr>
          <w:p>
            <w:pPr>
              <w:spacing w:after="0"/>
              <w:rPr>
                <w:sz w:val="18"/>
                <w:szCs w:val="18"/>
                <w:color w:val="auto"/>
              </w:rPr>
            </w:pPr>
          </w:p>
        </w:tc>
        <w:tc>
          <w:tcPr>
            <w:tcW w:w="920" w:type="dxa"/>
            <w:vAlign w:val="bottom"/>
            <w:vMerge w:val="continue"/>
            <w:shd w:val="clear" w:color="auto" w:fill="005CB9"/>
          </w:tcPr>
          <w:p>
            <w:pPr>
              <w:spacing w:after="0"/>
              <w:rPr>
                <w:sz w:val="18"/>
                <w:szCs w:val="18"/>
                <w:color w:val="auto"/>
              </w:rPr>
            </w:pPr>
          </w:p>
        </w:tc>
        <w:tc>
          <w:tcPr>
            <w:tcW w:w="820" w:type="dxa"/>
            <w:vAlign w:val="bottom"/>
            <w:vMerge w:val="continue"/>
            <w:shd w:val="clear" w:color="auto" w:fill="005CB9"/>
          </w:tcPr>
          <w:p>
            <w:pPr>
              <w:spacing w:after="0"/>
              <w:rPr>
                <w:sz w:val="18"/>
                <w:szCs w:val="18"/>
                <w:color w:val="auto"/>
              </w:rPr>
            </w:pPr>
          </w:p>
        </w:tc>
        <w:tc>
          <w:tcPr>
            <w:tcW w:w="840" w:type="dxa"/>
            <w:vAlign w:val="bottom"/>
            <w:vMerge w:val="continue"/>
            <w:shd w:val="clear" w:color="auto" w:fill="005CB9"/>
          </w:tcPr>
          <w:p>
            <w:pPr>
              <w:spacing w:after="0"/>
              <w:rPr>
                <w:sz w:val="18"/>
                <w:szCs w:val="18"/>
                <w:color w:val="auto"/>
              </w:rPr>
            </w:pPr>
          </w:p>
        </w:tc>
        <w:tc>
          <w:tcPr>
            <w:tcW w:w="640" w:type="dxa"/>
            <w:vAlign w:val="bottom"/>
            <w:shd w:val="clear" w:color="auto" w:fill="005CB9"/>
          </w:tcPr>
          <w:p>
            <w:pPr>
              <w:jc w:val="center"/>
              <w:spacing w:after="0"/>
              <w:rPr>
                <w:sz w:val="20"/>
                <w:szCs w:val="20"/>
                <w:color w:val="auto"/>
              </w:rPr>
            </w:pPr>
            <w:r>
              <w:rPr>
                <w:rFonts w:ascii="Arial" w:cs="Arial" w:eastAsia="Arial" w:hAnsi="Arial"/>
                <w:sz w:val="9"/>
                <w:szCs w:val="9"/>
                <w:b w:val="1"/>
                <w:bCs w:val="1"/>
                <w:color w:val="FFFFFF"/>
                <w:w w:val="97"/>
              </w:rPr>
              <w:t>(D)(E)</w:t>
            </w:r>
          </w:p>
        </w:tc>
        <w:tc>
          <w:tcPr>
            <w:tcW w:w="48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rPr>
              <w:t>Shares</w:t>
            </w:r>
          </w:p>
        </w:tc>
        <w:tc>
          <w:tcPr>
            <w:tcW w:w="600" w:type="dxa"/>
            <w:vAlign w:val="bottom"/>
            <w:shd w:val="clear" w:color="auto" w:fill="005CB9"/>
          </w:tcPr>
          <w:p>
            <w:pPr>
              <w:jc w:val="center"/>
              <w:ind w:left="19"/>
              <w:spacing w:after="0"/>
              <w:rPr>
                <w:sz w:val="20"/>
                <w:szCs w:val="20"/>
                <w:color w:val="auto"/>
              </w:rPr>
            </w:pPr>
            <w:r>
              <w:rPr>
                <w:rFonts w:ascii="Arial" w:cs="Arial" w:eastAsia="Arial" w:hAnsi="Arial"/>
                <w:sz w:val="12"/>
                <w:szCs w:val="12"/>
                <w:b w:val="1"/>
                <w:bCs w:val="1"/>
                <w:color w:val="FFFFFF"/>
              </w:rPr>
              <w:t>Share</w:t>
            </w:r>
          </w:p>
        </w:tc>
        <w:tc>
          <w:tcPr>
            <w:tcW w:w="680" w:type="dxa"/>
            <w:vAlign w:val="bottom"/>
            <w:shd w:val="clear" w:color="auto" w:fill="005CB9"/>
          </w:tcPr>
          <w:p>
            <w:pPr>
              <w:jc w:val="center"/>
              <w:spacing w:after="0"/>
              <w:rPr>
                <w:sz w:val="20"/>
                <w:szCs w:val="20"/>
                <w:color w:val="auto"/>
              </w:rPr>
            </w:pPr>
            <w:r>
              <w:rPr>
                <w:rFonts w:ascii="Arial" w:cs="Arial" w:eastAsia="Arial" w:hAnsi="Arial"/>
                <w:sz w:val="12"/>
                <w:szCs w:val="12"/>
                <w:b w:val="1"/>
                <w:bCs w:val="1"/>
                <w:color w:val="FFFFFF"/>
                <w:w w:val="95"/>
              </w:rPr>
              <w:t>Awards</w:t>
            </w:r>
            <w:r>
              <w:rPr>
                <w:rFonts w:ascii="Arial" w:cs="Arial" w:eastAsia="Arial" w:hAnsi="Arial"/>
                <w:sz w:val="18"/>
                <w:szCs w:val="18"/>
                <w:b w:val="1"/>
                <w:bCs w:val="1"/>
                <w:color w:val="FFFFFF"/>
                <w:w w:val="95"/>
                <w:vertAlign w:val="superscript"/>
              </w:rPr>
              <w:t>(G)</w:t>
            </w:r>
          </w:p>
        </w:tc>
        <w:tc>
          <w:tcPr>
            <w:tcW w:w="0" w:type="dxa"/>
            <w:vAlign w:val="bottom"/>
          </w:tcPr>
          <w:p>
            <w:pPr>
              <w:spacing w:after="0"/>
              <w:rPr>
                <w:sz w:val="1"/>
                <w:szCs w:val="1"/>
                <w:color w:val="auto"/>
              </w:rPr>
            </w:pPr>
          </w:p>
        </w:tc>
      </w:tr>
      <w:tr>
        <w:trPr>
          <w:trHeight w:val="201"/>
        </w:trPr>
        <w:tc>
          <w:tcPr>
            <w:tcW w:w="1380" w:type="dxa"/>
            <w:vAlign w:val="bottom"/>
            <w:tcBorders>
              <w:bottom w:val="single" w:sz="8" w:color="7F7F7F"/>
            </w:tcBorders>
            <w:gridSpan w:val="2"/>
          </w:tcPr>
          <w:p>
            <w:pPr>
              <w:ind w:left="80"/>
              <w:spacing w:after="0"/>
              <w:rPr>
                <w:sz w:val="20"/>
                <w:szCs w:val="20"/>
                <w:color w:val="auto"/>
              </w:rPr>
            </w:pPr>
            <w:r>
              <w:rPr>
                <w:rFonts w:ascii="Arial" w:cs="Arial" w:eastAsia="Arial" w:hAnsi="Arial"/>
                <w:sz w:val="12"/>
                <w:szCs w:val="12"/>
                <w:b w:val="1"/>
                <w:bCs w:val="1"/>
                <w:color w:val="auto"/>
              </w:rPr>
              <w:t>Caroline A. Winn</w:t>
            </w:r>
          </w:p>
        </w:tc>
        <w:tc>
          <w:tcPr>
            <w:tcW w:w="620" w:type="dxa"/>
            <w:vAlign w:val="bottom"/>
            <w:tcBorders>
              <w:bottom w:val="single" w:sz="8" w:color="7F7F7F"/>
            </w:tcBorders>
          </w:tcPr>
          <w:p>
            <w:pPr>
              <w:spacing w:after="0"/>
              <w:rPr>
                <w:sz w:val="17"/>
                <w:szCs w:val="17"/>
                <w:color w:val="auto"/>
              </w:rPr>
            </w:pPr>
          </w:p>
        </w:tc>
        <w:tc>
          <w:tcPr>
            <w:tcW w:w="760" w:type="dxa"/>
            <w:vAlign w:val="bottom"/>
            <w:tcBorders>
              <w:bottom w:val="single" w:sz="8" w:color="7F7F7F"/>
            </w:tcBorders>
          </w:tcPr>
          <w:p>
            <w:pPr>
              <w:spacing w:after="0"/>
              <w:rPr>
                <w:sz w:val="17"/>
                <w:szCs w:val="17"/>
                <w:color w:val="auto"/>
              </w:rPr>
            </w:pPr>
          </w:p>
        </w:tc>
        <w:tc>
          <w:tcPr>
            <w:tcW w:w="1000" w:type="dxa"/>
            <w:vAlign w:val="bottom"/>
            <w:tcBorders>
              <w:bottom w:val="single" w:sz="8" w:color="7F7F7F"/>
            </w:tcBorders>
          </w:tcPr>
          <w:p>
            <w:pPr>
              <w:spacing w:after="0"/>
              <w:rPr>
                <w:sz w:val="17"/>
                <w:szCs w:val="17"/>
                <w:color w:val="auto"/>
              </w:rPr>
            </w:pPr>
          </w:p>
        </w:tc>
        <w:tc>
          <w:tcPr>
            <w:tcW w:w="1060" w:type="dxa"/>
            <w:vAlign w:val="bottom"/>
            <w:tcBorders>
              <w:bottom w:val="single" w:sz="8" w:color="7F7F7F"/>
            </w:tcBorders>
          </w:tcPr>
          <w:p>
            <w:pPr>
              <w:spacing w:after="0"/>
              <w:rPr>
                <w:sz w:val="17"/>
                <w:szCs w:val="17"/>
                <w:color w:val="auto"/>
              </w:rPr>
            </w:pPr>
          </w:p>
        </w:tc>
        <w:tc>
          <w:tcPr>
            <w:tcW w:w="300" w:type="dxa"/>
            <w:vAlign w:val="bottom"/>
            <w:tcBorders>
              <w:bottom w:val="single" w:sz="8" w:color="7F7F7F"/>
            </w:tcBorders>
          </w:tcPr>
          <w:p>
            <w:pPr>
              <w:spacing w:after="0"/>
              <w:rPr>
                <w:sz w:val="17"/>
                <w:szCs w:val="17"/>
                <w:color w:val="auto"/>
              </w:rPr>
            </w:pPr>
          </w:p>
        </w:tc>
        <w:tc>
          <w:tcPr>
            <w:tcW w:w="820" w:type="dxa"/>
            <w:vAlign w:val="bottom"/>
            <w:tcBorders>
              <w:bottom w:val="single" w:sz="8" w:color="7F7F7F"/>
            </w:tcBorders>
          </w:tcPr>
          <w:p>
            <w:pPr>
              <w:spacing w:after="0"/>
              <w:rPr>
                <w:sz w:val="17"/>
                <w:szCs w:val="17"/>
                <w:color w:val="auto"/>
              </w:rPr>
            </w:pPr>
          </w:p>
        </w:tc>
        <w:tc>
          <w:tcPr>
            <w:tcW w:w="920" w:type="dxa"/>
            <w:vAlign w:val="bottom"/>
            <w:tcBorders>
              <w:bottom w:val="single" w:sz="8" w:color="7F7F7F"/>
            </w:tcBorders>
          </w:tcPr>
          <w:p>
            <w:pPr>
              <w:spacing w:after="0"/>
              <w:rPr>
                <w:sz w:val="17"/>
                <w:szCs w:val="17"/>
                <w:color w:val="auto"/>
              </w:rPr>
            </w:pPr>
          </w:p>
        </w:tc>
        <w:tc>
          <w:tcPr>
            <w:tcW w:w="820" w:type="dxa"/>
            <w:vAlign w:val="bottom"/>
            <w:tcBorders>
              <w:bottom w:val="single" w:sz="8" w:color="7F7F7F"/>
            </w:tcBorders>
          </w:tcPr>
          <w:p>
            <w:pPr>
              <w:spacing w:after="0"/>
              <w:rPr>
                <w:sz w:val="17"/>
                <w:szCs w:val="17"/>
                <w:color w:val="auto"/>
              </w:rPr>
            </w:pPr>
          </w:p>
        </w:tc>
        <w:tc>
          <w:tcPr>
            <w:tcW w:w="840" w:type="dxa"/>
            <w:vAlign w:val="bottom"/>
            <w:tcBorders>
              <w:bottom w:val="single" w:sz="8" w:color="7F7F7F"/>
            </w:tcBorders>
          </w:tcPr>
          <w:p>
            <w:pPr>
              <w:spacing w:after="0"/>
              <w:rPr>
                <w:sz w:val="17"/>
                <w:szCs w:val="17"/>
                <w:color w:val="auto"/>
              </w:rPr>
            </w:pPr>
          </w:p>
        </w:tc>
        <w:tc>
          <w:tcPr>
            <w:tcW w:w="640" w:type="dxa"/>
            <w:vAlign w:val="bottom"/>
            <w:tcBorders>
              <w:bottom w:val="single" w:sz="8" w:color="7F7F7F"/>
            </w:tcBorders>
          </w:tcPr>
          <w:p>
            <w:pPr>
              <w:spacing w:after="0"/>
              <w:rPr>
                <w:sz w:val="17"/>
                <w:szCs w:val="17"/>
                <w:color w:val="auto"/>
              </w:rPr>
            </w:pPr>
          </w:p>
        </w:tc>
        <w:tc>
          <w:tcPr>
            <w:tcW w:w="48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38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PBRSU based on</w:t>
            </w:r>
          </w:p>
        </w:tc>
        <w:tc>
          <w:tcPr>
            <w:tcW w:w="620" w:type="dxa"/>
            <w:vAlign w:val="bottom"/>
            <w:shd w:val="clear" w:color="auto" w:fill="F2F2F2"/>
          </w:tcPr>
          <w:p>
            <w:pPr>
              <w:ind w:left="140"/>
              <w:spacing w:after="0"/>
              <w:rPr>
                <w:sz w:val="20"/>
                <w:szCs w:val="20"/>
                <w:color w:val="auto"/>
              </w:rPr>
            </w:pPr>
            <w:r>
              <w:rPr>
                <w:rFonts w:ascii="Arial" w:cs="Arial" w:eastAsia="Arial" w:hAnsi="Arial"/>
                <w:sz w:val="12"/>
                <w:szCs w:val="12"/>
                <w:color w:val="auto"/>
              </w:rPr>
              <w:t>1/02/25</w:t>
            </w:r>
          </w:p>
        </w:tc>
        <w:tc>
          <w:tcPr>
            <w:tcW w:w="760" w:type="dxa"/>
            <w:vAlign w:val="bottom"/>
            <w:shd w:val="clear" w:color="auto" w:fill="F2F2F2"/>
          </w:tcPr>
          <w:p>
            <w:pPr>
              <w:ind w:left="120"/>
              <w:spacing w:after="0"/>
              <w:rPr>
                <w:sz w:val="20"/>
                <w:szCs w:val="20"/>
                <w:color w:val="auto"/>
              </w:rPr>
            </w:pPr>
            <w:r>
              <w:rPr>
                <w:rFonts w:ascii="Arial" w:cs="Arial" w:eastAsia="Arial" w:hAnsi="Arial"/>
                <w:sz w:val="12"/>
                <w:szCs w:val="12"/>
                <w:color w:val="auto"/>
              </w:rPr>
              <w:t>11/07/24</w:t>
            </w: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jc w:val="right"/>
              <w:ind w:right="138"/>
              <w:spacing w:after="0"/>
              <w:rPr>
                <w:sz w:val="20"/>
                <w:szCs w:val="20"/>
                <w:color w:val="auto"/>
              </w:rPr>
            </w:pPr>
            <w:r>
              <w:rPr>
                <w:rFonts w:ascii="Arial" w:cs="Arial" w:eastAsia="Arial" w:hAnsi="Arial"/>
                <w:sz w:val="12"/>
                <w:szCs w:val="12"/>
                <w:color w:val="auto"/>
              </w:rPr>
              <w:t>1,103</w:t>
            </w:r>
          </w:p>
        </w:tc>
        <w:tc>
          <w:tcPr>
            <w:tcW w:w="8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4,410</w:t>
            </w:r>
          </w:p>
        </w:tc>
        <w:tc>
          <w:tcPr>
            <w:tcW w:w="840" w:type="dxa"/>
            <w:vAlign w:val="bottom"/>
            <w:shd w:val="clear" w:color="auto" w:fill="F2F2F2"/>
          </w:tcPr>
          <w:p>
            <w:pPr>
              <w:jc w:val="right"/>
              <w:ind w:right="218"/>
              <w:spacing w:after="0"/>
              <w:rPr>
                <w:sz w:val="20"/>
                <w:szCs w:val="20"/>
                <w:color w:val="auto"/>
              </w:rPr>
            </w:pPr>
            <w:r>
              <w:rPr>
                <w:rFonts w:ascii="Arial" w:cs="Arial" w:eastAsia="Arial" w:hAnsi="Arial"/>
                <w:sz w:val="12"/>
                <w:szCs w:val="12"/>
                <w:color w:val="auto"/>
              </w:rPr>
              <w:t>8,820</w:t>
            </w: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$ 426,425</w:t>
            </w:r>
          </w:p>
        </w:tc>
        <w:tc>
          <w:tcPr>
            <w:tcW w:w="0" w:type="dxa"/>
            <w:vAlign w:val="bottom"/>
          </w:tcPr>
          <w:p>
            <w:pPr>
              <w:spacing w:after="0"/>
              <w:rPr>
                <w:sz w:val="1"/>
                <w:szCs w:val="1"/>
                <w:color w:val="auto"/>
              </w:rPr>
            </w:pPr>
          </w:p>
        </w:tc>
      </w:tr>
      <w:tr>
        <w:trPr>
          <w:trHeight w:val="134"/>
        </w:trPr>
        <w:tc>
          <w:tcPr>
            <w:tcW w:w="1380" w:type="dxa"/>
            <w:vAlign w:val="bottom"/>
            <w:gridSpan w:val="2"/>
            <w:shd w:val="clear" w:color="auto" w:fill="F2F2F2"/>
          </w:tcPr>
          <w:p>
            <w:pPr>
              <w:ind w:left="80"/>
              <w:spacing w:after="0" w:line="134" w:lineRule="exact"/>
              <w:rPr>
                <w:sz w:val="20"/>
                <w:szCs w:val="20"/>
                <w:color w:val="auto"/>
              </w:rPr>
            </w:pPr>
            <w:r>
              <w:rPr>
                <w:rFonts w:ascii="Arial" w:cs="Arial" w:eastAsia="Arial" w:hAnsi="Arial"/>
                <w:sz w:val="12"/>
                <w:szCs w:val="12"/>
                <w:color w:val="auto"/>
              </w:rPr>
              <w:t>   TSR vs. S&amp;P 500</w:t>
            </w:r>
          </w:p>
        </w:tc>
        <w:tc>
          <w:tcPr>
            <w:tcW w:w="620" w:type="dxa"/>
            <w:vAlign w:val="bottom"/>
            <w:shd w:val="clear" w:color="auto" w:fill="F2F2F2"/>
          </w:tcPr>
          <w:p>
            <w:pPr>
              <w:spacing w:after="0"/>
              <w:rPr>
                <w:sz w:val="11"/>
                <w:szCs w:val="11"/>
                <w:color w:val="auto"/>
              </w:rPr>
            </w:pPr>
          </w:p>
        </w:tc>
        <w:tc>
          <w:tcPr>
            <w:tcW w:w="760" w:type="dxa"/>
            <w:vAlign w:val="bottom"/>
            <w:shd w:val="clear" w:color="auto" w:fill="F2F2F2"/>
          </w:tcPr>
          <w:p>
            <w:pPr>
              <w:spacing w:after="0"/>
              <w:rPr>
                <w:sz w:val="11"/>
                <w:szCs w:val="11"/>
                <w:color w:val="auto"/>
              </w:rPr>
            </w:pPr>
          </w:p>
        </w:tc>
        <w:tc>
          <w:tcPr>
            <w:tcW w:w="1000" w:type="dxa"/>
            <w:vAlign w:val="bottom"/>
            <w:shd w:val="clear" w:color="auto" w:fill="F2F2F2"/>
          </w:tcPr>
          <w:p>
            <w:pPr>
              <w:spacing w:after="0"/>
              <w:rPr>
                <w:sz w:val="11"/>
                <w:szCs w:val="11"/>
                <w:color w:val="auto"/>
              </w:rPr>
            </w:pPr>
          </w:p>
        </w:tc>
        <w:tc>
          <w:tcPr>
            <w:tcW w:w="106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48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c>
          <w:tcPr>
            <w:tcW w:w="68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0" w:type="dxa"/>
            <w:vAlign w:val="bottom"/>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shd w:val="clear" w:color="auto" w:fill="F2F2F2"/>
          </w:tcPr>
          <w:p>
            <w:pPr>
              <w:ind w:left="40"/>
              <w:spacing w:after="0"/>
              <w:rPr>
                <w:sz w:val="20"/>
                <w:szCs w:val="20"/>
                <w:color w:val="auto"/>
              </w:rPr>
            </w:pPr>
            <w:r>
              <w:rPr>
                <w:rFonts w:ascii="Arial" w:cs="Arial" w:eastAsia="Arial" w:hAnsi="Arial"/>
                <w:sz w:val="12"/>
                <w:szCs w:val="12"/>
                <w:color w:val="auto"/>
              </w:rPr>
              <w:t>Utilities Index</w:t>
            </w:r>
          </w:p>
        </w:tc>
        <w:tc>
          <w:tcPr>
            <w:tcW w:w="6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7F7F7F"/>
            </w:tcBorders>
            <w:gridSpan w:val="2"/>
            <w:shd w:val="clear" w:color="auto" w:fill="F2F2F2"/>
          </w:tcPr>
          <w:p>
            <w:pPr>
              <w:spacing w:after="0"/>
              <w:rPr>
                <w:sz w:val="5"/>
                <w:szCs w:val="5"/>
                <w:color w:val="auto"/>
              </w:rPr>
            </w:pPr>
          </w:p>
        </w:tc>
        <w:tc>
          <w:tcPr>
            <w:tcW w:w="620" w:type="dxa"/>
            <w:vAlign w:val="bottom"/>
            <w:tcBorders>
              <w:bottom w:val="single" w:sz="8" w:color="7F7F7F"/>
            </w:tcBorders>
            <w:shd w:val="clear" w:color="auto" w:fill="F2F2F2"/>
          </w:tcPr>
          <w:p>
            <w:pPr>
              <w:spacing w:after="0"/>
              <w:rPr>
                <w:sz w:val="5"/>
                <w:szCs w:val="5"/>
                <w:color w:val="auto"/>
              </w:rPr>
            </w:pPr>
          </w:p>
        </w:tc>
        <w:tc>
          <w:tcPr>
            <w:tcW w:w="760" w:type="dxa"/>
            <w:vAlign w:val="bottom"/>
            <w:tcBorders>
              <w:bottom w:val="single" w:sz="8" w:color="7F7F7F"/>
            </w:tcBorders>
            <w:shd w:val="clear" w:color="auto" w:fill="F2F2F2"/>
          </w:tcPr>
          <w:p>
            <w:pPr>
              <w:spacing w:after="0"/>
              <w:rPr>
                <w:sz w:val="5"/>
                <w:szCs w:val="5"/>
                <w:color w:val="auto"/>
              </w:rPr>
            </w:pPr>
          </w:p>
        </w:tc>
        <w:tc>
          <w:tcPr>
            <w:tcW w:w="1000" w:type="dxa"/>
            <w:vAlign w:val="bottom"/>
            <w:tcBorders>
              <w:bottom w:val="single" w:sz="8" w:color="7F7F7F"/>
            </w:tcBorders>
            <w:shd w:val="clear" w:color="auto" w:fill="F2F2F2"/>
          </w:tcPr>
          <w:p>
            <w:pPr>
              <w:spacing w:after="0"/>
              <w:rPr>
                <w:sz w:val="5"/>
                <w:szCs w:val="5"/>
                <w:color w:val="auto"/>
              </w:rPr>
            </w:pPr>
          </w:p>
        </w:tc>
        <w:tc>
          <w:tcPr>
            <w:tcW w:w="1060" w:type="dxa"/>
            <w:vAlign w:val="bottom"/>
            <w:tcBorders>
              <w:bottom w:val="single" w:sz="8" w:color="7F7F7F"/>
            </w:tcBorders>
            <w:shd w:val="clear" w:color="auto" w:fill="F2F2F2"/>
          </w:tcPr>
          <w:p>
            <w:pPr>
              <w:spacing w:after="0"/>
              <w:rPr>
                <w:sz w:val="5"/>
                <w:szCs w:val="5"/>
                <w:color w:val="auto"/>
              </w:rPr>
            </w:pPr>
          </w:p>
        </w:tc>
        <w:tc>
          <w:tcPr>
            <w:tcW w:w="30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92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840" w:type="dxa"/>
            <w:vAlign w:val="bottom"/>
            <w:tcBorders>
              <w:bottom w:val="single" w:sz="8" w:color="7F7F7F"/>
            </w:tcBorders>
            <w:shd w:val="clear" w:color="auto" w:fill="F2F2F2"/>
          </w:tcPr>
          <w:p>
            <w:pPr>
              <w:spacing w:after="0"/>
              <w:rPr>
                <w:sz w:val="5"/>
                <w:szCs w:val="5"/>
                <w:color w:val="auto"/>
              </w:rPr>
            </w:pPr>
          </w:p>
        </w:tc>
        <w:tc>
          <w:tcPr>
            <w:tcW w:w="640" w:type="dxa"/>
            <w:vAlign w:val="bottom"/>
            <w:tcBorders>
              <w:bottom w:val="single" w:sz="8" w:color="7F7F7F"/>
            </w:tcBorders>
            <w:shd w:val="clear" w:color="auto" w:fill="F2F2F2"/>
          </w:tcPr>
          <w:p>
            <w:pPr>
              <w:spacing w:after="0"/>
              <w:rPr>
                <w:sz w:val="5"/>
                <w:szCs w:val="5"/>
                <w:color w:val="auto"/>
              </w:rPr>
            </w:pPr>
          </w:p>
        </w:tc>
        <w:tc>
          <w:tcPr>
            <w:tcW w:w="480" w:type="dxa"/>
            <w:vAlign w:val="bottom"/>
            <w:tcBorders>
              <w:bottom w:val="single" w:sz="8" w:color="7F7F7F"/>
            </w:tcBorders>
            <w:shd w:val="clear" w:color="auto" w:fill="F2F2F2"/>
          </w:tcPr>
          <w:p>
            <w:pPr>
              <w:spacing w:after="0"/>
              <w:rPr>
                <w:sz w:val="5"/>
                <w:szCs w:val="5"/>
                <w:color w:val="auto"/>
              </w:rPr>
            </w:pPr>
          </w:p>
        </w:tc>
        <w:tc>
          <w:tcPr>
            <w:tcW w:w="600" w:type="dxa"/>
            <w:vAlign w:val="bottom"/>
            <w:tcBorders>
              <w:bottom w:val="single" w:sz="8" w:color="7F7F7F"/>
            </w:tcBorders>
            <w:shd w:val="clear" w:color="auto" w:fill="F2F2F2"/>
          </w:tcPr>
          <w:p>
            <w:pPr>
              <w:spacing w:after="0"/>
              <w:rPr>
                <w:sz w:val="5"/>
                <w:szCs w:val="5"/>
                <w:color w:val="auto"/>
              </w:rPr>
            </w:pPr>
          </w:p>
        </w:tc>
        <w:tc>
          <w:tcPr>
            <w:tcW w:w="68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80" w:type="dxa"/>
            <w:vAlign w:val="bottom"/>
            <w:gridSpan w:val="2"/>
          </w:tcPr>
          <w:p>
            <w:pPr>
              <w:ind w:left="80"/>
              <w:spacing w:after="0"/>
              <w:rPr>
                <w:sz w:val="20"/>
                <w:szCs w:val="20"/>
                <w:color w:val="auto"/>
              </w:rPr>
            </w:pPr>
            <w:r>
              <w:rPr>
                <w:rFonts w:ascii="Arial" w:cs="Arial" w:eastAsia="Arial" w:hAnsi="Arial"/>
                <w:sz w:val="12"/>
                <w:szCs w:val="12"/>
                <w:color w:val="auto"/>
              </w:rPr>
              <w:t>PBRSU based on</w:t>
            </w:r>
          </w:p>
        </w:tc>
        <w:tc>
          <w:tcPr>
            <w:tcW w:w="620" w:type="dxa"/>
            <w:vAlign w:val="bottom"/>
          </w:tcPr>
          <w:p>
            <w:pPr>
              <w:ind w:left="140"/>
              <w:spacing w:after="0"/>
              <w:rPr>
                <w:sz w:val="20"/>
                <w:szCs w:val="20"/>
                <w:color w:val="auto"/>
              </w:rPr>
            </w:pPr>
            <w:r>
              <w:rPr>
                <w:rFonts w:ascii="Arial" w:cs="Arial" w:eastAsia="Arial" w:hAnsi="Arial"/>
                <w:sz w:val="12"/>
                <w:szCs w:val="12"/>
                <w:color w:val="auto"/>
              </w:rPr>
              <w:t>1/02/25</w:t>
            </w:r>
          </w:p>
        </w:tc>
        <w:tc>
          <w:tcPr>
            <w:tcW w:w="760" w:type="dxa"/>
            <w:vAlign w:val="bottom"/>
          </w:tcPr>
          <w:p>
            <w:pPr>
              <w:ind w:left="120"/>
              <w:spacing w:after="0"/>
              <w:rPr>
                <w:sz w:val="20"/>
                <w:szCs w:val="20"/>
                <w:color w:val="auto"/>
              </w:rPr>
            </w:pPr>
            <w:r>
              <w:rPr>
                <w:rFonts w:ascii="Arial" w:cs="Arial" w:eastAsia="Arial" w:hAnsi="Arial"/>
                <w:sz w:val="12"/>
                <w:szCs w:val="12"/>
                <w:color w:val="auto"/>
              </w:rPr>
              <w:t>11/07/24</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473</w:t>
            </w:r>
          </w:p>
        </w:tc>
        <w:tc>
          <w:tcPr>
            <w:tcW w:w="820" w:type="dxa"/>
            <w:vAlign w:val="bottom"/>
          </w:tcPr>
          <w:p>
            <w:pPr>
              <w:jc w:val="center"/>
              <w:spacing w:after="0"/>
              <w:rPr>
                <w:sz w:val="20"/>
                <w:szCs w:val="20"/>
                <w:color w:val="auto"/>
              </w:rPr>
            </w:pPr>
            <w:r>
              <w:rPr>
                <w:rFonts w:ascii="Arial" w:cs="Arial" w:eastAsia="Arial" w:hAnsi="Arial"/>
                <w:sz w:val="12"/>
                <w:szCs w:val="12"/>
                <w:color w:val="auto"/>
              </w:rPr>
              <w:t>1,890</w:t>
            </w:r>
          </w:p>
        </w:tc>
        <w:tc>
          <w:tcPr>
            <w:tcW w:w="840" w:type="dxa"/>
            <w:vAlign w:val="bottom"/>
          </w:tcPr>
          <w:p>
            <w:pPr>
              <w:jc w:val="right"/>
              <w:ind w:right="218"/>
              <w:spacing w:after="0"/>
              <w:rPr>
                <w:sz w:val="20"/>
                <w:szCs w:val="20"/>
                <w:color w:val="auto"/>
              </w:rPr>
            </w:pPr>
            <w:r>
              <w:rPr>
                <w:rFonts w:ascii="Arial" w:cs="Arial" w:eastAsia="Arial" w:hAnsi="Arial"/>
                <w:sz w:val="12"/>
                <w:szCs w:val="12"/>
                <w:color w:val="auto"/>
              </w:rPr>
              <w:t>3,780</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$ 208,038</w:t>
            </w:r>
          </w:p>
        </w:tc>
        <w:tc>
          <w:tcPr>
            <w:tcW w:w="0" w:type="dxa"/>
            <w:vAlign w:val="bottom"/>
          </w:tcPr>
          <w:p>
            <w:pPr>
              <w:spacing w:after="0"/>
              <w:rPr>
                <w:sz w:val="1"/>
                <w:szCs w:val="1"/>
                <w:color w:val="auto"/>
              </w:rPr>
            </w:pPr>
          </w:p>
        </w:tc>
      </w:tr>
      <w:tr>
        <w:trPr>
          <w:trHeight w:val="134"/>
        </w:trPr>
        <w:tc>
          <w:tcPr>
            <w:tcW w:w="1380" w:type="dxa"/>
            <w:vAlign w:val="bottom"/>
            <w:gridSpan w:val="2"/>
          </w:tcPr>
          <w:p>
            <w:pPr>
              <w:ind w:left="80"/>
              <w:spacing w:after="0" w:line="134" w:lineRule="exact"/>
              <w:rPr>
                <w:sz w:val="20"/>
                <w:szCs w:val="20"/>
                <w:color w:val="auto"/>
              </w:rPr>
            </w:pPr>
            <w:r>
              <w:rPr>
                <w:rFonts w:ascii="Arial" w:cs="Arial" w:eastAsia="Arial" w:hAnsi="Arial"/>
                <w:sz w:val="12"/>
                <w:szCs w:val="12"/>
                <w:color w:val="auto"/>
              </w:rPr>
              <w:t>   TSR vs. S&amp;P 500</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tcPr>
          <w:p>
            <w:pPr>
              <w:ind w:left="40"/>
              <w:spacing w:after="0"/>
              <w:rPr>
                <w:sz w:val="20"/>
                <w:szCs w:val="20"/>
                <w:color w:val="auto"/>
              </w:rPr>
            </w:pPr>
            <w:r>
              <w:rPr>
                <w:rFonts w:ascii="Arial" w:cs="Arial" w:eastAsia="Arial" w:hAnsi="Arial"/>
                <w:sz w:val="12"/>
                <w:szCs w:val="12"/>
                <w:color w:val="auto"/>
              </w:rPr>
              <w:t>Index</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7F7F7F"/>
            </w:tcBorders>
            <w:gridSpan w:val="2"/>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00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92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8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PBRSU based on</w:t>
            </w:r>
          </w:p>
        </w:tc>
        <w:tc>
          <w:tcPr>
            <w:tcW w:w="620" w:type="dxa"/>
            <w:vAlign w:val="bottom"/>
            <w:shd w:val="clear" w:color="auto" w:fill="F2F2F2"/>
          </w:tcPr>
          <w:p>
            <w:pPr>
              <w:ind w:left="140"/>
              <w:spacing w:after="0"/>
              <w:rPr>
                <w:sz w:val="20"/>
                <w:szCs w:val="20"/>
                <w:color w:val="auto"/>
              </w:rPr>
            </w:pPr>
            <w:r>
              <w:rPr>
                <w:rFonts w:ascii="Arial" w:cs="Arial" w:eastAsia="Arial" w:hAnsi="Arial"/>
                <w:sz w:val="12"/>
                <w:szCs w:val="12"/>
                <w:color w:val="auto"/>
              </w:rPr>
              <w:t>1/02/25</w:t>
            </w:r>
          </w:p>
        </w:tc>
        <w:tc>
          <w:tcPr>
            <w:tcW w:w="760" w:type="dxa"/>
            <w:vAlign w:val="bottom"/>
            <w:shd w:val="clear" w:color="auto" w:fill="F2F2F2"/>
          </w:tcPr>
          <w:p>
            <w:pPr>
              <w:ind w:left="120"/>
              <w:spacing w:after="0"/>
              <w:rPr>
                <w:sz w:val="20"/>
                <w:szCs w:val="20"/>
                <w:color w:val="auto"/>
              </w:rPr>
            </w:pPr>
            <w:r>
              <w:rPr>
                <w:rFonts w:ascii="Arial" w:cs="Arial" w:eastAsia="Arial" w:hAnsi="Arial"/>
                <w:sz w:val="12"/>
                <w:szCs w:val="12"/>
                <w:color w:val="auto"/>
              </w:rPr>
              <w:t>11/07/24</w:t>
            </w: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jc w:val="right"/>
              <w:ind w:right="138"/>
              <w:spacing w:after="0"/>
              <w:rPr>
                <w:sz w:val="20"/>
                <w:szCs w:val="20"/>
                <w:color w:val="auto"/>
              </w:rPr>
            </w:pPr>
            <w:r>
              <w:rPr>
                <w:rFonts w:ascii="Arial" w:cs="Arial" w:eastAsia="Arial" w:hAnsi="Arial"/>
                <w:sz w:val="12"/>
                <w:szCs w:val="12"/>
                <w:color w:val="auto"/>
              </w:rPr>
              <w:t>1,575</w:t>
            </w:r>
          </w:p>
        </w:tc>
        <w:tc>
          <w:tcPr>
            <w:tcW w:w="8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6,299</w:t>
            </w:r>
          </w:p>
        </w:tc>
        <w:tc>
          <w:tcPr>
            <w:tcW w:w="840" w:type="dxa"/>
            <w:vAlign w:val="bottom"/>
            <w:shd w:val="clear" w:color="auto" w:fill="F2F2F2"/>
          </w:tcPr>
          <w:p>
            <w:pPr>
              <w:jc w:val="right"/>
              <w:ind w:right="218"/>
              <w:spacing w:after="0"/>
              <w:rPr>
                <w:sz w:val="20"/>
                <w:szCs w:val="20"/>
                <w:color w:val="auto"/>
              </w:rPr>
            </w:pPr>
            <w:r>
              <w:rPr>
                <w:rFonts w:ascii="Arial" w:cs="Arial" w:eastAsia="Arial" w:hAnsi="Arial"/>
                <w:sz w:val="12"/>
                <w:szCs w:val="12"/>
                <w:color w:val="auto"/>
              </w:rPr>
              <w:t>12,598</w:t>
            </w: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$ 548,832</w:t>
            </w:r>
          </w:p>
        </w:tc>
        <w:tc>
          <w:tcPr>
            <w:tcW w:w="0" w:type="dxa"/>
            <w:vAlign w:val="bottom"/>
          </w:tcPr>
          <w:p>
            <w:pPr>
              <w:spacing w:after="0"/>
              <w:rPr>
                <w:sz w:val="1"/>
                <w:szCs w:val="1"/>
                <w:color w:val="auto"/>
              </w:rPr>
            </w:pPr>
          </w:p>
        </w:tc>
      </w:tr>
      <w:tr>
        <w:trPr>
          <w:trHeight w:val="165"/>
        </w:trPr>
        <w:tc>
          <w:tcPr>
            <w:tcW w:w="160" w:type="dxa"/>
            <w:vAlign w:val="bottom"/>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shd w:val="clear" w:color="auto" w:fill="F2F2F2"/>
          </w:tcPr>
          <w:p>
            <w:pPr>
              <w:ind w:left="40"/>
              <w:spacing w:after="0"/>
              <w:rPr>
                <w:sz w:val="20"/>
                <w:szCs w:val="20"/>
                <w:color w:val="auto"/>
              </w:rPr>
            </w:pPr>
            <w:r>
              <w:rPr>
                <w:rFonts w:ascii="Arial" w:cs="Arial" w:eastAsia="Arial" w:hAnsi="Arial"/>
                <w:sz w:val="12"/>
                <w:szCs w:val="12"/>
                <w:color w:val="auto"/>
              </w:rPr>
              <w:t>EPS growth</w:t>
            </w:r>
          </w:p>
        </w:tc>
        <w:tc>
          <w:tcPr>
            <w:tcW w:w="6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7F7F7F"/>
            </w:tcBorders>
            <w:gridSpan w:val="2"/>
            <w:shd w:val="clear" w:color="auto" w:fill="F2F2F2"/>
          </w:tcPr>
          <w:p>
            <w:pPr>
              <w:spacing w:after="0"/>
              <w:rPr>
                <w:sz w:val="5"/>
                <w:szCs w:val="5"/>
                <w:color w:val="auto"/>
              </w:rPr>
            </w:pPr>
          </w:p>
        </w:tc>
        <w:tc>
          <w:tcPr>
            <w:tcW w:w="620" w:type="dxa"/>
            <w:vAlign w:val="bottom"/>
            <w:tcBorders>
              <w:bottom w:val="single" w:sz="8" w:color="7F7F7F"/>
            </w:tcBorders>
            <w:shd w:val="clear" w:color="auto" w:fill="F2F2F2"/>
          </w:tcPr>
          <w:p>
            <w:pPr>
              <w:spacing w:after="0"/>
              <w:rPr>
                <w:sz w:val="5"/>
                <w:szCs w:val="5"/>
                <w:color w:val="auto"/>
              </w:rPr>
            </w:pPr>
          </w:p>
        </w:tc>
        <w:tc>
          <w:tcPr>
            <w:tcW w:w="760" w:type="dxa"/>
            <w:vAlign w:val="bottom"/>
            <w:tcBorders>
              <w:bottom w:val="single" w:sz="8" w:color="7F7F7F"/>
            </w:tcBorders>
            <w:shd w:val="clear" w:color="auto" w:fill="F2F2F2"/>
          </w:tcPr>
          <w:p>
            <w:pPr>
              <w:spacing w:after="0"/>
              <w:rPr>
                <w:sz w:val="5"/>
                <w:szCs w:val="5"/>
                <w:color w:val="auto"/>
              </w:rPr>
            </w:pPr>
          </w:p>
        </w:tc>
        <w:tc>
          <w:tcPr>
            <w:tcW w:w="1000" w:type="dxa"/>
            <w:vAlign w:val="bottom"/>
            <w:tcBorders>
              <w:bottom w:val="single" w:sz="8" w:color="7F7F7F"/>
            </w:tcBorders>
            <w:shd w:val="clear" w:color="auto" w:fill="F2F2F2"/>
          </w:tcPr>
          <w:p>
            <w:pPr>
              <w:spacing w:after="0"/>
              <w:rPr>
                <w:sz w:val="5"/>
                <w:szCs w:val="5"/>
                <w:color w:val="auto"/>
              </w:rPr>
            </w:pPr>
          </w:p>
        </w:tc>
        <w:tc>
          <w:tcPr>
            <w:tcW w:w="1060" w:type="dxa"/>
            <w:vAlign w:val="bottom"/>
            <w:tcBorders>
              <w:bottom w:val="single" w:sz="8" w:color="7F7F7F"/>
            </w:tcBorders>
            <w:shd w:val="clear" w:color="auto" w:fill="F2F2F2"/>
          </w:tcPr>
          <w:p>
            <w:pPr>
              <w:spacing w:after="0"/>
              <w:rPr>
                <w:sz w:val="5"/>
                <w:szCs w:val="5"/>
                <w:color w:val="auto"/>
              </w:rPr>
            </w:pPr>
          </w:p>
        </w:tc>
        <w:tc>
          <w:tcPr>
            <w:tcW w:w="30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92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840" w:type="dxa"/>
            <w:vAlign w:val="bottom"/>
            <w:tcBorders>
              <w:bottom w:val="single" w:sz="8" w:color="7F7F7F"/>
            </w:tcBorders>
            <w:shd w:val="clear" w:color="auto" w:fill="F2F2F2"/>
          </w:tcPr>
          <w:p>
            <w:pPr>
              <w:spacing w:after="0"/>
              <w:rPr>
                <w:sz w:val="5"/>
                <w:szCs w:val="5"/>
                <w:color w:val="auto"/>
              </w:rPr>
            </w:pPr>
          </w:p>
        </w:tc>
        <w:tc>
          <w:tcPr>
            <w:tcW w:w="640" w:type="dxa"/>
            <w:vAlign w:val="bottom"/>
            <w:tcBorders>
              <w:bottom w:val="single" w:sz="8" w:color="7F7F7F"/>
            </w:tcBorders>
            <w:shd w:val="clear" w:color="auto" w:fill="F2F2F2"/>
          </w:tcPr>
          <w:p>
            <w:pPr>
              <w:spacing w:after="0"/>
              <w:rPr>
                <w:sz w:val="5"/>
                <w:szCs w:val="5"/>
                <w:color w:val="auto"/>
              </w:rPr>
            </w:pPr>
          </w:p>
        </w:tc>
        <w:tc>
          <w:tcPr>
            <w:tcW w:w="480" w:type="dxa"/>
            <w:vAlign w:val="bottom"/>
            <w:tcBorders>
              <w:bottom w:val="single" w:sz="8" w:color="7F7F7F"/>
            </w:tcBorders>
            <w:shd w:val="clear" w:color="auto" w:fill="F2F2F2"/>
          </w:tcPr>
          <w:p>
            <w:pPr>
              <w:spacing w:after="0"/>
              <w:rPr>
                <w:sz w:val="5"/>
                <w:szCs w:val="5"/>
                <w:color w:val="auto"/>
              </w:rPr>
            </w:pPr>
          </w:p>
        </w:tc>
        <w:tc>
          <w:tcPr>
            <w:tcW w:w="600" w:type="dxa"/>
            <w:vAlign w:val="bottom"/>
            <w:tcBorders>
              <w:bottom w:val="single" w:sz="8" w:color="7F7F7F"/>
            </w:tcBorders>
            <w:shd w:val="clear" w:color="auto" w:fill="F2F2F2"/>
          </w:tcPr>
          <w:p>
            <w:pPr>
              <w:spacing w:after="0"/>
              <w:rPr>
                <w:sz w:val="5"/>
                <w:szCs w:val="5"/>
                <w:color w:val="auto"/>
              </w:rPr>
            </w:pPr>
          </w:p>
        </w:tc>
        <w:tc>
          <w:tcPr>
            <w:tcW w:w="68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80" w:type="dxa"/>
            <w:vAlign w:val="bottom"/>
            <w:gridSpan w:val="2"/>
          </w:tcPr>
          <w:p>
            <w:pPr>
              <w:ind w:left="80"/>
              <w:spacing w:after="0"/>
              <w:rPr>
                <w:sz w:val="20"/>
                <w:szCs w:val="20"/>
                <w:color w:val="auto"/>
              </w:rPr>
            </w:pPr>
            <w:r>
              <w:rPr>
                <w:rFonts w:ascii="Arial" w:cs="Arial" w:eastAsia="Arial" w:hAnsi="Arial"/>
                <w:sz w:val="12"/>
                <w:szCs w:val="12"/>
                <w:color w:val="auto"/>
              </w:rPr>
              <w:t>Service-based</w:t>
            </w:r>
          </w:p>
        </w:tc>
        <w:tc>
          <w:tcPr>
            <w:tcW w:w="620" w:type="dxa"/>
            <w:vAlign w:val="bottom"/>
          </w:tcPr>
          <w:p>
            <w:pPr>
              <w:ind w:left="140"/>
              <w:spacing w:after="0"/>
              <w:rPr>
                <w:sz w:val="20"/>
                <w:szCs w:val="20"/>
                <w:color w:val="auto"/>
              </w:rPr>
            </w:pPr>
            <w:r>
              <w:rPr>
                <w:rFonts w:ascii="Arial" w:cs="Arial" w:eastAsia="Arial" w:hAnsi="Arial"/>
                <w:sz w:val="12"/>
                <w:szCs w:val="12"/>
                <w:color w:val="auto"/>
              </w:rPr>
              <w:t>1/02/25</w:t>
            </w:r>
          </w:p>
        </w:tc>
        <w:tc>
          <w:tcPr>
            <w:tcW w:w="760" w:type="dxa"/>
            <w:vAlign w:val="bottom"/>
          </w:tcPr>
          <w:p>
            <w:pPr>
              <w:ind w:left="120"/>
              <w:spacing w:after="0"/>
              <w:rPr>
                <w:sz w:val="20"/>
                <w:szCs w:val="20"/>
                <w:color w:val="auto"/>
              </w:rPr>
            </w:pPr>
            <w:r>
              <w:rPr>
                <w:rFonts w:ascii="Arial" w:cs="Arial" w:eastAsia="Arial" w:hAnsi="Arial"/>
                <w:sz w:val="12"/>
                <w:szCs w:val="12"/>
                <w:color w:val="auto"/>
              </w:rPr>
              <w:t>11/07/24</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jc w:val="right"/>
              <w:ind w:right="39"/>
              <w:spacing w:after="0"/>
              <w:rPr>
                <w:sz w:val="20"/>
                <w:szCs w:val="20"/>
                <w:color w:val="auto"/>
              </w:rPr>
            </w:pPr>
            <w:r>
              <w:rPr>
                <w:rFonts w:ascii="Arial" w:cs="Arial" w:eastAsia="Arial" w:hAnsi="Arial"/>
                <w:sz w:val="12"/>
                <w:szCs w:val="12"/>
                <w:color w:val="auto"/>
              </w:rPr>
              <w:t>6,299</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$ 548,832</w:t>
            </w:r>
          </w:p>
        </w:tc>
        <w:tc>
          <w:tcPr>
            <w:tcW w:w="0" w:type="dxa"/>
            <w:vAlign w:val="bottom"/>
          </w:tcPr>
          <w:p>
            <w:pPr>
              <w:spacing w:after="0"/>
              <w:rPr>
                <w:sz w:val="1"/>
                <w:szCs w:val="1"/>
                <w:color w:val="auto"/>
              </w:rPr>
            </w:pPr>
          </w:p>
        </w:tc>
      </w:tr>
      <w:tr>
        <w:trPr>
          <w:trHeight w:val="134"/>
        </w:trPr>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tcPr>
          <w:p>
            <w:pPr>
              <w:ind w:left="40"/>
              <w:spacing w:after="0" w:line="134" w:lineRule="exact"/>
              <w:rPr>
                <w:sz w:val="20"/>
                <w:szCs w:val="20"/>
                <w:color w:val="auto"/>
              </w:rPr>
            </w:pPr>
            <w:r>
              <w:rPr>
                <w:rFonts w:ascii="Arial" w:cs="Arial" w:eastAsia="Arial" w:hAnsi="Arial"/>
                <w:sz w:val="12"/>
                <w:szCs w:val="12"/>
                <w:color w:val="auto"/>
              </w:rPr>
              <w:t>Restricted Stock</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tcPr>
          <w:p>
            <w:pPr>
              <w:ind w:left="40"/>
              <w:spacing w:after="0"/>
              <w:rPr>
                <w:sz w:val="20"/>
                <w:szCs w:val="20"/>
                <w:color w:val="auto"/>
              </w:rPr>
            </w:pPr>
            <w:r>
              <w:rPr>
                <w:rFonts w:ascii="Arial" w:cs="Arial" w:eastAsia="Arial" w:hAnsi="Arial"/>
                <w:sz w:val="12"/>
                <w:szCs w:val="12"/>
                <w:color w:val="auto"/>
              </w:rPr>
              <w:t>Units</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7F7F7F"/>
            </w:tcBorders>
            <w:gridSpan w:val="2"/>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00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92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8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Performance-Based</w:t>
            </w:r>
          </w:p>
        </w:tc>
        <w:tc>
          <w:tcPr>
            <w:tcW w:w="6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$ 307,800</w:t>
            </w:r>
          </w:p>
        </w:tc>
        <w:tc>
          <w:tcPr>
            <w:tcW w:w="10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$ 769,300</w:t>
            </w:r>
          </w:p>
        </w:tc>
        <w:tc>
          <w:tcPr>
            <w:tcW w:w="3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1,538,600</w:t>
            </w:r>
          </w:p>
        </w:tc>
        <w:tc>
          <w:tcPr>
            <w:tcW w:w="92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shd w:val="clear" w:color="auto" w:fill="F2F2F2"/>
          </w:tcPr>
          <w:p>
            <w:pPr>
              <w:ind w:left="40"/>
              <w:spacing w:after="0"/>
              <w:rPr>
                <w:sz w:val="20"/>
                <w:szCs w:val="20"/>
                <w:color w:val="auto"/>
              </w:rPr>
            </w:pPr>
            <w:r>
              <w:rPr>
                <w:rFonts w:ascii="Arial" w:cs="Arial" w:eastAsia="Arial" w:hAnsi="Arial"/>
                <w:sz w:val="12"/>
                <w:szCs w:val="12"/>
                <w:color w:val="auto"/>
              </w:rPr>
              <w:t>Annual Bonus</w:t>
            </w:r>
          </w:p>
        </w:tc>
        <w:tc>
          <w:tcPr>
            <w:tcW w:w="6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7F7F7F"/>
            </w:tcBorders>
            <w:gridSpan w:val="2"/>
            <w:shd w:val="clear" w:color="auto" w:fill="F2F2F2"/>
          </w:tcPr>
          <w:p>
            <w:pPr>
              <w:spacing w:after="0"/>
              <w:rPr>
                <w:sz w:val="5"/>
                <w:szCs w:val="5"/>
                <w:color w:val="auto"/>
              </w:rPr>
            </w:pPr>
          </w:p>
        </w:tc>
        <w:tc>
          <w:tcPr>
            <w:tcW w:w="620" w:type="dxa"/>
            <w:vAlign w:val="bottom"/>
            <w:tcBorders>
              <w:bottom w:val="single" w:sz="8" w:color="7F7F7F"/>
            </w:tcBorders>
            <w:shd w:val="clear" w:color="auto" w:fill="F2F2F2"/>
          </w:tcPr>
          <w:p>
            <w:pPr>
              <w:spacing w:after="0"/>
              <w:rPr>
                <w:sz w:val="5"/>
                <w:szCs w:val="5"/>
                <w:color w:val="auto"/>
              </w:rPr>
            </w:pPr>
          </w:p>
        </w:tc>
        <w:tc>
          <w:tcPr>
            <w:tcW w:w="760" w:type="dxa"/>
            <w:vAlign w:val="bottom"/>
            <w:tcBorders>
              <w:bottom w:val="single" w:sz="8" w:color="7F7F7F"/>
            </w:tcBorders>
            <w:shd w:val="clear" w:color="auto" w:fill="F2F2F2"/>
          </w:tcPr>
          <w:p>
            <w:pPr>
              <w:spacing w:after="0"/>
              <w:rPr>
                <w:sz w:val="5"/>
                <w:szCs w:val="5"/>
                <w:color w:val="auto"/>
              </w:rPr>
            </w:pPr>
          </w:p>
        </w:tc>
        <w:tc>
          <w:tcPr>
            <w:tcW w:w="1000" w:type="dxa"/>
            <w:vAlign w:val="bottom"/>
            <w:tcBorders>
              <w:bottom w:val="single" w:sz="8" w:color="7F7F7F"/>
            </w:tcBorders>
            <w:shd w:val="clear" w:color="auto" w:fill="F2F2F2"/>
          </w:tcPr>
          <w:p>
            <w:pPr>
              <w:spacing w:after="0"/>
              <w:rPr>
                <w:sz w:val="5"/>
                <w:szCs w:val="5"/>
                <w:color w:val="auto"/>
              </w:rPr>
            </w:pPr>
          </w:p>
        </w:tc>
        <w:tc>
          <w:tcPr>
            <w:tcW w:w="1060" w:type="dxa"/>
            <w:vAlign w:val="bottom"/>
            <w:tcBorders>
              <w:bottom w:val="single" w:sz="8" w:color="7F7F7F"/>
            </w:tcBorders>
            <w:shd w:val="clear" w:color="auto" w:fill="F2F2F2"/>
          </w:tcPr>
          <w:p>
            <w:pPr>
              <w:spacing w:after="0"/>
              <w:rPr>
                <w:sz w:val="5"/>
                <w:szCs w:val="5"/>
                <w:color w:val="auto"/>
              </w:rPr>
            </w:pPr>
          </w:p>
        </w:tc>
        <w:tc>
          <w:tcPr>
            <w:tcW w:w="30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92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840" w:type="dxa"/>
            <w:vAlign w:val="bottom"/>
            <w:tcBorders>
              <w:bottom w:val="single" w:sz="8" w:color="7F7F7F"/>
            </w:tcBorders>
            <w:shd w:val="clear" w:color="auto" w:fill="F2F2F2"/>
          </w:tcPr>
          <w:p>
            <w:pPr>
              <w:spacing w:after="0"/>
              <w:rPr>
                <w:sz w:val="5"/>
                <w:szCs w:val="5"/>
                <w:color w:val="auto"/>
              </w:rPr>
            </w:pPr>
          </w:p>
        </w:tc>
        <w:tc>
          <w:tcPr>
            <w:tcW w:w="640" w:type="dxa"/>
            <w:vAlign w:val="bottom"/>
            <w:tcBorders>
              <w:bottom w:val="single" w:sz="8" w:color="7F7F7F"/>
            </w:tcBorders>
            <w:shd w:val="clear" w:color="auto" w:fill="F2F2F2"/>
          </w:tcPr>
          <w:p>
            <w:pPr>
              <w:spacing w:after="0"/>
              <w:rPr>
                <w:sz w:val="5"/>
                <w:szCs w:val="5"/>
                <w:color w:val="auto"/>
              </w:rPr>
            </w:pPr>
          </w:p>
        </w:tc>
        <w:tc>
          <w:tcPr>
            <w:tcW w:w="480" w:type="dxa"/>
            <w:vAlign w:val="bottom"/>
            <w:tcBorders>
              <w:bottom w:val="single" w:sz="8" w:color="7F7F7F"/>
            </w:tcBorders>
            <w:shd w:val="clear" w:color="auto" w:fill="F2F2F2"/>
          </w:tcPr>
          <w:p>
            <w:pPr>
              <w:spacing w:after="0"/>
              <w:rPr>
                <w:sz w:val="5"/>
                <w:szCs w:val="5"/>
                <w:color w:val="auto"/>
              </w:rPr>
            </w:pPr>
          </w:p>
        </w:tc>
        <w:tc>
          <w:tcPr>
            <w:tcW w:w="600" w:type="dxa"/>
            <w:vAlign w:val="bottom"/>
            <w:tcBorders>
              <w:bottom w:val="single" w:sz="8" w:color="7F7F7F"/>
            </w:tcBorders>
            <w:shd w:val="clear" w:color="auto" w:fill="F2F2F2"/>
          </w:tcPr>
          <w:p>
            <w:pPr>
              <w:spacing w:after="0"/>
              <w:rPr>
                <w:sz w:val="5"/>
                <w:szCs w:val="5"/>
                <w:color w:val="auto"/>
              </w:rPr>
            </w:pPr>
          </w:p>
        </w:tc>
        <w:tc>
          <w:tcPr>
            <w:tcW w:w="68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380" w:type="dxa"/>
            <w:vAlign w:val="bottom"/>
            <w:tcBorders>
              <w:bottom w:val="single" w:sz="8" w:color="7F7F7F"/>
            </w:tcBorders>
            <w:gridSpan w:val="2"/>
          </w:tcPr>
          <w:p>
            <w:pPr>
              <w:ind w:left="80"/>
              <w:spacing w:after="0"/>
              <w:rPr>
                <w:sz w:val="20"/>
                <w:szCs w:val="20"/>
                <w:color w:val="auto"/>
              </w:rPr>
            </w:pPr>
            <w:r>
              <w:rPr>
                <w:rFonts w:ascii="Arial" w:cs="Arial" w:eastAsia="Arial" w:hAnsi="Arial"/>
                <w:sz w:val="12"/>
                <w:szCs w:val="12"/>
                <w:b w:val="1"/>
                <w:bCs w:val="1"/>
                <w:color w:val="auto"/>
              </w:rPr>
              <w:t>Diana L. Day</w:t>
            </w:r>
          </w:p>
        </w:tc>
        <w:tc>
          <w:tcPr>
            <w:tcW w:w="620" w:type="dxa"/>
            <w:vAlign w:val="bottom"/>
            <w:tcBorders>
              <w:bottom w:val="single" w:sz="8" w:color="7F7F7F"/>
            </w:tcBorders>
          </w:tcPr>
          <w:p>
            <w:pPr>
              <w:spacing w:after="0"/>
              <w:rPr>
                <w:sz w:val="17"/>
                <w:szCs w:val="17"/>
                <w:color w:val="auto"/>
              </w:rPr>
            </w:pPr>
          </w:p>
        </w:tc>
        <w:tc>
          <w:tcPr>
            <w:tcW w:w="760" w:type="dxa"/>
            <w:vAlign w:val="bottom"/>
            <w:tcBorders>
              <w:bottom w:val="single" w:sz="8" w:color="7F7F7F"/>
            </w:tcBorders>
          </w:tcPr>
          <w:p>
            <w:pPr>
              <w:spacing w:after="0"/>
              <w:rPr>
                <w:sz w:val="17"/>
                <w:szCs w:val="17"/>
                <w:color w:val="auto"/>
              </w:rPr>
            </w:pPr>
          </w:p>
        </w:tc>
        <w:tc>
          <w:tcPr>
            <w:tcW w:w="1000" w:type="dxa"/>
            <w:vAlign w:val="bottom"/>
            <w:tcBorders>
              <w:bottom w:val="single" w:sz="8" w:color="7F7F7F"/>
            </w:tcBorders>
          </w:tcPr>
          <w:p>
            <w:pPr>
              <w:spacing w:after="0"/>
              <w:rPr>
                <w:sz w:val="17"/>
                <w:szCs w:val="17"/>
                <w:color w:val="auto"/>
              </w:rPr>
            </w:pPr>
          </w:p>
        </w:tc>
        <w:tc>
          <w:tcPr>
            <w:tcW w:w="1060" w:type="dxa"/>
            <w:vAlign w:val="bottom"/>
            <w:tcBorders>
              <w:bottom w:val="single" w:sz="8" w:color="7F7F7F"/>
            </w:tcBorders>
          </w:tcPr>
          <w:p>
            <w:pPr>
              <w:spacing w:after="0"/>
              <w:rPr>
                <w:sz w:val="17"/>
                <w:szCs w:val="17"/>
                <w:color w:val="auto"/>
              </w:rPr>
            </w:pPr>
          </w:p>
        </w:tc>
        <w:tc>
          <w:tcPr>
            <w:tcW w:w="300" w:type="dxa"/>
            <w:vAlign w:val="bottom"/>
            <w:tcBorders>
              <w:bottom w:val="single" w:sz="8" w:color="7F7F7F"/>
            </w:tcBorders>
          </w:tcPr>
          <w:p>
            <w:pPr>
              <w:spacing w:after="0"/>
              <w:rPr>
                <w:sz w:val="17"/>
                <w:szCs w:val="17"/>
                <w:color w:val="auto"/>
              </w:rPr>
            </w:pPr>
          </w:p>
        </w:tc>
        <w:tc>
          <w:tcPr>
            <w:tcW w:w="820" w:type="dxa"/>
            <w:vAlign w:val="bottom"/>
            <w:tcBorders>
              <w:bottom w:val="single" w:sz="8" w:color="7F7F7F"/>
            </w:tcBorders>
          </w:tcPr>
          <w:p>
            <w:pPr>
              <w:spacing w:after="0"/>
              <w:rPr>
                <w:sz w:val="17"/>
                <w:szCs w:val="17"/>
                <w:color w:val="auto"/>
              </w:rPr>
            </w:pPr>
          </w:p>
        </w:tc>
        <w:tc>
          <w:tcPr>
            <w:tcW w:w="920" w:type="dxa"/>
            <w:vAlign w:val="bottom"/>
            <w:tcBorders>
              <w:bottom w:val="single" w:sz="8" w:color="7F7F7F"/>
            </w:tcBorders>
          </w:tcPr>
          <w:p>
            <w:pPr>
              <w:spacing w:after="0"/>
              <w:rPr>
                <w:sz w:val="17"/>
                <w:szCs w:val="17"/>
                <w:color w:val="auto"/>
              </w:rPr>
            </w:pPr>
          </w:p>
        </w:tc>
        <w:tc>
          <w:tcPr>
            <w:tcW w:w="820" w:type="dxa"/>
            <w:vAlign w:val="bottom"/>
            <w:tcBorders>
              <w:bottom w:val="single" w:sz="8" w:color="7F7F7F"/>
            </w:tcBorders>
          </w:tcPr>
          <w:p>
            <w:pPr>
              <w:spacing w:after="0"/>
              <w:rPr>
                <w:sz w:val="17"/>
                <w:szCs w:val="17"/>
                <w:color w:val="auto"/>
              </w:rPr>
            </w:pPr>
          </w:p>
        </w:tc>
        <w:tc>
          <w:tcPr>
            <w:tcW w:w="840" w:type="dxa"/>
            <w:vAlign w:val="bottom"/>
            <w:tcBorders>
              <w:bottom w:val="single" w:sz="8" w:color="7F7F7F"/>
            </w:tcBorders>
          </w:tcPr>
          <w:p>
            <w:pPr>
              <w:spacing w:after="0"/>
              <w:rPr>
                <w:sz w:val="17"/>
                <w:szCs w:val="17"/>
                <w:color w:val="auto"/>
              </w:rPr>
            </w:pPr>
          </w:p>
        </w:tc>
        <w:tc>
          <w:tcPr>
            <w:tcW w:w="640" w:type="dxa"/>
            <w:vAlign w:val="bottom"/>
            <w:tcBorders>
              <w:bottom w:val="single" w:sz="8" w:color="7F7F7F"/>
            </w:tcBorders>
          </w:tcPr>
          <w:p>
            <w:pPr>
              <w:spacing w:after="0"/>
              <w:rPr>
                <w:sz w:val="17"/>
                <w:szCs w:val="17"/>
                <w:color w:val="auto"/>
              </w:rPr>
            </w:pPr>
          </w:p>
        </w:tc>
        <w:tc>
          <w:tcPr>
            <w:tcW w:w="480" w:type="dxa"/>
            <w:vAlign w:val="bottom"/>
            <w:tcBorders>
              <w:bottom w:val="single" w:sz="8" w:color="7F7F7F"/>
            </w:tcBorders>
          </w:tcPr>
          <w:p>
            <w:pPr>
              <w:spacing w:after="0"/>
              <w:rPr>
                <w:sz w:val="17"/>
                <w:szCs w:val="17"/>
                <w:color w:val="auto"/>
              </w:rPr>
            </w:pPr>
          </w:p>
        </w:tc>
        <w:tc>
          <w:tcPr>
            <w:tcW w:w="600" w:type="dxa"/>
            <w:vAlign w:val="bottom"/>
            <w:tcBorders>
              <w:bottom w:val="single" w:sz="8" w:color="7F7F7F"/>
            </w:tcBorders>
          </w:tcPr>
          <w:p>
            <w:pPr>
              <w:spacing w:after="0"/>
              <w:rPr>
                <w:sz w:val="17"/>
                <w:szCs w:val="17"/>
                <w:color w:val="auto"/>
              </w:rPr>
            </w:pPr>
          </w:p>
        </w:tc>
        <w:tc>
          <w:tcPr>
            <w:tcW w:w="680" w:type="dxa"/>
            <w:vAlign w:val="bottom"/>
            <w:tcBorders>
              <w:bottom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38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PBRSU based on</w:t>
            </w:r>
          </w:p>
        </w:tc>
        <w:tc>
          <w:tcPr>
            <w:tcW w:w="620" w:type="dxa"/>
            <w:vAlign w:val="bottom"/>
            <w:shd w:val="clear" w:color="auto" w:fill="F2F2F2"/>
          </w:tcPr>
          <w:p>
            <w:pPr>
              <w:ind w:left="140"/>
              <w:spacing w:after="0"/>
              <w:rPr>
                <w:sz w:val="20"/>
                <w:szCs w:val="20"/>
                <w:color w:val="auto"/>
              </w:rPr>
            </w:pPr>
            <w:r>
              <w:rPr>
                <w:rFonts w:ascii="Arial" w:cs="Arial" w:eastAsia="Arial" w:hAnsi="Arial"/>
                <w:sz w:val="12"/>
                <w:szCs w:val="12"/>
                <w:color w:val="auto"/>
              </w:rPr>
              <w:t>1/02/25</w:t>
            </w:r>
          </w:p>
        </w:tc>
        <w:tc>
          <w:tcPr>
            <w:tcW w:w="760" w:type="dxa"/>
            <w:vAlign w:val="bottom"/>
            <w:shd w:val="clear" w:color="auto" w:fill="F2F2F2"/>
          </w:tcPr>
          <w:p>
            <w:pPr>
              <w:ind w:left="120"/>
              <w:spacing w:after="0"/>
              <w:rPr>
                <w:sz w:val="20"/>
                <w:szCs w:val="20"/>
                <w:color w:val="auto"/>
              </w:rPr>
            </w:pPr>
            <w:r>
              <w:rPr>
                <w:rFonts w:ascii="Arial" w:cs="Arial" w:eastAsia="Arial" w:hAnsi="Arial"/>
                <w:sz w:val="12"/>
                <w:szCs w:val="12"/>
                <w:color w:val="auto"/>
              </w:rPr>
              <w:t>11/07/24</w:t>
            </w: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jc w:val="right"/>
              <w:ind w:right="138"/>
              <w:spacing w:after="0"/>
              <w:rPr>
                <w:sz w:val="20"/>
                <w:szCs w:val="20"/>
                <w:color w:val="auto"/>
              </w:rPr>
            </w:pPr>
            <w:r>
              <w:rPr>
                <w:rFonts w:ascii="Arial" w:cs="Arial" w:eastAsia="Arial" w:hAnsi="Arial"/>
                <w:sz w:val="12"/>
                <w:szCs w:val="12"/>
                <w:color w:val="auto"/>
              </w:rPr>
              <w:t>837</w:t>
            </w:r>
          </w:p>
        </w:tc>
        <w:tc>
          <w:tcPr>
            <w:tcW w:w="8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3,348</w:t>
            </w:r>
          </w:p>
        </w:tc>
        <w:tc>
          <w:tcPr>
            <w:tcW w:w="840" w:type="dxa"/>
            <w:vAlign w:val="bottom"/>
            <w:shd w:val="clear" w:color="auto" w:fill="F2F2F2"/>
          </w:tcPr>
          <w:p>
            <w:pPr>
              <w:jc w:val="right"/>
              <w:ind w:right="218"/>
              <w:spacing w:after="0"/>
              <w:rPr>
                <w:sz w:val="20"/>
                <w:szCs w:val="20"/>
                <w:color w:val="auto"/>
              </w:rPr>
            </w:pPr>
            <w:r>
              <w:rPr>
                <w:rFonts w:ascii="Arial" w:cs="Arial" w:eastAsia="Arial" w:hAnsi="Arial"/>
                <w:sz w:val="12"/>
                <w:szCs w:val="12"/>
                <w:color w:val="auto"/>
              </w:rPr>
              <w:t>6,696</w:t>
            </w: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$ 323,735</w:t>
            </w:r>
          </w:p>
        </w:tc>
        <w:tc>
          <w:tcPr>
            <w:tcW w:w="0" w:type="dxa"/>
            <w:vAlign w:val="bottom"/>
          </w:tcPr>
          <w:p>
            <w:pPr>
              <w:spacing w:after="0"/>
              <w:rPr>
                <w:sz w:val="1"/>
                <w:szCs w:val="1"/>
                <w:color w:val="auto"/>
              </w:rPr>
            </w:pPr>
          </w:p>
        </w:tc>
      </w:tr>
      <w:tr>
        <w:trPr>
          <w:trHeight w:val="134"/>
        </w:trPr>
        <w:tc>
          <w:tcPr>
            <w:tcW w:w="1380" w:type="dxa"/>
            <w:vAlign w:val="bottom"/>
            <w:gridSpan w:val="2"/>
            <w:shd w:val="clear" w:color="auto" w:fill="F2F2F2"/>
          </w:tcPr>
          <w:p>
            <w:pPr>
              <w:ind w:left="80"/>
              <w:spacing w:after="0" w:line="134" w:lineRule="exact"/>
              <w:rPr>
                <w:sz w:val="20"/>
                <w:szCs w:val="20"/>
                <w:color w:val="auto"/>
              </w:rPr>
            </w:pPr>
            <w:r>
              <w:rPr>
                <w:rFonts w:ascii="Arial" w:cs="Arial" w:eastAsia="Arial" w:hAnsi="Arial"/>
                <w:sz w:val="12"/>
                <w:szCs w:val="12"/>
                <w:color w:val="auto"/>
              </w:rPr>
              <w:t>   TSR vs. S&amp;P 500</w:t>
            </w:r>
          </w:p>
        </w:tc>
        <w:tc>
          <w:tcPr>
            <w:tcW w:w="620" w:type="dxa"/>
            <w:vAlign w:val="bottom"/>
            <w:shd w:val="clear" w:color="auto" w:fill="F2F2F2"/>
          </w:tcPr>
          <w:p>
            <w:pPr>
              <w:spacing w:after="0"/>
              <w:rPr>
                <w:sz w:val="11"/>
                <w:szCs w:val="11"/>
                <w:color w:val="auto"/>
              </w:rPr>
            </w:pPr>
          </w:p>
        </w:tc>
        <w:tc>
          <w:tcPr>
            <w:tcW w:w="760" w:type="dxa"/>
            <w:vAlign w:val="bottom"/>
            <w:shd w:val="clear" w:color="auto" w:fill="F2F2F2"/>
          </w:tcPr>
          <w:p>
            <w:pPr>
              <w:spacing w:after="0"/>
              <w:rPr>
                <w:sz w:val="11"/>
                <w:szCs w:val="11"/>
                <w:color w:val="auto"/>
              </w:rPr>
            </w:pPr>
          </w:p>
        </w:tc>
        <w:tc>
          <w:tcPr>
            <w:tcW w:w="1000" w:type="dxa"/>
            <w:vAlign w:val="bottom"/>
            <w:shd w:val="clear" w:color="auto" w:fill="F2F2F2"/>
          </w:tcPr>
          <w:p>
            <w:pPr>
              <w:spacing w:after="0"/>
              <w:rPr>
                <w:sz w:val="11"/>
                <w:szCs w:val="11"/>
                <w:color w:val="auto"/>
              </w:rPr>
            </w:pPr>
          </w:p>
        </w:tc>
        <w:tc>
          <w:tcPr>
            <w:tcW w:w="106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rPr>
                <w:sz w:val="11"/>
                <w:szCs w:val="11"/>
                <w:color w:val="auto"/>
              </w:rPr>
            </w:pPr>
          </w:p>
        </w:tc>
        <w:tc>
          <w:tcPr>
            <w:tcW w:w="820" w:type="dxa"/>
            <w:vAlign w:val="bottom"/>
            <w:shd w:val="clear" w:color="auto" w:fill="F2F2F2"/>
          </w:tcPr>
          <w:p>
            <w:pPr>
              <w:spacing w:after="0"/>
              <w:rPr>
                <w:sz w:val="11"/>
                <w:szCs w:val="11"/>
                <w:color w:val="auto"/>
              </w:rPr>
            </w:pPr>
          </w:p>
        </w:tc>
        <w:tc>
          <w:tcPr>
            <w:tcW w:w="84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480" w:type="dxa"/>
            <w:vAlign w:val="bottom"/>
            <w:shd w:val="clear" w:color="auto" w:fill="F2F2F2"/>
          </w:tcPr>
          <w:p>
            <w:pPr>
              <w:spacing w:after="0"/>
              <w:rPr>
                <w:sz w:val="11"/>
                <w:szCs w:val="11"/>
                <w:color w:val="auto"/>
              </w:rPr>
            </w:pPr>
          </w:p>
        </w:tc>
        <w:tc>
          <w:tcPr>
            <w:tcW w:w="600" w:type="dxa"/>
            <w:vAlign w:val="bottom"/>
            <w:shd w:val="clear" w:color="auto" w:fill="F2F2F2"/>
          </w:tcPr>
          <w:p>
            <w:pPr>
              <w:spacing w:after="0"/>
              <w:rPr>
                <w:sz w:val="11"/>
                <w:szCs w:val="11"/>
                <w:color w:val="auto"/>
              </w:rPr>
            </w:pPr>
          </w:p>
        </w:tc>
        <w:tc>
          <w:tcPr>
            <w:tcW w:w="68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0" w:type="dxa"/>
            <w:vAlign w:val="bottom"/>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shd w:val="clear" w:color="auto" w:fill="F2F2F2"/>
          </w:tcPr>
          <w:p>
            <w:pPr>
              <w:ind w:left="40"/>
              <w:spacing w:after="0"/>
              <w:rPr>
                <w:sz w:val="20"/>
                <w:szCs w:val="20"/>
                <w:color w:val="auto"/>
              </w:rPr>
            </w:pPr>
            <w:r>
              <w:rPr>
                <w:rFonts w:ascii="Arial" w:cs="Arial" w:eastAsia="Arial" w:hAnsi="Arial"/>
                <w:sz w:val="12"/>
                <w:szCs w:val="12"/>
                <w:color w:val="auto"/>
              </w:rPr>
              <w:t>Utilities Index</w:t>
            </w:r>
          </w:p>
        </w:tc>
        <w:tc>
          <w:tcPr>
            <w:tcW w:w="6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7F7F7F"/>
            </w:tcBorders>
            <w:gridSpan w:val="2"/>
            <w:shd w:val="clear" w:color="auto" w:fill="F2F2F2"/>
          </w:tcPr>
          <w:p>
            <w:pPr>
              <w:spacing w:after="0"/>
              <w:rPr>
                <w:sz w:val="5"/>
                <w:szCs w:val="5"/>
                <w:color w:val="auto"/>
              </w:rPr>
            </w:pPr>
          </w:p>
        </w:tc>
        <w:tc>
          <w:tcPr>
            <w:tcW w:w="620" w:type="dxa"/>
            <w:vAlign w:val="bottom"/>
            <w:tcBorders>
              <w:bottom w:val="single" w:sz="8" w:color="7F7F7F"/>
            </w:tcBorders>
            <w:shd w:val="clear" w:color="auto" w:fill="F2F2F2"/>
          </w:tcPr>
          <w:p>
            <w:pPr>
              <w:spacing w:after="0"/>
              <w:rPr>
                <w:sz w:val="5"/>
                <w:szCs w:val="5"/>
                <w:color w:val="auto"/>
              </w:rPr>
            </w:pPr>
          </w:p>
        </w:tc>
        <w:tc>
          <w:tcPr>
            <w:tcW w:w="760" w:type="dxa"/>
            <w:vAlign w:val="bottom"/>
            <w:tcBorders>
              <w:bottom w:val="single" w:sz="8" w:color="7F7F7F"/>
            </w:tcBorders>
            <w:shd w:val="clear" w:color="auto" w:fill="F2F2F2"/>
          </w:tcPr>
          <w:p>
            <w:pPr>
              <w:spacing w:after="0"/>
              <w:rPr>
                <w:sz w:val="5"/>
                <w:szCs w:val="5"/>
                <w:color w:val="auto"/>
              </w:rPr>
            </w:pPr>
          </w:p>
        </w:tc>
        <w:tc>
          <w:tcPr>
            <w:tcW w:w="1000" w:type="dxa"/>
            <w:vAlign w:val="bottom"/>
            <w:tcBorders>
              <w:bottom w:val="single" w:sz="8" w:color="7F7F7F"/>
            </w:tcBorders>
            <w:shd w:val="clear" w:color="auto" w:fill="F2F2F2"/>
          </w:tcPr>
          <w:p>
            <w:pPr>
              <w:spacing w:after="0"/>
              <w:rPr>
                <w:sz w:val="5"/>
                <w:szCs w:val="5"/>
                <w:color w:val="auto"/>
              </w:rPr>
            </w:pPr>
          </w:p>
        </w:tc>
        <w:tc>
          <w:tcPr>
            <w:tcW w:w="1060" w:type="dxa"/>
            <w:vAlign w:val="bottom"/>
            <w:tcBorders>
              <w:bottom w:val="single" w:sz="8" w:color="7F7F7F"/>
            </w:tcBorders>
            <w:shd w:val="clear" w:color="auto" w:fill="F2F2F2"/>
          </w:tcPr>
          <w:p>
            <w:pPr>
              <w:spacing w:after="0"/>
              <w:rPr>
                <w:sz w:val="5"/>
                <w:szCs w:val="5"/>
                <w:color w:val="auto"/>
              </w:rPr>
            </w:pPr>
          </w:p>
        </w:tc>
        <w:tc>
          <w:tcPr>
            <w:tcW w:w="30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92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840" w:type="dxa"/>
            <w:vAlign w:val="bottom"/>
            <w:tcBorders>
              <w:bottom w:val="single" w:sz="8" w:color="7F7F7F"/>
            </w:tcBorders>
            <w:shd w:val="clear" w:color="auto" w:fill="F2F2F2"/>
          </w:tcPr>
          <w:p>
            <w:pPr>
              <w:spacing w:after="0"/>
              <w:rPr>
                <w:sz w:val="5"/>
                <w:szCs w:val="5"/>
                <w:color w:val="auto"/>
              </w:rPr>
            </w:pPr>
          </w:p>
        </w:tc>
        <w:tc>
          <w:tcPr>
            <w:tcW w:w="640" w:type="dxa"/>
            <w:vAlign w:val="bottom"/>
            <w:tcBorders>
              <w:bottom w:val="single" w:sz="8" w:color="7F7F7F"/>
            </w:tcBorders>
            <w:shd w:val="clear" w:color="auto" w:fill="F2F2F2"/>
          </w:tcPr>
          <w:p>
            <w:pPr>
              <w:spacing w:after="0"/>
              <w:rPr>
                <w:sz w:val="5"/>
                <w:szCs w:val="5"/>
                <w:color w:val="auto"/>
              </w:rPr>
            </w:pPr>
          </w:p>
        </w:tc>
        <w:tc>
          <w:tcPr>
            <w:tcW w:w="480" w:type="dxa"/>
            <w:vAlign w:val="bottom"/>
            <w:tcBorders>
              <w:bottom w:val="single" w:sz="8" w:color="7F7F7F"/>
            </w:tcBorders>
            <w:shd w:val="clear" w:color="auto" w:fill="F2F2F2"/>
          </w:tcPr>
          <w:p>
            <w:pPr>
              <w:spacing w:after="0"/>
              <w:rPr>
                <w:sz w:val="5"/>
                <w:szCs w:val="5"/>
                <w:color w:val="auto"/>
              </w:rPr>
            </w:pPr>
          </w:p>
        </w:tc>
        <w:tc>
          <w:tcPr>
            <w:tcW w:w="600" w:type="dxa"/>
            <w:vAlign w:val="bottom"/>
            <w:tcBorders>
              <w:bottom w:val="single" w:sz="8" w:color="7F7F7F"/>
            </w:tcBorders>
            <w:shd w:val="clear" w:color="auto" w:fill="F2F2F2"/>
          </w:tcPr>
          <w:p>
            <w:pPr>
              <w:spacing w:after="0"/>
              <w:rPr>
                <w:sz w:val="5"/>
                <w:szCs w:val="5"/>
                <w:color w:val="auto"/>
              </w:rPr>
            </w:pPr>
          </w:p>
        </w:tc>
        <w:tc>
          <w:tcPr>
            <w:tcW w:w="68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80" w:type="dxa"/>
            <w:vAlign w:val="bottom"/>
            <w:gridSpan w:val="2"/>
          </w:tcPr>
          <w:p>
            <w:pPr>
              <w:ind w:left="80"/>
              <w:spacing w:after="0"/>
              <w:rPr>
                <w:sz w:val="20"/>
                <w:szCs w:val="20"/>
                <w:color w:val="auto"/>
              </w:rPr>
            </w:pPr>
            <w:r>
              <w:rPr>
                <w:rFonts w:ascii="Arial" w:cs="Arial" w:eastAsia="Arial" w:hAnsi="Arial"/>
                <w:sz w:val="12"/>
                <w:szCs w:val="12"/>
                <w:color w:val="auto"/>
              </w:rPr>
              <w:t>PBRSU based on</w:t>
            </w:r>
          </w:p>
        </w:tc>
        <w:tc>
          <w:tcPr>
            <w:tcW w:w="620" w:type="dxa"/>
            <w:vAlign w:val="bottom"/>
          </w:tcPr>
          <w:p>
            <w:pPr>
              <w:ind w:left="140"/>
              <w:spacing w:after="0"/>
              <w:rPr>
                <w:sz w:val="20"/>
                <w:szCs w:val="20"/>
                <w:color w:val="auto"/>
              </w:rPr>
            </w:pPr>
            <w:r>
              <w:rPr>
                <w:rFonts w:ascii="Arial" w:cs="Arial" w:eastAsia="Arial" w:hAnsi="Arial"/>
                <w:sz w:val="12"/>
                <w:szCs w:val="12"/>
                <w:color w:val="auto"/>
              </w:rPr>
              <w:t>1/02/25</w:t>
            </w:r>
          </w:p>
        </w:tc>
        <w:tc>
          <w:tcPr>
            <w:tcW w:w="760" w:type="dxa"/>
            <w:vAlign w:val="bottom"/>
          </w:tcPr>
          <w:p>
            <w:pPr>
              <w:ind w:left="120"/>
              <w:spacing w:after="0"/>
              <w:rPr>
                <w:sz w:val="20"/>
                <w:szCs w:val="20"/>
                <w:color w:val="auto"/>
              </w:rPr>
            </w:pPr>
            <w:r>
              <w:rPr>
                <w:rFonts w:ascii="Arial" w:cs="Arial" w:eastAsia="Arial" w:hAnsi="Arial"/>
                <w:sz w:val="12"/>
                <w:szCs w:val="12"/>
                <w:color w:val="auto"/>
              </w:rPr>
              <w:t>11/07/24</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359</w:t>
            </w:r>
          </w:p>
        </w:tc>
        <w:tc>
          <w:tcPr>
            <w:tcW w:w="820" w:type="dxa"/>
            <w:vAlign w:val="bottom"/>
          </w:tcPr>
          <w:p>
            <w:pPr>
              <w:jc w:val="center"/>
              <w:spacing w:after="0"/>
              <w:rPr>
                <w:sz w:val="20"/>
                <w:szCs w:val="20"/>
                <w:color w:val="auto"/>
              </w:rPr>
            </w:pPr>
            <w:r>
              <w:rPr>
                <w:rFonts w:ascii="Arial" w:cs="Arial" w:eastAsia="Arial" w:hAnsi="Arial"/>
                <w:sz w:val="12"/>
                <w:szCs w:val="12"/>
                <w:color w:val="auto"/>
              </w:rPr>
              <w:t>1,435</w:t>
            </w:r>
          </w:p>
        </w:tc>
        <w:tc>
          <w:tcPr>
            <w:tcW w:w="840" w:type="dxa"/>
            <w:vAlign w:val="bottom"/>
          </w:tcPr>
          <w:p>
            <w:pPr>
              <w:jc w:val="right"/>
              <w:ind w:right="218"/>
              <w:spacing w:after="0"/>
              <w:rPr>
                <w:sz w:val="20"/>
                <w:szCs w:val="20"/>
                <w:color w:val="auto"/>
              </w:rPr>
            </w:pPr>
            <w:r>
              <w:rPr>
                <w:rFonts w:ascii="Arial" w:cs="Arial" w:eastAsia="Arial" w:hAnsi="Arial"/>
                <w:sz w:val="12"/>
                <w:szCs w:val="12"/>
                <w:color w:val="auto"/>
              </w:rPr>
              <w:t>2,870</w:t>
            </w: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$ 157,955</w:t>
            </w:r>
          </w:p>
        </w:tc>
        <w:tc>
          <w:tcPr>
            <w:tcW w:w="0" w:type="dxa"/>
            <w:vAlign w:val="bottom"/>
          </w:tcPr>
          <w:p>
            <w:pPr>
              <w:spacing w:after="0"/>
              <w:rPr>
                <w:sz w:val="1"/>
                <w:szCs w:val="1"/>
                <w:color w:val="auto"/>
              </w:rPr>
            </w:pPr>
          </w:p>
        </w:tc>
      </w:tr>
      <w:tr>
        <w:trPr>
          <w:trHeight w:val="134"/>
        </w:trPr>
        <w:tc>
          <w:tcPr>
            <w:tcW w:w="1380" w:type="dxa"/>
            <w:vAlign w:val="bottom"/>
            <w:gridSpan w:val="2"/>
          </w:tcPr>
          <w:p>
            <w:pPr>
              <w:ind w:left="80"/>
              <w:spacing w:after="0" w:line="134" w:lineRule="exact"/>
              <w:rPr>
                <w:sz w:val="20"/>
                <w:szCs w:val="20"/>
                <w:color w:val="auto"/>
              </w:rPr>
            </w:pPr>
            <w:r>
              <w:rPr>
                <w:rFonts w:ascii="Arial" w:cs="Arial" w:eastAsia="Arial" w:hAnsi="Arial"/>
                <w:sz w:val="12"/>
                <w:szCs w:val="12"/>
                <w:color w:val="auto"/>
              </w:rPr>
              <w:t>   TSR vs. S&amp;P 500</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tcPr>
          <w:p>
            <w:pPr>
              <w:ind w:left="40"/>
              <w:spacing w:after="0"/>
              <w:rPr>
                <w:sz w:val="20"/>
                <w:szCs w:val="20"/>
                <w:color w:val="auto"/>
              </w:rPr>
            </w:pPr>
            <w:r>
              <w:rPr>
                <w:rFonts w:ascii="Arial" w:cs="Arial" w:eastAsia="Arial" w:hAnsi="Arial"/>
                <w:sz w:val="12"/>
                <w:szCs w:val="12"/>
                <w:color w:val="auto"/>
              </w:rPr>
              <w:t>Index</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7F7F7F"/>
            </w:tcBorders>
            <w:gridSpan w:val="2"/>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00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92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8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PBRSU based on</w:t>
            </w:r>
          </w:p>
        </w:tc>
        <w:tc>
          <w:tcPr>
            <w:tcW w:w="620" w:type="dxa"/>
            <w:vAlign w:val="bottom"/>
            <w:shd w:val="clear" w:color="auto" w:fill="F2F2F2"/>
          </w:tcPr>
          <w:p>
            <w:pPr>
              <w:ind w:left="140"/>
              <w:spacing w:after="0"/>
              <w:rPr>
                <w:sz w:val="20"/>
                <w:szCs w:val="20"/>
                <w:color w:val="auto"/>
              </w:rPr>
            </w:pPr>
            <w:r>
              <w:rPr>
                <w:rFonts w:ascii="Arial" w:cs="Arial" w:eastAsia="Arial" w:hAnsi="Arial"/>
                <w:sz w:val="12"/>
                <w:szCs w:val="12"/>
                <w:color w:val="auto"/>
              </w:rPr>
              <w:t>1/02/25</w:t>
            </w:r>
          </w:p>
        </w:tc>
        <w:tc>
          <w:tcPr>
            <w:tcW w:w="760" w:type="dxa"/>
            <w:vAlign w:val="bottom"/>
            <w:shd w:val="clear" w:color="auto" w:fill="F2F2F2"/>
          </w:tcPr>
          <w:p>
            <w:pPr>
              <w:ind w:left="120"/>
              <w:spacing w:after="0"/>
              <w:rPr>
                <w:sz w:val="20"/>
                <w:szCs w:val="20"/>
                <w:color w:val="auto"/>
              </w:rPr>
            </w:pPr>
            <w:r>
              <w:rPr>
                <w:rFonts w:ascii="Arial" w:cs="Arial" w:eastAsia="Arial" w:hAnsi="Arial"/>
                <w:sz w:val="12"/>
                <w:szCs w:val="12"/>
                <w:color w:val="auto"/>
              </w:rPr>
              <w:t>11/07/24</w:t>
            </w: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jc w:val="right"/>
              <w:ind w:right="138"/>
              <w:spacing w:after="0"/>
              <w:rPr>
                <w:sz w:val="20"/>
                <w:szCs w:val="20"/>
                <w:color w:val="auto"/>
              </w:rPr>
            </w:pPr>
            <w:r>
              <w:rPr>
                <w:rFonts w:ascii="Arial" w:cs="Arial" w:eastAsia="Arial" w:hAnsi="Arial"/>
                <w:sz w:val="12"/>
                <w:szCs w:val="12"/>
                <w:color w:val="auto"/>
              </w:rPr>
              <w:t>1,196</w:t>
            </w:r>
          </w:p>
        </w:tc>
        <w:tc>
          <w:tcPr>
            <w:tcW w:w="8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4,783</w:t>
            </w:r>
          </w:p>
        </w:tc>
        <w:tc>
          <w:tcPr>
            <w:tcW w:w="840" w:type="dxa"/>
            <w:vAlign w:val="bottom"/>
            <w:shd w:val="clear" w:color="auto" w:fill="F2F2F2"/>
          </w:tcPr>
          <w:p>
            <w:pPr>
              <w:jc w:val="right"/>
              <w:ind w:right="218"/>
              <w:spacing w:after="0"/>
              <w:rPr>
                <w:sz w:val="20"/>
                <w:szCs w:val="20"/>
                <w:color w:val="auto"/>
              </w:rPr>
            </w:pPr>
            <w:r>
              <w:rPr>
                <w:rFonts w:ascii="Arial" w:cs="Arial" w:eastAsia="Arial" w:hAnsi="Arial"/>
                <w:sz w:val="12"/>
                <w:szCs w:val="12"/>
                <w:color w:val="auto"/>
              </w:rPr>
              <w:t>9,566</w:t>
            </w: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$ 416,743</w:t>
            </w:r>
          </w:p>
        </w:tc>
        <w:tc>
          <w:tcPr>
            <w:tcW w:w="0" w:type="dxa"/>
            <w:vAlign w:val="bottom"/>
          </w:tcPr>
          <w:p>
            <w:pPr>
              <w:spacing w:after="0"/>
              <w:rPr>
                <w:sz w:val="1"/>
                <w:szCs w:val="1"/>
                <w:color w:val="auto"/>
              </w:rPr>
            </w:pPr>
          </w:p>
        </w:tc>
      </w:tr>
      <w:tr>
        <w:trPr>
          <w:trHeight w:val="165"/>
        </w:trPr>
        <w:tc>
          <w:tcPr>
            <w:tcW w:w="160" w:type="dxa"/>
            <w:vAlign w:val="bottom"/>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shd w:val="clear" w:color="auto" w:fill="F2F2F2"/>
          </w:tcPr>
          <w:p>
            <w:pPr>
              <w:ind w:left="40"/>
              <w:spacing w:after="0"/>
              <w:rPr>
                <w:sz w:val="20"/>
                <w:szCs w:val="20"/>
                <w:color w:val="auto"/>
              </w:rPr>
            </w:pPr>
            <w:r>
              <w:rPr>
                <w:rFonts w:ascii="Arial" w:cs="Arial" w:eastAsia="Arial" w:hAnsi="Arial"/>
                <w:sz w:val="12"/>
                <w:szCs w:val="12"/>
                <w:color w:val="auto"/>
              </w:rPr>
              <w:t>EPS growth</w:t>
            </w:r>
          </w:p>
        </w:tc>
        <w:tc>
          <w:tcPr>
            <w:tcW w:w="6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7F7F7F"/>
            </w:tcBorders>
            <w:gridSpan w:val="2"/>
            <w:shd w:val="clear" w:color="auto" w:fill="F2F2F2"/>
          </w:tcPr>
          <w:p>
            <w:pPr>
              <w:spacing w:after="0"/>
              <w:rPr>
                <w:sz w:val="5"/>
                <w:szCs w:val="5"/>
                <w:color w:val="auto"/>
              </w:rPr>
            </w:pPr>
          </w:p>
        </w:tc>
        <w:tc>
          <w:tcPr>
            <w:tcW w:w="620" w:type="dxa"/>
            <w:vAlign w:val="bottom"/>
            <w:tcBorders>
              <w:bottom w:val="single" w:sz="8" w:color="7F7F7F"/>
            </w:tcBorders>
            <w:shd w:val="clear" w:color="auto" w:fill="F2F2F2"/>
          </w:tcPr>
          <w:p>
            <w:pPr>
              <w:spacing w:after="0"/>
              <w:rPr>
                <w:sz w:val="5"/>
                <w:szCs w:val="5"/>
                <w:color w:val="auto"/>
              </w:rPr>
            </w:pPr>
          </w:p>
        </w:tc>
        <w:tc>
          <w:tcPr>
            <w:tcW w:w="760" w:type="dxa"/>
            <w:vAlign w:val="bottom"/>
            <w:tcBorders>
              <w:bottom w:val="single" w:sz="8" w:color="7F7F7F"/>
            </w:tcBorders>
            <w:shd w:val="clear" w:color="auto" w:fill="F2F2F2"/>
          </w:tcPr>
          <w:p>
            <w:pPr>
              <w:spacing w:after="0"/>
              <w:rPr>
                <w:sz w:val="5"/>
                <w:szCs w:val="5"/>
                <w:color w:val="auto"/>
              </w:rPr>
            </w:pPr>
          </w:p>
        </w:tc>
        <w:tc>
          <w:tcPr>
            <w:tcW w:w="1000" w:type="dxa"/>
            <w:vAlign w:val="bottom"/>
            <w:tcBorders>
              <w:bottom w:val="single" w:sz="8" w:color="7F7F7F"/>
            </w:tcBorders>
            <w:shd w:val="clear" w:color="auto" w:fill="F2F2F2"/>
          </w:tcPr>
          <w:p>
            <w:pPr>
              <w:spacing w:after="0"/>
              <w:rPr>
                <w:sz w:val="5"/>
                <w:szCs w:val="5"/>
                <w:color w:val="auto"/>
              </w:rPr>
            </w:pPr>
          </w:p>
        </w:tc>
        <w:tc>
          <w:tcPr>
            <w:tcW w:w="1060" w:type="dxa"/>
            <w:vAlign w:val="bottom"/>
            <w:tcBorders>
              <w:bottom w:val="single" w:sz="8" w:color="7F7F7F"/>
            </w:tcBorders>
            <w:shd w:val="clear" w:color="auto" w:fill="F2F2F2"/>
          </w:tcPr>
          <w:p>
            <w:pPr>
              <w:spacing w:after="0"/>
              <w:rPr>
                <w:sz w:val="5"/>
                <w:szCs w:val="5"/>
                <w:color w:val="auto"/>
              </w:rPr>
            </w:pPr>
          </w:p>
        </w:tc>
        <w:tc>
          <w:tcPr>
            <w:tcW w:w="30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92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840" w:type="dxa"/>
            <w:vAlign w:val="bottom"/>
            <w:tcBorders>
              <w:bottom w:val="single" w:sz="8" w:color="7F7F7F"/>
            </w:tcBorders>
            <w:shd w:val="clear" w:color="auto" w:fill="F2F2F2"/>
          </w:tcPr>
          <w:p>
            <w:pPr>
              <w:spacing w:after="0"/>
              <w:rPr>
                <w:sz w:val="5"/>
                <w:szCs w:val="5"/>
                <w:color w:val="auto"/>
              </w:rPr>
            </w:pPr>
          </w:p>
        </w:tc>
        <w:tc>
          <w:tcPr>
            <w:tcW w:w="640" w:type="dxa"/>
            <w:vAlign w:val="bottom"/>
            <w:tcBorders>
              <w:bottom w:val="single" w:sz="8" w:color="7F7F7F"/>
            </w:tcBorders>
            <w:shd w:val="clear" w:color="auto" w:fill="F2F2F2"/>
          </w:tcPr>
          <w:p>
            <w:pPr>
              <w:spacing w:after="0"/>
              <w:rPr>
                <w:sz w:val="5"/>
                <w:szCs w:val="5"/>
                <w:color w:val="auto"/>
              </w:rPr>
            </w:pPr>
          </w:p>
        </w:tc>
        <w:tc>
          <w:tcPr>
            <w:tcW w:w="480" w:type="dxa"/>
            <w:vAlign w:val="bottom"/>
            <w:tcBorders>
              <w:bottom w:val="single" w:sz="8" w:color="7F7F7F"/>
            </w:tcBorders>
            <w:shd w:val="clear" w:color="auto" w:fill="F2F2F2"/>
          </w:tcPr>
          <w:p>
            <w:pPr>
              <w:spacing w:after="0"/>
              <w:rPr>
                <w:sz w:val="5"/>
                <w:szCs w:val="5"/>
                <w:color w:val="auto"/>
              </w:rPr>
            </w:pPr>
          </w:p>
        </w:tc>
        <w:tc>
          <w:tcPr>
            <w:tcW w:w="600" w:type="dxa"/>
            <w:vAlign w:val="bottom"/>
            <w:tcBorders>
              <w:bottom w:val="single" w:sz="8" w:color="7F7F7F"/>
            </w:tcBorders>
            <w:shd w:val="clear" w:color="auto" w:fill="F2F2F2"/>
          </w:tcPr>
          <w:p>
            <w:pPr>
              <w:spacing w:after="0"/>
              <w:rPr>
                <w:sz w:val="5"/>
                <w:szCs w:val="5"/>
                <w:color w:val="auto"/>
              </w:rPr>
            </w:pPr>
          </w:p>
        </w:tc>
        <w:tc>
          <w:tcPr>
            <w:tcW w:w="68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80" w:type="dxa"/>
            <w:vAlign w:val="bottom"/>
            <w:gridSpan w:val="2"/>
          </w:tcPr>
          <w:p>
            <w:pPr>
              <w:ind w:left="80"/>
              <w:spacing w:after="0"/>
              <w:rPr>
                <w:sz w:val="20"/>
                <w:szCs w:val="20"/>
                <w:color w:val="auto"/>
              </w:rPr>
            </w:pPr>
            <w:r>
              <w:rPr>
                <w:rFonts w:ascii="Arial" w:cs="Arial" w:eastAsia="Arial" w:hAnsi="Arial"/>
                <w:sz w:val="12"/>
                <w:szCs w:val="12"/>
                <w:color w:val="auto"/>
              </w:rPr>
              <w:t>Service-based</w:t>
            </w:r>
          </w:p>
        </w:tc>
        <w:tc>
          <w:tcPr>
            <w:tcW w:w="620" w:type="dxa"/>
            <w:vAlign w:val="bottom"/>
          </w:tcPr>
          <w:p>
            <w:pPr>
              <w:ind w:left="140"/>
              <w:spacing w:after="0"/>
              <w:rPr>
                <w:sz w:val="20"/>
                <w:szCs w:val="20"/>
                <w:color w:val="auto"/>
              </w:rPr>
            </w:pPr>
            <w:r>
              <w:rPr>
                <w:rFonts w:ascii="Arial" w:cs="Arial" w:eastAsia="Arial" w:hAnsi="Arial"/>
                <w:sz w:val="12"/>
                <w:szCs w:val="12"/>
                <w:color w:val="auto"/>
              </w:rPr>
              <w:t>1/02/25</w:t>
            </w:r>
          </w:p>
        </w:tc>
        <w:tc>
          <w:tcPr>
            <w:tcW w:w="760" w:type="dxa"/>
            <w:vAlign w:val="bottom"/>
          </w:tcPr>
          <w:p>
            <w:pPr>
              <w:ind w:left="120"/>
              <w:spacing w:after="0"/>
              <w:rPr>
                <w:sz w:val="20"/>
                <w:szCs w:val="20"/>
                <w:color w:val="auto"/>
              </w:rPr>
            </w:pPr>
            <w:r>
              <w:rPr>
                <w:rFonts w:ascii="Arial" w:cs="Arial" w:eastAsia="Arial" w:hAnsi="Arial"/>
                <w:sz w:val="12"/>
                <w:szCs w:val="12"/>
                <w:color w:val="auto"/>
              </w:rPr>
              <w:t>11/07/24</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jc w:val="right"/>
              <w:ind w:right="39"/>
              <w:spacing w:after="0"/>
              <w:rPr>
                <w:sz w:val="20"/>
                <w:szCs w:val="20"/>
                <w:color w:val="auto"/>
              </w:rPr>
            </w:pPr>
            <w:r>
              <w:rPr>
                <w:rFonts w:ascii="Arial" w:cs="Arial" w:eastAsia="Arial" w:hAnsi="Arial"/>
                <w:sz w:val="12"/>
                <w:szCs w:val="12"/>
                <w:color w:val="auto"/>
              </w:rPr>
              <w:t>4,783</w:t>
            </w: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$ 416,743</w:t>
            </w:r>
          </w:p>
        </w:tc>
        <w:tc>
          <w:tcPr>
            <w:tcW w:w="0" w:type="dxa"/>
            <w:vAlign w:val="bottom"/>
          </w:tcPr>
          <w:p>
            <w:pPr>
              <w:spacing w:after="0"/>
              <w:rPr>
                <w:sz w:val="1"/>
                <w:szCs w:val="1"/>
                <w:color w:val="auto"/>
              </w:rPr>
            </w:pPr>
          </w:p>
        </w:tc>
      </w:tr>
      <w:tr>
        <w:trPr>
          <w:trHeight w:val="134"/>
        </w:trPr>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tcPr>
          <w:p>
            <w:pPr>
              <w:ind w:left="40"/>
              <w:spacing w:after="0" w:line="134" w:lineRule="exact"/>
              <w:rPr>
                <w:sz w:val="20"/>
                <w:szCs w:val="20"/>
                <w:color w:val="auto"/>
              </w:rPr>
            </w:pPr>
            <w:r>
              <w:rPr>
                <w:rFonts w:ascii="Arial" w:cs="Arial" w:eastAsia="Arial" w:hAnsi="Arial"/>
                <w:sz w:val="12"/>
                <w:szCs w:val="12"/>
                <w:color w:val="auto"/>
              </w:rPr>
              <w:t>Restricted Stock</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0" w:type="dxa"/>
            <w:vAlign w:val="bottom"/>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tcPr>
          <w:p>
            <w:pPr>
              <w:ind w:left="40"/>
              <w:spacing w:after="0"/>
              <w:rPr>
                <w:sz w:val="20"/>
                <w:szCs w:val="20"/>
                <w:color w:val="auto"/>
              </w:rPr>
            </w:pPr>
            <w:r>
              <w:rPr>
                <w:rFonts w:ascii="Arial" w:cs="Arial" w:eastAsia="Arial" w:hAnsi="Arial"/>
                <w:sz w:val="12"/>
                <w:szCs w:val="12"/>
                <w:color w:val="auto"/>
              </w:rPr>
              <w:t>Units</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380" w:type="dxa"/>
            <w:vAlign w:val="bottom"/>
            <w:tcBorders>
              <w:bottom w:val="single" w:sz="8" w:color="7F7F7F"/>
            </w:tcBorders>
            <w:gridSpan w:val="2"/>
          </w:tcPr>
          <w:p>
            <w:pPr>
              <w:spacing w:after="0"/>
              <w:rPr>
                <w:sz w:val="5"/>
                <w:szCs w:val="5"/>
                <w:color w:val="auto"/>
              </w:rPr>
            </w:pPr>
          </w:p>
        </w:tc>
        <w:tc>
          <w:tcPr>
            <w:tcW w:w="620" w:type="dxa"/>
            <w:vAlign w:val="bottom"/>
            <w:tcBorders>
              <w:bottom w:val="single" w:sz="8" w:color="7F7F7F"/>
            </w:tcBorders>
          </w:tcPr>
          <w:p>
            <w:pPr>
              <w:spacing w:after="0"/>
              <w:rPr>
                <w:sz w:val="5"/>
                <w:szCs w:val="5"/>
                <w:color w:val="auto"/>
              </w:rPr>
            </w:pPr>
          </w:p>
        </w:tc>
        <w:tc>
          <w:tcPr>
            <w:tcW w:w="760" w:type="dxa"/>
            <w:vAlign w:val="bottom"/>
            <w:tcBorders>
              <w:bottom w:val="single" w:sz="8" w:color="7F7F7F"/>
            </w:tcBorders>
          </w:tcPr>
          <w:p>
            <w:pPr>
              <w:spacing w:after="0"/>
              <w:rPr>
                <w:sz w:val="5"/>
                <w:szCs w:val="5"/>
                <w:color w:val="auto"/>
              </w:rPr>
            </w:pPr>
          </w:p>
        </w:tc>
        <w:tc>
          <w:tcPr>
            <w:tcW w:w="1000" w:type="dxa"/>
            <w:vAlign w:val="bottom"/>
            <w:tcBorders>
              <w:bottom w:val="single" w:sz="8" w:color="7F7F7F"/>
            </w:tcBorders>
          </w:tcPr>
          <w:p>
            <w:pPr>
              <w:spacing w:after="0"/>
              <w:rPr>
                <w:sz w:val="5"/>
                <w:szCs w:val="5"/>
                <w:color w:val="auto"/>
              </w:rPr>
            </w:pPr>
          </w:p>
        </w:tc>
        <w:tc>
          <w:tcPr>
            <w:tcW w:w="1060" w:type="dxa"/>
            <w:vAlign w:val="bottom"/>
            <w:tcBorders>
              <w:bottom w:val="single" w:sz="8" w:color="7F7F7F"/>
            </w:tcBorders>
          </w:tcPr>
          <w:p>
            <w:pPr>
              <w:spacing w:after="0"/>
              <w:rPr>
                <w:sz w:val="5"/>
                <w:szCs w:val="5"/>
                <w:color w:val="auto"/>
              </w:rPr>
            </w:pPr>
          </w:p>
        </w:tc>
        <w:tc>
          <w:tcPr>
            <w:tcW w:w="30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920" w:type="dxa"/>
            <w:vAlign w:val="bottom"/>
            <w:tcBorders>
              <w:bottom w:val="single" w:sz="8" w:color="7F7F7F"/>
            </w:tcBorders>
          </w:tcPr>
          <w:p>
            <w:pPr>
              <w:spacing w:after="0"/>
              <w:rPr>
                <w:sz w:val="5"/>
                <w:szCs w:val="5"/>
                <w:color w:val="auto"/>
              </w:rPr>
            </w:pPr>
          </w:p>
        </w:tc>
        <w:tc>
          <w:tcPr>
            <w:tcW w:w="820" w:type="dxa"/>
            <w:vAlign w:val="bottom"/>
            <w:tcBorders>
              <w:bottom w:val="single" w:sz="8" w:color="7F7F7F"/>
            </w:tcBorders>
          </w:tcPr>
          <w:p>
            <w:pPr>
              <w:spacing w:after="0"/>
              <w:rPr>
                <w:sz w:val="5"/>
                <w:szCs w:val="5"/>
                <w:color w:val="auto"/>
              </w:rPr>
            </w:pPr>
          </w:p>
        </w:tc>
        <w:tc>
          <w:tcPr>
            <w:tcW w:w="840" w:type="dxa"/>
            <w:vAlign w:val="bottom"/>
            <w:tcBorders>
              <w:bottom w:val="single" w:sz="8" w:color="7F7F7F"/>
            </w:tcBorders>
          </w:tcPr>
          <w:p>
            <w:pPr>
              <w:spacing w:after="0"/>
              <w:rPr>
                <w:sz w:val="5"/>
                <w:szCs w:val="5"/>
                <w:color w:val="auto"/>
              </w:rPr>
            </w:pPr>
          </w:p>
        </w:tc>
        <w:tc>
          <w:tcPr>
            <w:tcW w:w="640" w:type="dxa"/>
            <w:vAlign w:val="bottom"/>
            <w:tcBorders>
              <w:bottom w:val="single" w:sz="8" w:color="7F7F7F"/>
            </w:tcBorders>
          </w:tcPr>
          <w:p>
            <w:pPr>
              <w:spacing w:after="0"/>
              <w:rPr>
                <w:sz w:val="5"/>
                <w:szCs w:val="5"/>
                <w:color w:val="auto"/>
              </w:rPr>
            </w:pPr>
          </w:p>
        </w:tc>
        <w:tc>
          <w:tcPr>
            <w:tcW w:w="480" w:type="dxa"/>
            <w:vAlign w:val="bottom"/>
            <w:tcBorders>
              <w:bottom w:val="single" w:sz="8" w:color="7F7F7F"/>
            </w:tcBorders>
          </w:tcPr>
          <w:p>
            <w:pPr>
              <w:spacing w:after="0"/>
              <w:rPr>
                <w:sz w:val="5"/>
                <w:szCs w:val="5"/>
                <w:color w:val="auto"/>
              </w:rPr>
            </w:pPr>
          </w:p>
        </w:tc>
        <w:tc>
          <w:tcPr>
            <w:tcW w:w="600" w:type="dxa"/>
            <w:vAlign w:val="bottom"/>
            <w:tcBorders>
              <w:bottom w:val="single" w:sz="8" w:color="7F7F7F"/>
            </w:tcBorders>
          </w:tcPr>
          <w:p>
            <w:pPr>
              <w:spacing w:after="0"/>
              <w:rPr>
                <w:sz w:val="5"/>
                <w:szCs w:val="5"/>
                <w:color w:val="auto"/>
              </w:rPr>
            </w:pPr>
          </w:p>
        </w:tc>
        <w:tc>
          <w:tcPr>
            <w:tcW w:w="680" w:type="dxa"/>
            <w:vAlign w:val="bottom"/>
            <w:tcBorders>
              <w:bottom w:val="single" w:sz="8" w:color="7F7F7F"/>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380" w:type="dxa"/>
            <w:vAlign w:val="bottom"/>
            <w:gridSpan w:val="2"/>
            <w:shd w:val="clear" w:color="auto" w:fill="F2F2F2"/>
          </w:tcPr>
          <w:p>
            <w:pPr>
              <w:ind w:left="80"/>
              <w:spacing w:after="0"/>
              <w:rPr>
                <w:sz w:val="20"/>
                <w:szCs w:val="20"/>
                <w:color w:val="auto"/>
              </w:rPr>
            </w:pPr>
            <w:r>
              <w:rPr>
                <w:rFonts w:ascii="Arial" w:cs="Arial" w:eastAsia="Arial" w:hAnsi="Arial"/>
                <w:sz w:val="12"/>
                <w:szCs w:val="12"/>
                <w:color w:val="auto"/>
              </w:rPr>
              <w:t>Performance-Based</w:t>
            </w:r>
          </w:p>
        </w:tc>
        <w:tc>
          <w:tcPr>
            <w:tcW w:w="6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$ 180,000</w:t>
            </w:r>
          </w:p>
        </w:tc>
        <w:tc>
          <w:tcPr>
            <w:tcW w:w="106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$ 450,000</w:t>
            </w:r>
          </w:p>
        </w:tc>
        <w:tc>
          <w:tcPr>
            <w:tcW w:w="300" w:type="dxa"/>
            <w:vAlign w:val="bottom"/>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F2F2F2"/>
          </w:tcPr>
          <w:p>
            <w:pPr>
              <w:jc w:val="right"/>
              <w:ind w:right="178"/>
              <w:spacing w:after="0"/>
              <w:rPr>
                <w:sz w:val="20"/>
                <w:szCs w:val="20"/>
                <w:color w:val="auto"/>
              </w:rPr>
            </w:pPr>
            <w:r>
              <w:rPr>
                <w:rFonts w:ascii="Arial" w:cs="Arial" w:eastAsia="Arial" w:hAnsi="Arial"/>
                <w:sz w:val="12"/>
                <w:szCs w:val="12"/>
                <w:color w:val="auto"/>
              </w:rPr>
              <w:t>900,000</w:t>
            </w:r>
          </w:p>
        </w:tc>
        <w:tc>
          <w:tcPr>
            <w:tcW w:w="92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shd w:val="clear" w:color="auto" w:fill="F2F2F2"/>
          </w:tcPr>
          <w:p>
            <w:pPr>
              <w:ind w:left="80"/>
              <w:spacing w:after="0"/>
              <w:rPr>
                <w:sz w:val="20"/>
                <w:szCs w:val="20"/>
                <w:color w:val="auto"/>
              </w:rPr>
            </w:pPr>
            <w:r>
              <w:rPr>
                <w:rFonts w:ascii="Arial" w:cs="Arial" w:eastAsia="Arial" w:hAnsi="Arial"/>
                <w:sz w:val="8"/>
                <w:szCs w:val="8"/>
                <w:color w:val="auto"/>
                <w:w w:val="74"/>
              </w:rPr>
              <w:t> </w:t>
            </w:r>
          </w:p>
        </w:tc>
        <w:tc>
          <w:tcPr>
            <w:tcW w:w="1220" w:type="dxa"/>
            <w:vAlign w:val="bottom"/>
            <w:shd w:val="clear" w:color="auto" w:fill="F2F2F2"/>
          </w:tcPr>
          <w:p>
            <w:pPr>
              <w:ind w:left="40"/>
              <w:spacing w:after="0"/>
              <w:rPr>
                <w:sz w:val="20"/>
                <w:szCs w:val="20"/>
                <w:color w:val="auto"/>
              </w:rPr>
            </w:pPr>
            <w:r>
              <w:rPr>
                <w:rFonts w:ascii="Arial" w:cs="Arial" w:eastAsia="Arial" w:hAnsi="Arial"/>
                <w:sz w:val="12"/>
                <w:szCs w:val="12"/>
                <w:color w:val="auto"/>
              </w:rPr>
              <w:t>Annual Bonus</w:t>
            </w:r>
          </w:p>
        </w:tc>
        <w:tc>
          <w:tcPr>
            <w:tcW w:w="620" w:type="dxa"/>
            <w:vAlign w:val="bottom"/>
            <w:shd w:val="clear" w:color="auto" w:fill="F2F2F2"/>
          </w:tcPr>
          <w:p>
            <w:pPr>
              <w:spacing w:after="0"/>
              <w:rPr>
                <w:sz w:val="14"/>
                <w:szCs w:val="14"/>
                <w:color w:val="auto"/>
              </w:rPr>
            </w:pPr>
          </w:p>
        </w:tc>
        <w:tc>
          <w:tcPr>
            <w:tcW w:w="760" w:type="dxa"/>
            <w:vAlign w:val="bottom"/>
            <w:shd w:val="clear" w:color="auto" w:fill="F2F2F2"/>
          </w:tcPr>
          <w:p>
            <w:pPr>
              <w:spacing w:after="0"/>
              <w:rPr>
                <w:sz w:val="14"/>
                <w:szCs w:val="14"/>
                <w:color w:val="auto"/>
              </w:rPr>
            </w:pPr>
          </w:p>
        </w:tc>
        <w:tc>
          <w:tcPr>
            <w:tcW w:w="1000" w:type="dxa"/>
            <w:vAlign w:val="bottom"/>
            <w:shd w:val="clear" w:color="auto" w:fill="F2F2F2"/>
          </w:tcPr>
          <w:p>
            <w:pPr>
              <w:spacing w:after="0"/>
              <w:rPr>
                <w:sz w:val="14"/>
                <w:szCs w:val="14"/>
                <w:color w:val="auto"/>
              </w:rPr>
            </w:pPr>
          </w:p>
        </w:tc>
        <w:tc>
          <w:tcPr>
            <w:tcW w:w="1060" w:type="dxa"/>
            <w:vAlign w:val="bottom"/>
            <w:shd w:val="clear" w:color="auto" w:fill="F2F2F2"/>
          </w:tcPr>
          <w:p>
            <w:pPr>
              <w:spacing w:after="0"/>
              <w:rPr>
                <w:sz w:val="14"/>
                <w:szCs w:val="14"/>
                <w:color w:val="auto"/>
              </w:rPr>
            </w:pPr>
          </w:p>
        </w:tc>
        <w:tc>
          <w:tcPr>
            <w:tcW w:w="30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920" w:type="dxa"/>
            <w:vAlign w:val="bottom"/>
            <w:shd w:val="clear" w:color="auto" w:fill="F2F2F2"/>
          </w:tcPr>
          <w:p>
            <w:pPr>
              <w:spacing w:after="0"/>
              <w:rPr>
                <w:sz w:val="14"/>
                <w:szCs w:val="14"/>
                <w:color w:val="auto"/>
              </w:rPr>
            </w:pPr>
          </w:p>
        </w:tc>
        <w:tc>
          <w:tcPr>
            <w:tcW w:w="820" w:type="dxa"/>
            <w:vAlign w:val="bottom"/>
            <w:shd w:val="clear" w:color="auto" w:fill="F2F2F2"/>
          </w:tcPr>
          <w:p>
            <w:pPr>
              <w:spacing w:after="0"/>
              <w:rPr>
                <w:sz w:val="14"/>
                <w:szCs w:val="14"/>
                <w:color w:val="auto"/>
              </w:rPr>
            </w:pPr>
          </w:p>
        </w:tc>
        <w:tc>
          <w:tcPr>
            <w:tcW w:w="840" w:type="dxa"/>
            <w:vAlign w:val="bottom"/>
            <w:shd w:val="clear" w:color="auto" w:fill="F2F2F2"/>
          </w:tcPr>
          <w:p>
            <w:pPr>
              <w:spacing w:after="0"/>
              <w:rPr>
                <w:sz w:val="14"/>
                <w:szCs w:val="14"/>
                <w:color w:val="auto"/>
              </w:rPr>
            </w:pPr>
          </w:p>
        </w:tc>
        <w:tc>
          <w:tcPr>
            <w:tcW w:w="640" w:type="dxa"/>
            <w:vAlign w:val="bottom"/>
            <w:shd w:val="clear" w:color="auto" w:fill="F2F2F2"/>
          </w:tcPr>
          <w:p>
            <w:pPr>
              <w:spacing w:after="0"/>
              <w:rPr>
                <w:sz w:val="14"/>
                <w:szCs w:val="14"/>
                <w:color w:val="auto"/>
              </w:rPr>
            </w:pPr>
          </w:p>
        </w:tc>
        <w:tc>
          <w:tcPr>
            <w:tcW w:w="480" w:type="dxa"/>
            <w:vAlign w:val="bottom"/>
            <w:shd w:val="clear" w:color="auto" w:fill="F2F2F2"/>
          </w:tcPr>
          <w:p>
            <w:pPr>
              <w:spacing w:after="0"/>
              <w:rPr>
                <w:sz w:val="14"/>
                <w:szCs w:val="14"/>
                <w:color w:val="auto"/>
              </w:rPr>
            </w:pPr>
          </w:p>
        </w:tc>
        <w:tc>
          <w:tcPr>
            <w:tcW w:w="600" w:type="dxa"/>
            <w:vAlign w:val="bottom"/>
            <w:shd w:val="clear" w:color="auto" w:fill="F2F2F2"/>
          </w:tcPr>
          <w:p>
            <w:pPr>
              <w:spacing w:after="0"/>
              <w:rPr>
                <w:sz w:val="14"/>
                <w:szCs w:val="14"/>
                <w:color w:val="auto"/>
              </w:rPr>
            </w:pPr>
          </w:p>
        </w:tc>
        <w:tc>
          <w:tcPr>
            <w:tcW w:w="680" w:type="dxa"/>
            <w:vAlign w:val="bottom"/>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60" w:type="dxa"/>
            <w:vAlign w:val="bottom"/>
            <w:tcBorders>
              <w:bottom w:val="single" w:sz="8" w:color="7F7F7F"/>
            </w:tcBorders>
            <w:shd w:val="clear" w:color="auto" w:fill="F2F2F2"/>
          </w:tcPr>
          <w:p>
            <w:pPr>
              <w:spacing w:after="0"/>
              <w:rPr>
                <w:sz w:val="5"/>
                <w:szCs w:val="5"/>
                <w:color w:val="auto"/>
              </w:rPr>
            </w:pPr>
          </w:p>
        </w:tc>
        <w:tc>
          <w:tcPr>
            <w:tcW w:w="1220" w:type="dxa"/>
            <w:vAlign w:val="bottom"/>
            <w:tcBorders>
              <w:bottom w:val="single" w:sz="8" w:color="7F7F7F"/>
            </w:tcBorders>
            <w:shd w:val="clear" w:color="auto" w:fill="F2F2F2"/>
          </w:tcPr>
          <w:p>
            <w:pPr>
              <w:spacing w:after="0"/>
              <w:rPr>
                <w:sz w:val="5"/>
                <w:szCs w:val="5"/>
                <w:color w:val="auto"/>
              </w:rPr>
            </w:pPr>
          </w:p>
        </w:tc>
        <w:tc>
          <w:tcPr>
            <w:tcW w:w="620" w:type="dxa"/>
            <w:vAlign w:val="bottom"/>
            <w:tcBorders>
              <w:bottom w:val="single" w:sz="8" w:color="7F7F7F"/>
            </w:tcBorders>
            <w:shd w:val="clear" w:color="auto" w:fill="F2F2F2"/>
          </w:tcPr>
          <w:p>
            <w:pPr>
              <w:spacing w:after="0"/>
              <w:rPr>
                <w:sz w:val="5"/>
                <w:szCs w:val="5"/>
                <w:color w:val="auto"/>
              </w:rPr>
            </w:pPr>
          </w:p>
        </w:tc>
        <w:tc>
          <w:tcPr>
            <w:tcW w:w="760" w:type="dxa"/>
            <w:vAlign w:val="bottom"/>
            <w:tcBorders>
              <w:bottom w:val="single" w:sz="8" w:color="7F7F7F"/>
            </w:tcBorders>
            <w:shd w:val="clear" w:color="auto" w:fill="F2F2F2"/>
          </w:tcPr>
          <w:p>
            <w:pPr>
              <w:spacing w:after="0"/>
              <w:rPr>
                <w:sz w:val="5"/>
                <w:szCs w:val="5"/>
                <w:color w:val="auto"/>
              </w:rPr>
            </w:pPr>
          </w:p>
        </w:tc>
        <w:tc>
          <w:tcPr>
            <w:tcW w:w="1000" w:type="dxa"/>
            <w:vAlign w:val="bottom"/>
            <w:tcBorders>
              <w:bottom w:val="single" w:sz="8" w:color="7F7F7F"/>
            </w:tcBorders>
            <w:shd w:val="clear" w:color="auto" w:fill="F2F2F2"/>
          </w:tcPr>
          <w:p>
            <w:pPr>
              <w:spacing w:after="0"/>
              <w:rPr>
                <w:sz w:val="5"/>
                <w:szCs w:val="5"/>
                <w:color w:val="auto"/>
              </w:rPr>
            </w:pPr>
          </w:p>
        </w:tc>
        <w:tc>
          <w:tcPr>
            <w:tcW w:w="1060" w:type="dxa"/>
            <w:vAlign w:val="bottom"/>
            <w:tcBorders>
              <w:bottom w:val="single" w:sz="8" w:color="7F7F7F"/>
            </w:tcBorders>
            <w:shd w:val="clear" w:color="auto" w:fill="F2F2F2"/>
          </w:tcPr>
          <w:p>
            <w:pPr>
              <w:spacing w:after="0"/>
              <w:rPr>
                <w:sz w:val="5"/>
                <w:szCs w:val="5"/>
                <w:color w:val="auto"/>
              </w:rPr>
            </w:pPr>
          </w:p>
        </w:tc>
        <w:tc>
          <w:tcPr>
            <w:tcW w:w="30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920" w:type="dxa"/>
            <w:vAlign w:val="bottom"/>
            <w:tcBorders>
              <w:bottom w:val="single" w:sz="8" w:color="7F7F7F"/>
            </w:tcBorders>
            <w:shd w:val="clear" w:color="auto" w:fill="F2F2F2"/>
          </w:tcPr>
          <w:p>
            <w:pPr>
              <w:spacing w:after="0"/>
              <w:rPr>
                <w:sz w:val="5"/>
                <w:szCs w:val="5"/>
                <w:color w:val="auto"/>
              </w:rPr>
            </w:pPr>
          </w:p>
        </w:tc>
        <w:tc>
          <w:tcPr>
            <w:tcW w:w="820" w:type="dxa"/>
            <w:vAlign w:val="bottom"/>
            <w:tcBorders>
              <w:bottom w:val="single" w:sz="8" w:color="7F7F7F"/>
            </w:tcBorders>
            <w:shd w:val="clear" w:color="auto" w:fill="F2F2F2"/>
          </w:tcPr>
          <w:p>
            <w:pPr>
              <w:spacing w:after="0"/>
              <w:rPr>
                <w:sz w:val="5"/>
                <w:szCs w:val="5"/>
                <w:color w:val="auto"/>
              </w:rPr>
            </w:pPr>
          </w:p>
        </w:tc>
        <w:tc>
          <w:tcPr>
            <w:tcW w:w="840" w:type="dxa"/>
            <w:vAlign w:val="bottom"/>
            <w:tcBorders>
              <w:bottom w:val="single" w:sz="8" w:color="7F7F7F"/>
            </w:tcBorders>
            <w:shd w:val="clear" w:color="auto" w:fill="F2F2F2"/>
          </w:tcPr>
          <w:p>
            <w:pPr>
              <w:spacing w:after="0"/>
              <w:rPr>
                <w:sz w:val="5"/>
                <w:szCs w:val="5"/>
                <w:color w:val="auto"/>
              </w:rPr>
            </w:pPr>
          </w:p>
        </w:tc>
        <w:tc>
          <w:tcPr>
            <w:tcW w:w="640" w:type="dxa"/>
            <w:vAlign w:val="bottom"/>
            <w:tcBorders>
              <w:bottom w:val="single" w:sz="8" w:color="7F7F7F"/>
            </w:tcBorders>
            <w:shd w:val="clear" w:color="auto" w:fill="F2F2F2"/>
          </w:tcPr>
          <w:p>
            <w:pPr>
              <w:spacing w:after="0"/>
              <w:rPr>
                <w:sz w:val="5"/>
                <w:szCs w:val="5"/>
                <w:color w:val="auto"/>
              </w:rPr>
            </w:pPr>
          </w:p>
        </w:tc>
        <w:tc>
          <w:tcPr>
            <w:tcW w:w="480" w:type="dxa"/>
            <w:vAlign w:val="bottom"/>
            <w:tcBorders>
              <w:bottom w:val="single" w:sz="8" w:color="7F7F7F"/>
            </w:tcBorders>
            <w:shd w:val="clear" w:color="auto" w:fill="F2F2F2"/>
          </w:tcPr>
          <w:p>
            <w:pPr>
              <w:spacing w:after="0"/>
              <w:rPr>
                <w:sz w:val="5"/>
                <w:szCs w:val="5"/>
                <w:color w:val="auto"/>
              </w:rPr>
            </w:pPr>
          </w:p>
        </w:tc>
        <w:tc>
          <w:tcPr>
            <w:tcW w:w="600" w:type="dxa"/>
            <w:vAlign w:val="bottom"/>
            <w:tcBorders>
              <w:bottom w:val="single" w:sz="8" w:color="7F7F7F"/>
            </w:tcBorders>
            <w:shd w:val="clear" w:color="auto" w:fill="F2F2F2"/>
          </w:tcPr>
          <w:p>
            <w:pPr>
              <w:spacing w:after="0"/>
              <w:rPr>
                <w:sz w:val="5"/>
                <w:szCs w:val="5"/>
                <w:color w:val="auto"/>
              </w:rPr>
            </w:pPr>
          </w:p>
        </w:tc>
        <w:tc>
          <w:tcPr>
            <w:tcW w:w="680" w:type="dxa"/>
            <w:vAlign w:val="bottom"/>
            <w:tcBorders>
              <w:bottom w:val="single" w:sz="8" w:color="7F7F7F"/>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-3812540</wp:posOffset>
            </wp:positionV>
            <wp:extent cx="47980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798060" cy="8255"/>
                    </a:xfrm>
                    <a:prstGeom prst="rect">
                      <a:avLst/>
                    </a:prstGeom>
                    <a:noFill/>
                  </pic:spPr>
                </pic:pic>
              </a:graphicData>
            </a:graphic>
          </wp:anchor>
        </w:drawing>
      </w:r>
    </w:p>
    <w:p>
      <w:pPr>
        <w:spacing w:after="0" w:line="42" w:lineRule="exact"/>
        <w:rPr>
          <w:sz w:val="20"/>
          <w:szCs w:val="20"/>
          <w:color w:val="auto"/>
        </w:rPr>
      </w:pPr>
    </w:p>
    <w:p>
      <w:pPr>
        <w:ind w:left="480" w:hanging="313"/>
        <w:spacing w:after="0"/>
        <w:tabs>
          <w:tab w:leader="none" w:pos="4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Grant and authorization dates are applicable to equity incentive awards, which consist of performance-based and service-based restricted stock units and nonqualified stock options. The Compensation and Talent Development Committee authorizes these awards as part of annual compensation planning that is typically completed in December with awards granted on the first trading day of January. The Compensation and Talent Development Committee approves a dollar value and the other terms for the awards to be granted to each named executive officer (dollar values for awards granted to the Chief Executive Officer are also ratified by the full Board of Directors). Special equity awards also may be granted at other times, including upon the hiring or promotion of executive officers, to reward extraordinary performance, or to promote retention. In accordance with the terms approved by the Compensation and Talent Development Committee, on the grant date of each award, the precise number of shares to be granted to each named executive officer was calculated using the closing price for shares of our common stock on that date (or, for the nonqualified stock options, a Black-Scholes valuation).</w:t>
      </w:r>
    </w:p>
    <w:p>
      <w:pPr>
        <w:spacing w:after="0" w:line="10" w:lineRule="exact"/>
        <w:rPr>
          <w:rFonts w:ascii="Arial" w:cs="Arial" w:eastAsia="Arial" w:hAnsi="Arial"/>
          <w:sz w:val="12"/>
          <w:szCs w:val="12"/>
          <w:color w:val="auto"/>
        </w:rPr>
      </w:pPr>
    </w:p>
    <w:p>
      <w:pPr>
        <w:ind w:left="480" w:right="40" w:hanging="313"/>
        <w:spacing w:after="0" w:line="238" w:lineRule="auto"/>
        <w:tabs>
          <w:tab w:leader="none" w:pos="480" w:val="left"/>
        </w:tabs>
        <w:numPr>
          <w:ilvl w:val="0"/>
          <w:numId w:val="98"/>
        </w:numPr>
        <w:rPr>
          <w:rFonts w:ascii="Arial" w:cs="Arial" w:eastAsia="Arial" w:hAnsi="Arial"/>
          <w:sz w:val="12"/>
          <w:szCs w:val="12"/>
          <w:color w:val="auto"/>
        </w:rPr>
      </w:pPr>
      <w:r>
        <w:rPr>
          <w:rFonts w:ascii="Arial" w:cs="Arial" w:eastAsia="Arial" w:hAnsi="Arial"/>
          <w:sz w:val="12"/>
          <w:szCs w:val="12"/>
          <w:color w:val="auto"/>
        </w:rPr>
        <w:t>Non-equity incentive plan awards consisted of performance-based annual bonuses payable under our annual bonus plan. Amounts reported in the table represent estimated bonuses expected to be paid under financial and operational performance measures established by the Compensation and Talent Development Committee based on threshold, target and maximum percentages of base salary set for each named executive officer at the beginning of the year or, in the event of any change during the year to such percentages or to the base salary upon which the percentages are applied, prorated amounts reflecting the initial and updated amounts. Outstanding company or individual performance may result in the payment of bonuses that exceed the target amounts. In no event will actual payouts exceed the maximum bonuses established under the plan for each executive. Effective June 21, 2025, in connection with an expanded scope of Mr. Bird’s role, his non-equity incentive plan award target opportunity increased from 90% to 100% of his base salary. Effective July 5, 2025, in connection with Ms. Winn’s promotion to her role, her non-equity incentive plan award target opportunity changed from 85% under the SDG&amp;E Executive Incentive Compensation Plan to 100% under the Sempra annual bonus plan. Both Mr. Bird’s and Ms. Winn’s 2025 awards were prorated to reflect their respective initial and updated award opportunities and the actual amounts earned for all named executive officers are reported in the 2025 Summary Compensation Table under “Non-Equity Incentive Plan Compensation.”</w:t>
      </w:r>
    </w:p>
    <w:p>
      <w:pPr>
        <w:spacing w:after="0" w:line="12" w:lineRule="exact"/>
        <w:rPr>
          <w:sz w:val="20"/>
          <w:szCs w:val="20"/>
          <w:color w:val="auto"/>
        </w:rPr>
      </w:pPr>
    </w:p>
    <w:p>
      <w:pPr>
        <w:ind w:left="480" w:right="100" w:hanging="313"/>
        <w:spacing w:after="0"/>
        <w:tabs>
          <w:tab w:leader="none" w:pos="480" w:val="left"/>
        </w:tabs>
        <w:numPr>
          <w:ilvl w:val="0"/>
          <w:numId w:val="99"/>
        </w:numPr>
        <w:rPr>
          <w:rFonts w:ascii="Arial" w:cs="Arial" w:eastAsia="Arial" w:hAnsi="Arial"/>
          <w:sz w:val="12"/>
          <w:szCs w:val="12"/>
          <w:color w:val="auto"/>
        </w:rPr>
      </w:pPr>
      <w:r>
        <w:rPr>
          <w:rFonts w:ascii="Arial" w:cs="Arial" w:eastAsia="Arial" w:hAnsi="Arial"/>
          <w:sz w:val="12"/>
          <w:szCs w:val="12"/>
          <w:color w:val="auto"/>
        </w:rPr>
        <w:t>Performance measures for 2025 were based on an ABP Earnings target of $2,912 million, Safety Measures and RBP Measures. For information about the predefined adjustments to earnings for annual bonus plan purposes, please refer to Appendix B to this proxy statement. No bonuses were payable for ABP Earnings of less than $2,621 million and maximum bonuses were payable for ABP Earnings of $3,203 million or more. Target bonuses were set at levels ranging from 180% of base salary for Mr. Martin to 75% of base salary for Ms. Day, with maximum bonuses ranging from 360% to 150% of base salary, respectively. ABP Earnings for 2025 were $3,154 million, performance was above target for the Safety Measures and performance exceeded target for the RBP Measures as set forth in Table 11 under “Compensation Discussion and Analysis—Compensation Components—Performance-Based Annual Bonuses—Annual Bonus Performance Results” and in Appendix B to this proxy statement. Accordingly, in February 2026, the Compensation and Talent Development Committee authorized the payment of bonuses to the named executive officers in the amounts reported in the 2025 Summary Compensation Table as non-equity incentive plan compensation earned in 2025.</w:t>
      </w:r>
    </w:p>
    <w:p>
      <w:pPr>
        <w:spacing w:after="0" w:line="10" w:lineRule="exact"/>
        <w:rPr>
          <w:sz w:val="20"/>
          <w:szCs w:val="20"/>
          <w:color w:val="auto"/>
        </w:rPr>
      </w:pPr>
    </w:p>
    <w:p>
      <w:pPr>
        <w:jc w:val="both"/>
        <w:ind w:left="480" w:right="20" w:hanging="313"/>
        <w:spacing w:after="0" w:line="244" w:lineRule="auto"/>
        <w:tabs>
          <w:tab w:leader="none" w:pos="48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Equity incentive plan awards consisted of performance-based restricted stock units. Shares subject to the performance-based restricted stock units generally will vest, in whole or in part, or be forfeited in early 2028 to the extent certified by the Compensation and Talent Development Committee based on our total shareholder return compared to market and peer group indices for the three-year period ending on the first NYSE trading day in 2028 and EPS growth (as adjusted for LTIP purposes) for the three-year period ending December 31, 2027. For information about the treatment of performance-based restricted stock units in the event of a termination of employment before the end of the performance period or a change in control, see “Severance and Change in Control Benefits”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118110</wp:posOffset>
            </wp:positionV>
            <wp:extent cx="69297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245110</wp:posOffset>
            </wp:positionV>
            <wp:extent cx="739140" cy="144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73</w:t>
      </w:r>
    </w:p>
    <w:p>
      <w:pPr>
        <w:sectPr>
          <w:pgSz w:w="11900" w:h="16838" w:orient="portrait"/>
          <w:cols w:equalWidth="0" w:num="1">
            <w:col w:w="11080"/>
          </w:cols>
          <w:pgMar w:left="320" w:top="478"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36" w:lineRule="exact"/>
        <w:rPr>
          <w:sz w:val="20"/>
          <w:szCs w:val="20"/>
          <w:color w:val="auto"/>
        </w:rPr>
      </w:pPr>
    </w:p>
    <w:p>
      <w:pPr>
        <w:ind w:left="480" w:hanging="313"/>
        <w:spacing w:after="0" w:line="192" w:lineRule="auto"/>
        <w:tabs>
          <w:tab w:leader="none" w:pos="48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For the two components of performance-based restricted stock units with a total shareholder return performance measure, the target number of shares will vest if we have achieved a cumulative three-year total shareholder return that places us among the top 50% of the companies in the S&amp;P 500 Utilities Index, excluding water companies, or S&amp;P 500 Index, as applicable, with additional shares vesting ratably for performance above the 50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of the applicable index to the maximum number (200% of the target number) of shares for performance at or above the 90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of that index. If our performance does not place us among the top 50%, but is at or above the 25</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of the companies in the applicable index, the number of shares that will vest declines from the target number of shares at the 50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to 25% of the target number of shares at the 25</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and zero shares below the 25</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w:t>
      </w:r>
    </w:p>
    <w:p>
      <w:pPr>
        <w:spacing w:after="0" w:line="3" w:lineRule="exact"/>
        <w:rPr>
          <w:rFonts w:ascii="Arial" w:cs="Arial" w:eastAsia="Arial" w:hAnsi="Arial"/>
          <w:sz w:val="12"/>
          <w:szCs w:val="12"/>
          <w:color w:val="auto"/>
        </w:rPr>
      </w:pPr>
    </w:p>
    <w:p>
      <w:pPr>
        <w:ind w:left="480" w:right="60" w:hanging="313"/>
        <w:spacing w:after="0" w:line="204" w:lineRule="auto"/>
        <w:tabs>
          <w:tab w:leader="none" w:pos="48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For the performance-based restricted stock units with an EPS growth performance measure, the target number of shares will vest, subject to the Compensation and Talent Development Committee’s discretion to make adjustments to GAAP EPS, if we have achieved a three-year adjusted EPS CAGR ranked at the 50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among the companies in the S&amp;P 500 Utilities Index, excluding water companies. If performance is at the 75</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150% of the target number of shares will vest, and if performance is at the 90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or higher, the maximum number (200% of the target number) of shares will vest. If our three-year adjusted EPS CAGR performance does not place us among the top 50%, but is at or above the 25</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the number of shares that will vest declines from the target number of shares at the 50</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to 25% of the target number of shares at the 25</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and zero shares below the 25</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w:t>
      </w:r>
    </w:p>
    <w:p>
      <w:pPr>
        <w:spacing w:after="0" w:line="10" w:lineRule="exact"/>
        <w:rPr>
          <w:sz w:val="20"/>
          <w:szCs w:val="20"/>
          <w:color w:val="auto"/>
        </w:rPr>
      </w:pPr>
    </w:p>
    <w:p>
      <w:pPr>
        <w:ind w:left="480" w:right="280" w:hanging="313"/>
        <w:spacing w:after="0" w:line="267" w:lineRule="auto"/>
        <w:tabs>
          <w:tab w:leader="none" w:pos="4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These awards represent service-based restricted stock units that vest ratably over three years. For information about the treatment of service-based restricted stock units in the event of a termination of employment before the end of the service period or a change in control, see “Severance and Change in Control Benefits” below.</w:t>
      </w:r>
    </w:p>
    <w:p>
      <w:pPr>
        <w:ind w:left="480" w:right="60" w:hanging="313"/>
        <w:spacing w:after="0" w:line="255" w:lineRule="auto"/>
        <w:tabs>
          <w:tab w:leader="none" w:pos="4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During the performance or service periods, dividends paid or that would have been paid on the shares subject to the award are deemed reinvested to purchase additional shares, at their fair market value, which become subject to the same forfeiture and vesting conditions (including performance criteria, if applicable) as the shares to which the dividends relate. Due to the inability to forecast stock prices at which future dividends would be reinvested, the amounts shown in the table do not include such dividends.</w:t>
      </w:r>
    </w:p>
    <w:p>
      <w:pPr>
        <w:spacing w:after="0" w:line="1" w:lineRule="exact"/>
        <w:rPr>
          <w:sz w:val="20"/>
          <w:szCs w:val="20"/>
          <w:color w:val="auto"/>
        </w:rPr>
      </w:pPr>
    </w:p>
    <w:p>
      <w:pPr>
        <w:ind w:left="480" w:right="340" w:hanging="313"/>
        <w:spacing w:after="0" w:line="267" w:lineRule="auto"/>
        <w:tabs>
          <w:tab w:leader="none" w:pos="4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Unless the named executive officer instructs otherwise, upon vesting of these awards the company will withhold a sufficient number of shares to which the participant would otherwise be entitled to pay the minimum amount of withholding taxes that become payable.</w:t>
      </w:r>
    </w:p>
    <w:p>
      <w:pPr>
        <w:spacing w:after="0" w:line="1" w:lineRule="exact"/>
        <w:rPr>
          <w:sz w:val="20"/>
          <w:szCs w:val="20"/>
          <w:color w:val="auto"/>
        </w:rPr>
      </w:pPr>
    </w:p>
    <w:p>
      <w:pPr>
        <w:ind w:left="480" w:right="20" w:hanging="313"/>
        <w:spacing w:after="0" w:line="249" w:lineRule="auto"/>
        <w:tabs>
          <w:tab w:leader="none" w:pos="4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Stock options are nonqualified options to purchase shares of our common stock. They were granted at an exercise price equal to the grant date closing price of our common stock and have a 10-year term, subject to earlier expiration following termination of employment except in certain circumstances. They generally vest and become exercisable ratably over three years. For information about the treatment of stock options in the event of a termination of employment before the end of the vesting period or a change in control, see “Severance and Change in Control Benefits” below.</w:t>
      </w:r>
    </w:p>
    <w:p>
      <w:pPr>
        <w:spacing w:after="0" w:line="145" w:lineRule="exact"/>
        <w:rPr>
          <w:rFonts w:ascii="Arial" w:cs="Arial" w:eastAsia="Arial" w:hAnsi="Arial"/>
          <w:sz w:val="12"/>
          <w:szCs w:val="12"/>
          <w:color w:val="auto"/>
        </w:rPr>
      </w:pPr>
    </w:p>
    <w:p>
      <w:pPr>
        <w:ind w:left="480" w:right="60" w:hanging="313"/>
        <w:spacing w:after="0" w:line="248" w:lineRule="auto"/>
        <w:tabs>
          <w:tab w:leader="none" w:pos="48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These amounts reflect our grant date estimate of the aggregate compensation expense that we will recognize over the service period of the awards. They are calculated in accordance with GAAP for financial reporting purposes based on the assumptions described in Note 14 of the Notes to Consolidated Financial Statements included in our 2025 Annual Report to Shareholders but disregarding estimates of forfeitures related to service-based vesting conditions. The value actually realized by executives from stock and option awards will depend upon the extent to which performance and service-based vesting conditions are satisfied and the market value of the shares subject to the award upon vesting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90805</wp:posOffset>
            </wp:positionV>
            <wp:extent cx="69297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74               </w:t>
      </w:r>
      <w:r>
        <w:rPr>
          <w:sz w:val="1"/>
          <w:szCs w:val="1"/>
          <w:color w:val="auto"/>
        </w:rPr>
        <w:drawing>
          <wp:inline distT="0" distB="0" distL="0" distR="0">
            <wp:extent cx="739140" cy="144145"/>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20"/>
          </w:cols>
          <w:pgMar w:left="320" w:top="478" w:right="5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Outstanding Equity Awards at Year-End</w:t>
      </w:r>
    </w:p>
    <w:p>
      <w:pPr>
        <w:spacing w:after="0" w:line="129" w:lineRule="exact"/>
        <w:rPr>
          <w:sz w:val="20"/>
          <w:szCs w:val="20"/>
          <w:color w:val="auto"/>
        </w:rPr>
      </w:pPr>
    </w:p>
    <w:p>
      <w:pPr>
        <w:ind w:left="160" w:right="940"/>
        <w:spacing w:after="0" w:line="281" w:lineRule="auto"/>
        <w:rPr>
          <w:sz w:val="20"/>
          <w:szCs w:val="20"/>
          <w:color w:val="auto"/>
        </w:rPr>
      </w:pPr>
      <w:r>
        <w:rPr>
          <w:rFonts w:ascii="Arial" w:cs="Arial" w:eastAsia="Arial" w:hAnsi="Arial"/>
          <w:sz w:val="14"/>
          <w:szCs w:val="14"/>
          <w:color w:val="auto"/>
        </w:rPr>
        <w:t>We summarize below our grants of equity awards that were outstanding at December 31, 2025, for each of our executive officers named in the 2025 Summary Compensation Table. These awards consist of nonqualified stock options and performance-based and service-based restricted stock units.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2025 OUTSTANDING EQUITY AWARDS AT YEAR-END</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3040" w:type="dxa"/>
            <w:vAlign w:val="bottom"/>
            <w:shd w:val="clear" w:color="auto" w:fill="005CB9"/>
          </w:tcPr>
          <w:p>
            <w:pPr>
              <w:spacing w:after="0"/>
              <w:rPr>
                <w:sz w:val="17"/>
                <w:szCs w:val="17"/>
                <w:color w:val="auto"/>
              </w:rPr>
            </w:pPr>
          </w:p>
        </w:tc>
        <w:tc>
          <w:tcPr>
            <w:tcW w:w="720" w:type="dxa"/>
            <w:vAlign w:val="bottom"/>
            <w:shd w:val="clear" w:color="auto" w:fill="005CB9"/>
          </w:tcPr>
          <w:p>
            <w:pPr>
              <w:spacing w:after="0"/>
              <w:rPr>
                <w:sz w:val="17"/>
                <w:szCs w:val="17"/>
                <w:color w:val="auto"/>
              </w:rPr>
            </w:pPr>
          </w:p>
        </w:tc>
        <w:tc>
          <w:tcPr>
            <w:tcW w:w="100" w:type="dxa"/>
            <w:vAlign w:val="bottom"/>
            <w:shd w:val="clear" w:color="auto" w:fill="005CB9"/>
          </w:tcPr>
          <w:p>
            <w:pPr>
              <w:spacing w:after="0"/>
              <w:rPr>
                <w:sz w:val="17"/>
                <w:szCs w:val="17"/>
                <w:color w:val="auto"/>
              </w:rPr>
            </w:pPr>
          </w:p>
        </w:tc>
        <w:tc>
          <w:tcPr>
            <w:tcW w:w="700" w:type="dxa"/>
            <w:vAlign w:val="bottom"/>
            <w:shd w:val="clear" w:color="auto" w:fill="005CB9"/>
          </w:tcPr>
          <w:p>
            <w:pPr>
              <w:spacing w:after="0"/>
              <w:rPr>
                <w:sz w:val="17"/>
                <w:szCs w:val="17"/>
                <w:color w:val="auto"/>
              </w:rPr>
            </w:pPr>
          </w:p>
        </w:tc>
        <w:tc>
          <w:tcPr>
            <w:tcW w:w="80" w:type="dxa"/>
            <w:vAlign w:val="bottom"/>
            <w:shd w:val="clear" w:color="auto" w:fill="005CB9"/>
          </w:tcPr>
          <w:p>
            <w:pPr>
              <w:spacing w:after="0"/>
              <w:rPr>
                <w:sz w:val="17"/>
                <w:szCs w:val="17"/>
                <w:color w:val="auto"/>
              </w:rPr>
            </w:pPr>
          </w:p>
        </w:tc>
        <w:tc>
          <w:tcPr>
            <w:tcW w:w="100" w:type="dxa"/>
            <w:vAlign w:val="bottom"/>
            <w:shd w:val="clear" w:color="auto" w:fill="005CB9"/>
          </w:tcPr>
          <w:p>
            <w:pPr>
              <w:spacing w:after="0"/>
              <w:rPr>
                <w:sz w:val="17"/>
                <w:szCs w:val="17"/>
                <w:color w:val="auto"/>
              </w:rPr>
            </w:pPr>
          </w:p>
        </w:tc>
        <w:tc>
          <w:tcPr>
            <w:tcW w:w="860" w:type="dxa"/>
            <w:vAlign w:val="bottom"/>
            <w:shd w:val="clear" w:color="auto" w:fill="005CB9"/>
          </w:tcPr>
          <w:p>
            <w:pPr>
              <w:spacing w:after="0"/>
              <w:rPr>
                <w:sz w:val="17"/>
                <w:szCs w:val="17"/>
                <w:color w:val="auto"/>
              </w:rPr>
            </w:pPr>
          </w:p>
        </w:tc>
        <w:tc>
          <w:tcPr>
            <w:tcW w:w="100" w:type="dxa"/>
            <w:vAlign w:val="bottom"/>
            <w:shd w:val="clear" w:color="auto" w:fill="005CB9"/>
          </w:tcPr>
          <w:p>
            <w:pPr>
              <w:spacing w:after="0"/>
              <w:rPr>
                <w:sz w:val="17"/>
                <w:szCs w:val="17"/>
                <w:color w:val="auto"/>
              </w:rPr>
            </w:pPr>
          </w:p>
        </w:tc>
        <w:tc>
          <w:tcPr>
            <w:tcW w:w="80" w:type="dxa"/>
            <w:vAlign w:val="bottom"/>
            <w:shd w:val="clear" w:color="auto" w:fill="005CB9"/>
          </w:tcPr>
          <w:p>
            <w:pPr>
              <w:spacing w:after="0"/>
              <w:rPr>
                <w:sz w:val="17"/>
                <w:szCs w:val="17"/>
                <w:color w:val="auto"/>
              </w:rPr>
            </w:pPr>
          </w:p>
        </w:tc>
        <w:tc>
          <w:tcPr>
            <w:tcW w:w="100" w:type="dxa"/>
            <w:vAlign w:val="bottom"/>
            <w:shd w:val="clear" w:color="auto" w:fill="005CB9"/>
          </w:tcPr>
          <w:p>
            <w:pPr>
              <w:spacing w:after="0"/>
              <w:rPr>
                <w:sz w:val="17"/>
                <w:szCs w:val="17"/>
                <w:color w:val="auto"/>
              </w:rPr>
            </w:pPr>
          </w:p>
        </w:tc>
        <w:tc>
          <w:tcPr>
            <w:tcW w:w="420" w:type="dxa"/>
            <w:vAlign w:val="bottom"/>
            <w:shd w:val="clear" w:color="auto" w:fill="005CB9"/>
          </w:tcPr>
          <w:p>
            <w:pPr>
              <w:spacing w:after="0"/>
              <w:rPr>
                <w:sz w:val="17"/>
                <w:szCs w:val="17"/>
                <w:color w:val="auto"/>
              </w:rPr>
            </w:pPr>
          </w:p>
        </w:tc>
        <w:tc>
          <w:tcPr>
            <w:tcW w:w="160" w:type="dxa"/>
            <w:vAlign w:val="bottom"/>
            <w:shd w:val="clear" w:color="auto" w:fill="005CB9"/>
          </w:tcPr>
          <w:p>
            <w:pPr>
              <w:spacing w:after="0"/>
              <w:rPr>
                <w:sz w:val="17"/>
                <w:szCs w:val="17"/>
                <w:color w:val="auto"/>
              </w:rPr>
            </w:pPr>
          </w:p>
        </w:tc>
        <w:tc>
          <w:tcPr>
            <w:tcW w:w="900" w:type="dxa"/>
            <w:vAlign w:val="bottom"/>
            <w:shd w:val="clear" w:color="auto" w:fill="005CB9"/>
          </w:tcPr>
          <w:p>
            <w:pPr>
              <w:spacing w:after="0"/>
              <w:rPr>
                <w:sz w:val="17"/>
                <w:szCs w:val="17"/>
                <w:color w:val="auto"/>
              </w:rPr>
            </w:pPr>
          </w:p>
        </w:tc>
        <w:tc>
          <w:tcPr>
            <w:tcW w:w="640" w:type="dxa"/>
            <w:vAlign w:val="bottom"/>
            <w:shd w:val="clear" w:color="auto" w:fill="005CB9"/>
          </w:tcPr>
          <w:p>
            <w:pPr>
              <w:spacing w:after="0"/>
              <w:rPr>
                <w:sz w:val="17"/>
                <w:szCs w:val="17"/>
                <w:color w:val="auto"/>
              </w:rPr>
            </w:pPr>
          </w:p>
        </w:tc>
        <w:tc>
          <w:tcPr>
            <w:tcW w:w="80" w:type="dxa"/>
            <w:vAlign w:val="bottom"/>
            <w:shd w:val="clear" w:color="auto" w:fill="005CB9"/>
          </w:tcPr>
          <w:p>
            <w:pPr>
              <w:spacing w:after="0"/>
              <w:rPr>
                <w:sz w:val="17"/>
                <w:szCs w:val="17"/>
                <w:color w:val="auto"/>
              </w:rPr>
            </w:pPr>
          </w:p>
        </w:tc>
        <w:tc>
          <w:tcPr>
            <w:tcW w:w="100" w:type="dxa"/>
            <w:vAlign w:val="bottom"/>
            <w:shd w:val="clear" w:color="auto" w:fill="005CB9"/>
          </w:tcPr>
          <w:p>
            <w:pPr>
              <w:spacing w:after="0"/>
              <w:rPr>
                <w:sz w:val="17"/>
                <w:szCs w:val="17"/>
                <w:color w:val="auto"/>
              </w:rPr>
            </w:pPr>
          </w:p>
        </w:tc>
        <w:tc>
          <w:tcPr>
            <w:tcW w:w="80" w:type="dxa"/>
            <w:vAlign w:val="bottom"/>
            <w:shd w:val="clear" w:color="auto" w:fill="005CB9"/>
          </w:tcPr>
          <w:p>
            <w:pPr>
              <w:spacing w:after="0"/>
              <w:rPr>
                <w:sz w:val="17"/>
                <w:szCs w:val="17"/>
                <w:color w:val="auto"/>
              </w:rPr>
            </w:pPr>
          </w:p>
        </w:tc>
        <w:tc>
          <w:tcPr>
            <w:tcW w:w="1700" w:type="dxa"/>
            <w:vAlign w:val="bottom"/>
            <w:gridSpan w:val="6"/>
            <w:shd w:val="clear" w:color="auto" w:fill="005CB9"/>
          </w:tcPr>
          <w:p>
            <w:pPr>
              <w:ind w:left="400"/>
              <w:spacing w:after="0"/>
              <w:rPr>
                <w:sz w:val="20"/>
                <w:szCs w:val="20"/>
                <w:color w:val="auto"/>
              </w:rPr>
            </w:pPr>
            <w:r>
              <w:rPr>
                <w:rFonts w:ascii="Arial" w:cs="Arial" w:eastAsia="Arial" w:hAnsi="Arial"/>
                <w:sz w:val="12"/>
                <w:szCs w:val="12"/>
                <w:b w:val="1"/>
                <w:bCs w:val="1"/>
                <w:color w:val="FFFFFF"/>
              </w:rPr>
              <w:t>Stock Awards</w:t>
            </w:r>
          </w:p>
        </w:tc>
        <w:tc>
          <w:tcPr>
            <w:tcW w:w="100" w:type="dxa"/>
            <w:vAlign w:val="bottom"/>
            <w:shd w:val="clear" w:color="auto" w:fill="005CB9"/>
          </w:tcPr>
          <w:p>
            <w:pPr>
              <w:spacing w:after="0"/>
              <w:rPr>
                <w:sz w:val="17"/>
                <w:szCs w:val="17"/>
                <w:color w:val="auto"/>
              </w:rPr>
            </w:pPr>
          </w:p>
        </w:tc>
        <w:tc>
          <w:tcPr>
            <w:tcW w:w="260" w:type="dxa"/>
            <w:vAlign w:val="bottom"/>
            <w:shd w:val="clear" w:color="auto" w:fill="005CB9"/>
          </w:tcPr>
          <w:p>
            <w:pPr>
              <w:spacing w:after="0"/>
              <w:rPr>
                <w:sz w:val="17"/>
                <w:szCs w:val="17"/>
                <w:color w:val="auto"/>
              </w:rPr>
            </w:pPr>
          </w:p>
        </w:tc>
        <w:tc>
          <w:tcPr>
            <w:tcW w:w="460" w:type="dxa"/>
            <w:vAlign w:val="bottom"/>
            <w:shd w:val="clear" w:color="auto" w:fill="005CB9"/>
          </w:tcPr>
          <w:p>
            <w:pPr>
              <w:spacing w:after="0"/>
              <w:rPr>
                <w:sz w:val="17"/>
                <w:szCs w:val="17"/>
                <w:color w:val="auto"/>
              </w:rPr>
            </w:pPr>
          </w:p>
        </w:tc>
        <w:tc>
          <w:tcPr>
            <w:tcW w:w="140" w:type="dxa"/>
            <w:vAlign w:val="bottom"/>
            <w:shd w:val="clear" w:color="auto" w:fill="005CB9"/>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005CB9"/>
          </w:tcPr>
          <w:p>
            <w:pPr>
              <w:spacing w:after="0"/>
              <w:rPr>
                <w:sz w:val="15"/>
                <w:szCs w:val="15"/>
                <w:color w:val="auto"/>
              </w:rPr>
            </w:pPr>
          </w:p>
        </w:tc>
        <w:tc>
          <w:tcPr>
            <w:tcW w:w="720" w:type="dxa"/>
            <w:vAlign w:val="bottom"/>
            <w:shd w:val="clear" w:color="auto" w:fill="005CB9"/>
          </w:tcPr>
          <w:p>
            <w:pPr>
              <w:spacing w:after="0"/>
              <w:rPr>
                <w:sz w:val="15"/>
                <w:szCs w:val="15"/>
                <w:color w:val="auto"/>
              </w:rPr>
            </w:pPr>
          </w:p>
        </w:tc>
        <w:tc>
          <w:tcPr>
            <w:tcW w:w="100" w:type="dxa"/>
            <w:vAlign w:val="bottom"/>
            <w:shd w:val="clear" w:color="auto" w:fill="005CB9"/>
          </w:tcPr>
          <w:p>
            <w:pPr>
              <w:spacing w:after="0"/>
              <w:rPr>
                <w:sz w:val="15"/>
                <w:szCs w:val="15"/>
                <w:color w:val="auto"/>
              </w:rPr>
            </w:pPr>
          </w:p>
        </w:tc>
        <w:tc>
          <w:tcPr>
            <w:tcW w:w="700" w:type="dxa"/>
            <w:vAlign w:val="bottom"/>
            <w:shd w:val="clear" w:color="auto" w:fill="005CB9"/>
          </w:tcPr>
          <w:p>
            <w:pPr>
              <w:spacing w:after="0"/>
              <w:rPr>
                <w:sz w:val="15"/>
                <w:szCs w:val="15"/>
                <w:color w:val="auto"/>
              </w:rPr>
            </w:pPr>
          </w:p>
        </w:tc>
        <w:tc>
          <w:tcPr>
            <w:tcW w:w="80" w:type="dxa"/>
            <w:vAlign w:val="bottom"/>
            <w:shd w:val="clear" w:color="auto" w:fill="005CB9"/>
          </w:tcPr>
          <w:p>
            <w:pPr>
              <w:spacing w:after="0"/>
              <w:rPr>
                <w:sz w:val="15"/>
                <w:szCs w:val="15"/>
                <w:color w:val="auto"/>
              </w:rPr>
            </w:pPr>
          </w:p>
        </w:tc>
        <w:tc>
          <w:tcPr>
            <w:tcW w:w="100" w:type="dxa"/>
            <w:vAlign w:val="bottom"/>
            <w:shd w:val="clear" w:color="auto" w:fill="005CB9"/>
          </w:tcPr>
          <w:p>
            <w:pPr>
              <w:spacing w:after="0"/>
              <w:rPr>
                <w:sz w:val="15"/>
                <w:szCs w:val="15"/>
                <w:color w:val="auto"/>
              </w:rPr>
            </w:pPr>
          </w:p>
        </w:tc>
        <w:tc>
          <w:tcPr>
            <w:tcW w:w="860" w:type="dxa"/>
            <w:vAlign w:val="bottom"/>
            <w:shd w:val="clear" w:color="auto" w:fill="005CB9"/>
          </w:tcPr>
          <w:p>
            <w:pPr>
              <w:spacing w:after="0"/>
              <w:rPr>
                <w:sz w:val="15"/>
                <w:szCs w:val="15"/>
                <w:color w:val="auto"/>
              </w:rPr>
            </w:pPr>
          </w:p>
        </w:tc>
        <w:tc>
          <w:tcPr>
            <w:tcW w:w="100" w:type="dxa"/>
            <w:vAlign w:val="bottom"/>
            <w:shd w:val="clear" w:color="auto" w:fill="005CB9"/>
          </w:tcPr>
          <w:p>
            <w:pPr>
              <w:spacing w:after="0"/>
              <w:rPr>
                <w:sz w:val="15"/>
                <w:szCs w:val="15"/>
                <w:color w:val="auto"/>
              </w:rPr>
            </w:pPr>
          </w:p>
        </w:tc>
        <w:tc>
          <w:tcPr>
            <w:tcW w:w="80" w:type="dxa"/>
            <w:vAlign w:val="bottom"/>
            <w:shd w:val="clear" w:color="auto" w:fill="005CB9"/>
          </w:tcPr>
          <w:p>
            <w:pPr>
              <w:spacing w:after="0"/>
              <w:rPr>
                <w:sz w:val="15"/>
                <w:szCs w:val="15"/>
                <w:color w:val="auto"/>
              </w:rPr>
            </w:pPr>
          </w:p>
        </w:tc>
        <w:tc>
          <w:tcPr>
            <w:tcW w:w="100" w:type="dxa"/>
            <w:vAlign w:val="bottom"/>
            <w:shd w:val="clear" w:color="auto" w:fill="005CB9"/>
          </w:tcPr>
          <w:p>
            <w:pPr>
              <w:spacing w:after="0"/>
              <w:rPr>
                <w:sz w:val="15"/>
                <w:szCs w:val="15"/>
                <w:color w:val="auto"/>
              </w:rPr>
            </w:pPr>
          </w:p>
        </w:tc>
        <w:tc>
          <w:tcPr>
            <w:tcW w:w="420" w:type="dxa"/>
            <w:vAlign w:val="bottom"/>
            <w:shd w:val="clear" w:color="auto" w:fill="005CB9"/>
          </w:tcPr>
          <w:p>
            <w:pPr>
              <w:spacing w:after="0"/>
              <w:rPr>
                <w:sz w:val="15"/>
                <w:szCs w:val="15"/>
                <w:color w:val="auto"/>
              </w:rPr>
            </w:pPr>
          </w:p>
        </w:tc>
        <w:tc>
          <w:tcPr>
            <w:tcW w:w="160" w:type="dxa"/>
            <w:vAlign w:val="bottom"/>
            <w:shd w:val="clear" w:color="auto" w:fill="005CB9"/>
          </w:tcPr>
          <w:p>
            <w:pPr>
              <w:spacing w:after="0"/>
              <w:rPr>
                <w:sz w:val="15"/>
                <w:szCs w:val="15"/>
                <w:color w:val="auto"/>
              </w:rPr>
            </w:pPr>
          </w:p>
        </w:tc>
        <w:tc>
          <w:tcPr>
            <w:tcW w:w="900" w:type="dxa"/>
            <w:vAlign w:val="bottom"/>
            <w:shd w:val="clear" w:color="auto" w:fill="005CB9"/>
          </w:tcPr>
          <w:p>
            <w:pPr>
              <w:spacing w:after="0"/>
              <w:rPr>
                <w:sz w:val="15"/>
                <w:szCs w:val="15"/>
                <w:color w:val="auto"/>
              </w:rPr>
            </w:pPr>
          </w:p>
        </w:tc>
        <w:tc>
          <w:tcPr>
            <w:tcW w:w="1680" w:type="dxa"/>
            <w:vAlign w:val="bottom"/>
            <w:gridSpan w:val="6"/>
            <w:shd w:val="clear" w:color="auto" w:fill="005CB9"/>
          </w:tcPr>
          <w:p>
            <w:pPr>
              <w:jc w:val="center"/>
              <w:ind w:right="160"/>
              <w:spacing w:after="0"/>
              <w:rPr>
                <w:sz w:val="20"/>
                <w:szCs w:val="20"/>
                <w:color w:val="auto"/>
              </w:rPr>
            </w:pPr>
            <w:r>
              <w:rPr>
                <w:rFonts w:ascii="Arial" w:cs="Arial" w:eastAsia="Arial" w:hAnsi="Arial"/>
                <w:sz w:val="12"/>
                <w:szCs w:val="12"/>
                <w:b w:val="1"/>
                <w:bCs w:val="1"/>
                <w:color w:val="FFFFFF"/>
              </w:rPr>
              <w:t>Equity Incentive</w:t>
            </w:r>
          </w:p>
        </w:tc>
        <w:tc>
          <w:tcPr>
            <w:tcW w:w="20" w:type="dxa"/>
            <w:vAlign w:val="bottom"/>
            <w:shd w:val="clear" w:color="auto" w:fill="005CB9"/>
          </w:tcPr>
          <w:p>
            <w:pPr>
              <w:spacing w:after="0"/>
              <w:rPr>
                <w:sz w:val="15"/>
                <w:szCs w:val="15"/>
                <w:color w:val="auto"/>
              </w:rPr>
            </w:pPr>
          </w:p>
        </w:tc>
        <w:tc>
          <w:tcPr>
            <w:tcW w:w="100" w:type="dxa"/>
            <w:vAlign w:val="bottom"/>
            <w:shd w:val="clear" w:color="auto" w:fill="005CB9"/>
          </w:tcPr>
          <w:p>
            <w:pPr>
              <w:spacing w:after="0"/>
              <w:rPr>
                <w:sz w:val="15"/>
                <w:szCs w:val="15"/>
                <w:color w:val="auto"/>
              </w:rPr>
            </w:pPr>
          </w:p>
        </w:tc>
        <w:tc>
          <w:tcPr>
            <w:tcW w:w="1760" w:type="dxa"/>
            <w:vAlign w:val="bottom"/>
            <w:gridSpan w:val="6"/>
            <w:vMerge w:val="restart"/>
            <w:shd w:val="clear" w:color="auto" w:fill="005CB9"/>
          </w:tcPr>
          <w:p>
            <w:pPr>
              <w:ind w:left="200"/>
              <w:spacing w:after="0"/>
              <w:rPr>
                <w:sz w:val="20"/>
                <w:szCs w:val="20"/>
                <w:color w:val="auto"/>
              </w:rPr>
            </w:pPr>
            <w:r>
              <w:rPr>
                <w:rFonts w:ascii="Arial" w:cs="Arial" w:eastAsia="Arial" w:hAnsi="Arial"/>
                <w:sz w:val="12"/>
                <w:szCs w:val="12"/>
                <w:b w:val="1"/>
                <w:bCs w:val="1"/>
                <w:color w:val="FFFFFF"/>
              </w:rPr>
              <w:t>Other Stock Awards</w:t>
            </w:r>
          </w:p>
        </w:tc>
        <w:tc>
          <w:tcPr>
            <w:tcW w:w="0" w:type="dxa"/>
            <w:vAlign w:val="bottom"/>
          </w:tcPr>
          <w:p>
            <w:pPr>
              <w:spacing w:after="0"/>
              <w:rPr>
                <w:sz w:val="1"/>
                <w:szCs w:val="1"/>
                <w:color w:val="auto"/>
              </w:rPr>
            </w:pPr>
          </w:p>
        </w:tc>
      </w:tr>
      <w:tr>
        <w:trPr>
          <w:trHeight w:val="134"/>
        </w:trPr>
        <w:tc>
          <w:tcPr>
            <w:tcW w:w="3040" w:type="dxa"/>
            <w:vAlign w:val="bottom"/>
            <w:shd w:val="clear" w:color="auto" w:fill="005CB9"/>
          </w:tcPr>
          <w:p>
            <w:pPr>
              <w:spacing w:after="0"/>
              <w:rPr>
                <w:sz w:val="11"/>
                <w:szCs w:val="11"/>
                <w:color w:val="auto"/>
              </w:rPr>
            </w:pPr>
          </w:p>
        </w:tc>
        <w:tc>
          <w:tcPr>
            <w:tcW w:w="72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700" w:type="dxa"/>
            <w:vAlign w:val="bottom"/>
            <w:shd w:val="clear" w:color="auto" w:fill="005CB9"/>
          </w:tcPr>
          <w:p>
            <w:pPr>
              <w:spacing w:after="0"/>
              <w:rPr>
                <w:sz w:val="11"/>
                <w:szCs w:val="11"/>
                <w:color w:val="auto"/>
              </w:rPr>
            </w:pPr>
          </w:p>
        </w:tc>
        <w:tc>
          <w:tcPr>
            <w:tcW w:w="8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1720" w:type="dxa"/>
            <w:vAlign w:val="bottom"/>
            <w:gridSpan w:val="6"/>
            <w:vMerge w:val="restart"/>
            <w:shd w:val="clear" w:color="auto" w:fill="005CB9"/>
          </w:tcPr>
          <w:p>
            <w:pPr>
              <w:jc w:val="center"/>
              <w:ind w:right="160"/>
              <w:spacing w:after="0"/>
              <w:rPr>
                <w:sz w:val="20"/>
                <w:szCs w:val="20"/>
                <w:color w:val="auto"/>
              </w:rPr>
            </w:pPr>
            <w:r>
              <w:rPr>
                <w:rFonts w:ascii="Arial" w:cs="Arial" w:eastAsia="Arial" w:hAnsi="Arial"/>
                <w:sz w:val="12"/>
                <w:szCs w:val="12"/>
                <w:b w:val="1"/>
                <w:bCs w:val="1"/>
                <w:color w:val="FFFFFF"/>
              </w:rPr>
              <w:t>Option Awards</w:t>
            </w:r>
          </w:p>
        </w:tc>
        <w:tc>
          <w:tcPr>
            <w:tcW w:w="900" w:type="dxa"/>
            <w:vAlign w:val="bottom"/>
            <w:shd w:val="clear" w:color="auto" w:fill="005CB9"/>
          </w:tcPr>
          <w:p>
            <w:pPr>
              <w:spacing w:after="0"/>
              <w:rPr>
                <w:sz w:val="11"/>
                <w:szCs w:val="11"/>
                <w:color w:val="auto"/>
              </w:rPr>
            </w:pPr>
          </w:p>
        </w:tc>
        <w:tc>
          <w:tcPr>
            <w:tcW w:w="1680" w:type="dxa"/>
            <w:vAlign w:val="bottom"/>
            <w:gridSpan w:val="6"/>
            <w:shd w:val="clear" w:color="auto" w:fill="005CB9"/>
          </w:tcPr>
          <w:p>
            <w:pPr>
              <w:jc w:val="center"/>
              <w:ind w:right="140"/>
              <w:spacing w:after="0" w:line="134" w:lineRule="exact"/>
              <w:rPr>
                <w:sz w:val="20"/>
                <w:szCs w:val="20"/>
                <w:color w:val="auto"/>
              </w:rPr>
            </w:pPr>
            <w:r>
              <w:rPr>
                <w:rFonts w:ascii="Arial" w:cs="Arial" w:eastAsia="Arial" w:hAnsi="Arial"/>
                <w:sz w:val="12"/>
                <w:szCs w:val="12"/>
                <w:b w:val="1"/>
                <w:bCs w:val="1"/>
                <w:color w:val="FFFFFF"/>
              </w:rPr>
              <w:t>Plan Awards</w:t>
            </w:r>
          </w:p>
        </w:tc>
        <w:tc>
          <w:tcPr>
            <w:tcW w:w="2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1760" w:type="dxa"/>
            <w:vAlign w:val="bottom"/>
            <w:gridSpan w:val="6"/>
            <w:vMerge w:val="continue"/>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040" w:type="dxa"/>
            <w:vAlign w:val="bottom"/>
            <w:shd w:val="clear" w:color="auto" w:fill="005CB9"/>
          </w:tcPr>
          <w:p>
            <w:pPr>
              <w:spacing w:after="0"/>
              <w:rPr>
                <w:sz w:val="11"/>
                <w:szCs w:val="11"/>
                <w:color w:val="auto"/>
              </w:rPr>
            </w:pPr>
          </w:p>
        </w:tc>
        <w:tc>
          <w:tcPr>
            <w:tcW w:w="72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700" w:type="dxa"/>
            <w:vAlign w:val="bottom"/>
            <w:shd w:val="clear" w:color="auto" w:fill="005CB9"/>
          </w:tcPr>
          <w:p>
            <w:pPr>
              <w:spacing w:after="0"/>
              <w:rPr>
                <w:sz w:val="11"/>
                <w:szCs w:val="11"/>
                <w:color w:val="auto"/>
              </w:rPr>
            </w:pPr>
          </w:p>
        </w:tc>
        <w:tc>
          <w:tcPr>
            <w:tcW w:w="8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1720" w:type="dxa"/>
            <w:vAlign w:val="bottom"/>
            <w:gridSpan w:val="6"/>
            <w:vMerge w:val="continue"/>
            <w:shd w:val="clear" w:color="auto" w:fill="005CB9"/>
          </w:tcPr>
          <w:p>
            <w:pPr>
              <w:spacing w:after="0"/>
              <w:rPr>
                <w:sz w:val="11"/>
                <w:szCs w:val="11"/>
                <w:color w:val="auto"/>
              </w:rPr>
            </w:pPr>
          </w:p>
        </w:tc>
        <w:tc>
          <w:tcPr>
            <w:tcW w:w="900" w:type="dxa"/>
            <w:vAlign w:val="bottom"/>
            <w:shd w:val="clear" w:color="auto" w:fill="005CB9"/>
          </w:tcPr>
          <w:p>
            <w:pPr>
              <w:spacing w:after="0"/>
              <w:rPr>
                <w:sz w:val="11"/>
                <w:szCs w:val="11"/>
                <w:color w:val="auto"/>
              </w:rPr>
            </w:pPr>
          </w:p>
        </w:tc>
        <w:tc>
          <w:tcPr>
            <w:tcW w:w="1680" w:type="dxa"/>
            <w:vAlign w:val="bottom"/>
            <w:gridSpan w:val="6"/>
            <w:shd w:val="clear" w:color="auto" w:fill="005CB9"/>
          </w:tcPr>
          <w:p>
            <w:pPr>
              <w:jc w:val="center"/>
              <w:ind w:right="140"/>
              <w:spacing w:after="0" w:line="134" w:lineRule="exact"/>
              <w:rPr>
                <w:sz w:val="20"/>
                <w:szCs w:val="20"/>
                <w:color w:val="auto"/>
              </w:rPr>
            </w:pPr>
            <w:r>
              <w:rPr>
                <w:rFonts w:ascii="Arial" w:cs="Arial" w:eastAsia="Arial" w:hAnsi="Arial"/>
                <w:sz w:val="12"/>
                <w:szCs w:val="12"/>
                <w:b w:val="1"/>
                <w:bCs w:val="1"/>
                <w:color w:val="FFFFFF"/>
              </w:rPr>
              <w:t>(Performance-Based</w:t>
            </w:r>
          </w:p>
        </w:tc>
        <w:tc>
          <w:tcPr>
            <w:tcW w:w="2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1760" w:type="dxa"/>
            <w:vAlign w:val="bottom"/>
            <w:gridSpan w:val="6"/>
            <w:shd w:val="clear" w:color="auto" w:fill="005CB9"/>
          </w:tcPr>
          <w:p>
            <w:pPr>
              <w:ind w:left="360"/>
              <w:spacing w:after="0" w:line="134" w:lineRule="exact"/>
              <w:rPr>
                <w:sz w:val="20"/>
                <w:szCs w:val="20"/>
                <w:color w:val="auto"/>
              </w:rPr>
            </w:pPr>
            <w:r>
              <w:rPr>
                <w:rFonts w:ascii="Arial" w:cs="Arial" w:eastAsia="Arial" w:hAnsi="Arial"/>
                <w:sz w:val="12"/>
                <w:szCs w:val="12"/>
                <w:b w:val="1"/>
                <w:bCs w:val="1"/>
                <w:color w:val="FFFFFF"/>
              </w:rPr>
              <w:t>(Service-Based</w:t>
            </w:r>
          </w:p>
        </w:tc>
        <w:tc>
          <w:tcPr>
            <w:tcW w:w="0" w:type="dxa"/>
            <w:vAlign w:val="bottom"/>
          </w:tcPr>
          <w:p>
            <w:pPr>
              <w:spacing w:after="0"/>
              <w:rPr>
                <w:sz w:val="1"/>
                <w:szCs w:val="1"/>
                <w:color w:val="auto"/>
              </w:rPr>
            </w:pPr>
          </w:p>
        </w:tc>
      </w:tr>
      <w:tr>
        <w:trPr>
          <w:trHeight w:val="152"/>
        </w:trPr>
        <w:tc>
          <w:tcPr>
            <w:tcW w:w="3040" w:type="dxa"/>
            <w:vAlign w:val="bottom"/>
            <w:shd w:val="clear" w:color="auto" w:fill="005CB9"/>
          </w:tcPr>
          <w:p>
            <w:pPr>
              <w:spacing w:after="0"/>
              <w:rPr>
                <w:sz w:val="13"/>
                <w:szCs w:val="13"/>
                <w:color w:val="auto"/>
              </w:rPr>
            </w:pPr>
          </w:p>
        </w:tc>
        <w:tc>
          <w:tcPr>
            <w:tcW w:w="720" w:type="dxa"/>
            <w:vAlign w:val="bottom"/>
            <w:shd w:val="clear" w:color="auto" w:fill="005CB9"/>
          </w:tcPr>
          <w:p>
            <w:pPr>
              <w:spacing w:after="0"/>
              <w:rPr>
                <w:sz w:val="13"/>
                <w:szCs w:val="13"/>
                <w:color w:val="auto"/>
              </w:rPr>
            </w:pPr>
          </w:p>
        </w:tc>
        <w:tc>
          <w:tcPr>
            <w:tcW w:w="10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80" w:type="dxa"/>
            <w:vAlign w:val="bottom"/>
            <w:shd w:val="clear" w:color="auto" w:fill="005CB9"/>
          </w:tcPr>
          <w:p>
            <w:pPr>
              <w:spacing w:after="0"/>
              <w:rPr>
                <w:sz w:val="13"/>
                <w:szCs w:val="13"/>
                <w:color w:val="auto"/>
              </w:rPr>
            </w:pPr>
          </w:p>
        </w:tc>
        <w:tc>
          <w:tcPr>
            <w:tcW w:w="100" w:type="dxa"/>
            <w:vAlign w:val="bottom"/>
            <w:shd w:val="clear" w:color="auto" w:fill="005CB9"/>
          </w:tcPr>
          <w:p>
            <w:pPr>
              <w:spacing w:after="0"/>
              <w:rPr>
                <w:sz w:val="13"/>
                <w:szCs w:val="13"/>
                <w:color w:val="auto"/>
              </w:rPr>
            </w:pPr>
          </w:p>
        </w:tc>
        <w:tc>
          <w:tcPr>
            <w:tcW w:w="1720" w:type="dxa"/>
            <w:vAlign w:val="bottom"/>
            <w:gridSpan w:val="6"/>
            <w:shd w:val="clear" w:color="auto" w:fill="005CB9"/>
          </w:tcPr>
          <w:p>
            <w:pPr>
              <w:jc w:val="center"/>
              <w:ind w:right="180"/>
              <w:spacing w:after="0" w:line="152" w:lineRule="exact"/>
              <w:rPr>
                <w:sz w:val="20"/>
                <w:szCs w:val="20"/>
                <w:color w:val="auto"/>
              </w:rPr>
            </w:pPr>
            <w:r>
              <w:rPr>
                <w:rFonts w:ascii="Arial" w:cs="Arial" w:eastAsia="Arial" w:hAnsi="Arial"/>
                <w:sz w:val="12"/>
                <w:szCs w:val="12"/>
                <w:b w:val="1"/>
                <w:bCs w:val="1"/>
                <w:color w:val="FFFFFF"/>
              </w:rPr>
              <w:t>(Stock Options)</w:t>
            </w:r>
            <w:r>
              <w:rPr>
                <w:rFonts w:ascii="Arial" w:cs="Arial" w:eastAsia="Arial" w:hAnsi="Arial"/>
                <w:sz w:val="17"/>
                <w:szCs w:val="17"/>
                <w:b w:val="1"/>
                <w:bCs w:val="1"/>
                <w:color w:val="FFFFFF"/>
                <w:vertAlign w:val="superscript"/>
              </w:rPr>
              <w:t>(A)</w:t>
            </w:r>
          </w:p>
        </w:tc>
        <w:tc>
          <w:tcPr>
            <w:tcW w:w="900" w:type="dxa"/>
            <w:vAlign w:val="bottom"/>
            <w:shd w:val="clear" w:color="auto" w:fill="005CB9"/>
          </w:tcPr>
          <w:p>
            <w:pPr>
              <w:spacing w:after="0"/>
              <w:rPr>
                <w:sz w:val="13"/>
                <w:szCs w:val="13"/>
                <w:color w:val="auto"/>
              </w:rPr>
            </w:pPr>
          </w:p>
        </w:tc>
        <w:tc>
          <w:tcPr>
            <w:tcW w:w="1680" w:type="dxa"/>
            <w:vAlign w:val="bottom"/>
            <w:gridSpan w:val="6"/>
            <w:shd w:val="clear" w:color="auto" w:fill="005CB9"/>
          </w:tcPr>
          <w:p>
            <w:pPr>
              <w:jc w:val="center"/>
              <w:ind w:right="140"/>
              <w:spacing w:after="0" w:line="152" w:lineRule="exact"/>
              <w:rPr>
                <w:sz w:val="20"/>
                <w:szCs w:val="20"/>
                <w:color w:val="auto"/>
              </w:rPr>
            </w:pPr>
            <w:r>
              <w:rPr>
                <w:rFonts w:ascii="Arial" w:cs="Arial" w:eastAsia="Arial" w:hAnsi="Arial"/>
                <w:sz w:val="12"/>
                <w:szCs w:val="12"/>
                <w:b w:val="1"/>
                <w:bCs w:val="1"/>
                <w:color w:val="FFFFFF"/>
              </w:rPr>
              <w:t>Restricted Stock Units)</w:t>
            </w:r>
            <w:r>
              <w:rPr>
                <w:rFonts w:ascii="Arial" w:cs="Arial" w:eastAsia="Arial" w:hAnsi="Arial"/>
                <w:sz w:val="17"/>
                <w:szCs w:val="17"/>
                <w:b w:val="1"/>
                <w:bCs w:val="1"/>
                <w:color w:val="FFFFFF"/>
                <w:vertAlign w:val="superscript"/>
              </w:rPr>
              <w:t>(B)</w:t>
            </w:r>
          </w:p>
        </w:tc>
        <w:tc>
          <w:tcPr>
            <w:tcW w:w="20" w:type="dxa"/>
            <w:vAlign w:val="bottom"/>
            <w:shd w:val="clear" w:color="auto" w:fill="005CB9"/>
          </w:tcPr>
          <w:p>
            <w:pPr>
              <w:spacing w:after="0"/>
              <w:rPr>
                <w:sz w:val="13"/>
                <w:szCs w:val="13"/>
                <w:color w:val="auto"/>
              </w:rPr>
            </w:pPr>
          </w:p>
        </w:tc>
        <w:tc>
          <w:tcPr>
            <w:tcW w:w="100" w:type="dxa"/>
            <w:vAlign w:val="bottom"/>
            <w:shd w:val="clear" w:color="auto" w:fill="005CB9"/>
          </w:tcPr>
          <w:p>
            <w:pPr>
              <w:spacing w:after="0"/>
              <w:rPr>
                <w:sz w:val="13"/>
                <w:szCs w:val="13"/>
                <w:color w:val="auto"/>
              </w:rPr>
            </w:pPr>
          </w:p>
        </w:tc>
        <w:tc>
          <w:tcPr>
            <w:tcW w:w="1760" w:type="dxa"/>
            <w:vAlign w:val="bottom"/>
            <w:gridSpan w:val="6"/>
            <w:shd w:val="clear" w:color="auto" w:fill="005CB9"/>
          </w:tcPr>
          <w:p>
            <w:pPr>
              <w:ind w:left="60"/>
              <w:spacing w:after="0" w:line="152" w:lineRule="exact"/>
              <w:rPr>
                <w:sz w:val="20"/>
                <w:szCs w:val="20"/>
                <w:color w:val="auto"/>
              </w:rPr>
            </w:pPr>
            <w:r>
              <w:rPr>
                <w:rFonts w:ascii="Arial" w:cs="Arial" w:eastAsia="Arial" w:hAnsi="Arial"/>
                <w:sz w:val="12"/>
                <w:szCs w:val="12"/>
                <w:b w:val="1"/>
                <w:bCs w:val="1"/>
                <w:color w:val="FFFFFF"/>
              </w:rPr>
              <w:t>Restricted Stock Units)</w:t>
            </w:r>
            <w:r>
              <w:rPr>
                <w:rFonts w:ascii="Arial" w:cs="Arial" w:eastAsia="Arial" w:hAnsi="Arial"/>
                <w:sz w:val="17"/>
                <w:szCs w:val="17"/>
                <w:b w:val="1"/>
                <w:bCs w:val="1"/>
                <w:color w:val="FFFFFF"/>
                <w:vertAlign w:val="superscript"/>
              </w:rPr>
              <w:t>(C)</w:t>
            </w:r>
          </w:p>
        </w:tc>
        <w:tc>
          <w:tcPr>
            <w:tcW w:w="0" w:type="dxa"/>
            <w:vAlign w:val="bottom"/>
          </w:tcPr>
          <w:p>
            <w:pPr>
              <w:spacing w:after="0"/>
              <w:rPr>
                <w:sz w:val="1"/>
                <w:szCs w:val="1"/>
                <w:color w:val="auto"/>
              </w:rPr>
            </w:pPr>
          </w:p>
        </w:tc>
      </w:tr>
      <w:tr>
        <w:trPr>
          <w:trHeight w:val="214"/>
        </w:trPr>
        <w:tc>
          <w:tcPr>
            <w:tcW w:w="3040" w:type="dxa"/>
            <w:vAlign w:val="bottom"/>
            <w:shd w:val="clear" w:color="auto" w:fill="005CB9"/>
          </w:tcPr>
          <w:p>
            <w:pPr>
              <w:spacing w:after="0"/>
              <w:rPr>
                <w:sz w:val="18"/>
                <w:szCs w:val="18"/>
                <w:color w:val="auto"/>
              </w:rPr>
            </w:pPr>
          </w:p>
        </w:tc>
        <w:tc>
          <w:tcPr>
            <w:tcW w:w="720" w:type="dxa"/>
            <w:vAlign w:val="bottom"/>
            <w:shd w:val="clear" w:color="auto" w:fill="005CB9"/>
          </w:tcPr>
          <w:p>
            <w:pPr>
              <w:spacing w:after="0"/>
              <w:rPr>
                <w:sz w:val="18"/>
                <w:szCs w:val="18"/>
                <w:color w:val="auto"/>
              </w:rPr>
            </w:pPr>
          </w:p>
        </w:tc>
        <w:tc>
          <w:tcPr>
            <w:tcW w:w="100" w:type="dxa"/>
            <w:vAlign w:val="bottom"/>
            <w:shd w:val="clear" w:color="auto" w:fill="005CB9"/>
          </w:tcPr>
          <w:p>
            <w:pPr>
              <w:spacing w:after="0"/>
              <w:rPr>
                <w:sz w:val="18"/>
                <w:szCs w:val="18"/>
                <w:color w:val="auto"/>
              </w:rPr>
            </w:pPr>
          </w:p>
        </w:tc>
        <w:tc>
          <w:tcPr>
            <w:tcW w:w="1840" w:type="dxa"/>
            <w:vAlign w:val="bottom"/>
            <w:gridSpan w:val="5"/>
            <w:shd w:val="clear" w:color="auto" w:fill="005CB9"/>
          </w:tcPr>
          <w:p>
            <w:pPr>
              <w:jc w:val="center"/>
              <w:ind w:right="100"/>
              <w:spacing w:after="0"/>
              <w:rPr>
                <w:sz w:val="20"/>
                <w:szCs w:val="20"/>
                <w:color w:val="auto"/>
              </w:rPr>
            </w:pPr>
            <w:r>
              <w:rPr>
                <w:rFonts w:ascii="Arial" w:cs="Arial" w:eastAsia="Arial" w:hAnsi="Arial"/>
                <w:sz w:val="12"/>
                <w:szCs w:val="12"/>
                <w:b w:val="1"/>
                <w:bCs w:val="1"/>
                <w:color w:val="FFFFFF"/>
              </w:rPr>
              <w:t>Number of Shares</w:t>
            </w:r>
          </w:p>
        </w:tc>
        <w:tc>
          <w:tcPr>
            <w:tcW w:w="80" w:type="dxa"/>
            <w:vAlign w:val="bottom"/>
            <w:shd w:val="clear" w:color="auto" w:fill="005CB9"/>
          </w:tcPr>
          <w:p>
            <w:pPr>
              <w:spacing w:after="0"/>
              <w:rPr>
                <w:sz w:val="18"/>
                <w:szCs w:val="18"/>
                <w:color w:val="auto"/>
              </w:rPr>
            </w:pPr>
          </w:p>
        </w:tc>
        <w:tc>
          <w:tcPr>
            <w:tcW w:w="100" w:type="dxa"/>
            <w:vAlign w:val="bottom"/>
            <w:shd w:val="clear" w:color="auto" w:fill="005CB9"/>
          </w:tcPr>
          <w:p>
            <w:pPr>
              <w:spacing w:after="0"/>
              <w:rPr>
                <w:sz w:val="18"/>
                <w:szCs w:val="18"/>
                <w:color w:val="auto"/>
              </w:rPr>
            </w:pPr>
          </w:p>
        </w:tc>
        <w:tc>
          <w:tcPr>
            <w:tcW w:w="420" w:type="dxa"/>
            <w:vAlign w:val="bottom"/>
            <w:shd w:val="clear" w:color="auto" w:fill="005CB9"/>
          </w:tcPr>
          <w:p>
            <w:pPr>
              <w:spacing w:after="0"/>
              <w:rPr>
                <w:sz w:val="18"/>
                <w:szCs w:val="18"/>
                <w:color w:val="auto"/>
              </w:rPr>
            </w:pPr>
          </w:p>
        </w:tc>
        <w:tc>
          <w:tcPr>
            <w:tcW w:w="160" w:type="dxa"/>
            <w:vAlign w:val="bottom"/>
            <w:shd w:val="clear" w:color="auto" w:fill="005CB9"/>
          </w:tcPr>
          <w:p>
            <w:pPr>
              <w:spacing w:after="0"/>
              <w:rPr>
                <w:sz w:val="18"/>
                <w:szCs w:val="18"/>
                <w:color w:val="auto"/>
              </w:rPr>
            </w:pPr>
          </w:p>
        </w:tc>
        <w:tc>
          <w:tcPr>
            <w:tcW w:w="900" w:type="dxa"/>
            <w:vAlign w:val="bottom"/>
            <w:shd w:val="clear" w:color="auto" w:fill="005CB9"/>
          </w:tcPr>
          <w:p>
            <w:pPr>
              <w:spacing w:after="0"/>
              <w:rPr>
                <w:sz w:val="18"/>
                <w:szCs w:val="18"/>
                <w:color w:val="auto"/>
              </w:rPr>
            </w:pPr>
          </w:p>
        </w:tc>
        <w:tc>
          <w:tcPr>
            <w:tcW w:w="720" w:type="dxa"/>
            <w:vAlign w:val="bottom"/>
            <w:gridSpan w:val="2"/>
            <w:vMerge w:val="restart"/>
            <w:shd w:val="clear" w:color="auto" w:fill="005CB9"/>
          </w:tcPr>
          <w:p>
            <w:pPr>
              <w:jc w:val="center"/>
              <w:ind w:right="100"/>
              <w:spacing w:after="0"/>
              <w:rPr>
                <w:sz w:val="20"/>
                <w:szCs w:val="20"/>
                <w:color w:val="auto"/>
              </w:rPr>
            </w:pPr>
            <w:r>
              <w:rPr>
                <w:rFonts w:ascii="Arial" w:cs="Arial" w:eastAsia="Arial" w:hAnsi="Arial"/>
                <w:sz w:val="12"/>
                <w:szCs w:val="12"/>
                <w:b w:val="1"/>
                <w:bCs w:val="1"/>
                <w:color w:val="FFFFFF"/>
              </w:rPr>
              <w:t>Number of</w:t>
            </w:r>
          </w:p>
        </w:tc>
        <w:tc>
          <w:tcPr>
            <w:tcW w:w="100" w:type="dxa"/>
            <w:vAlign w:val="bottom"/>
            <w:shd w:val="clear" w:color="auto" w:fill="005CB9"/>
          </w:tcPr>
          <w:p>
            <w:pPr>
              <w:spacing w:after="0"/>
              <w:rPr>
                <w:sz w:val="18"/>
                <w:szCs w:val="18"/>
                <w:color w:val="auto"/>
              </w:rPr>
            </w:pPr>
          </w:p>
        </w:tc>
        <w:tc>
          <w:tcPr>
            <w:tcW w:w="80" w:type="dxa"/>
            <w:vAlign w:val="bottom"/>
            <w:shd w:val="clear" w:color="auto" w:fill="005CB9"/>
          </w:tcPr>
          <w:p>
            <w:pPr>
              <w:spacing w:after="0"/>
              <w:rPr>
                <w:sz w:val="18"/>
                <w:szCs w:val="18"/>
                <w:color w:val="auto"/>
              </w:rPr>
            </w:pPr>
          </w:p>
        </w:tc>
        <w:tc>
          <w:tcPr>
            <w:tcW w:w="780" w:type="dxa"/>
            <w:vAlign w:val="bottom"/>
            <w:gridSpan w:val="2"/>
            <w:shd w:val="clear" w:color="auto" w:fill="005CB9"/>
          </w:tcPr>
          <w:p>
            <w:pPr>
              <w:jc w:val="center"/>
              <w:ind w:right="220"/>
              <w:spacing w:after="0"/>
              <w:rPr>
                <w:sz w:val="20"/>
                <w:szCs w:val="20"/>
                <w:color w:val="auto"/>
              </w:rPr>
            </w:pPr>
            <w:r>
              <w:rPr>
                <w:rFonts w:ascii="Arial" w:cs="Arial" w:eastAsia="Arial" w:hAnsi="Arial"/>
                <w:sz w:val="12"/>
                <w:szCs w:val="12"/>
                <w:b w:val="1"/>
                <w:bCs w:val="1"/>
                <w:color w:val="FFFFFF"/>
              </w:rPr>
              <w:t>Market</w:t>
            </w:r>
          </w:p>
        </w:tc>
        <w:tc>
          <w:tcPr>
            <w:tcW w:w="20" w:type="dxa"/>
            <w:vAlign w:val="bottom"/>
            <w:shd w:val="clear" w:color="auto" w:fill="005CB9"/>
          </w:tcPr>
          <w:p>
            <w:pPr>
              <w:spacing w:after="0"/>
              <w:rPr>
                <w:sz w:val="18"/>
                <w:szCs w:val="18"/>
                <w:color w:val="auto"/>
              </w:rPr>
            </w:pPr>
          </w:p>
        </w:tc>
        <w:tc>
          <w:tcPr>
            <w:tcW w:w="100" w:type="dxa"/>
            <w:vAlign w:val="bottom"/>
            <w:shd w:val="clear" w:color="auto" w:fill="005CB9"/>
          </w:tcPr>
          <w:p>
            <w:pPr>
              <w:spacing w:after="0"/>
              <w:rPr>
                <w:sz w:val="18"/>
                <w:szCs w:val="18"/>
                <w:color w:val="auto"/>
              </w:rPr>
            </w:pPr>
          </w:p>
        </w:tc>
        <w:tc>
          <w:tcPr>
            <w:tcW w:w="800" w:type="dxa"/>
            <w:vAlign w:val="bottom"/>
            <w:gridSpan w:val="2"/>
            <w:vMerge w:val="restart"/>
            <w:shd w:val="clear" w:color="auto" w:fill="005CB9"/>
          </w:tcPr>
          <w:p>
            <w:pPr>
              <w:ind w:left="40"/>
              <w:spacing w:after="0"/>
              <w:rPr>
                <w:sz w:val="20"/>
                <w:szCs w:val="20"/>
                <w:color w:val="auto"/>
              </w:rPr>
            </w:pPr>
            <w:r>
              <w:rPr>
                <w:rFonts w:ascii="Arial" w:cs="Arial" w:eastAsia="Arial" w:hAnsi="Arial"/>
                <w:sz w:val="12"/>
                <w:szCs w:val="12"/>
                <w:b w:val="1"/>
                <w:bCs w:val="1"/>
                <w:color w:val="FFFFFF"/>
              </w:rPr>
              <w:t>Number of</w:t>
            </w:r>
          </w:p>
        </w:tc>
        <w:tc>
          <w:tcPr>
            <w:tcW w:w="100" w:type="dxa"/>
            <w:vAlign w:val="bottom"/>
            <w:shd w:val="clear" w:color="auto" w:fill="005CB9"/>
          </w:tcPr>
          <w:p>
            <w:pPr>
              <w:spacing w:after="0"/>
              <w:rPr>
                <w:sz w:val="18"/>
                <w:szCs w:val="18"/>
                <w:color w:val="auto"/>
              </w:rPr>
            </w:pPr>
          </w:p>
        </w:tc>
        <w:tc>
          <w:tcPr>
            <w:tcW w:w="860" w:type="dxa"/>
            <w:vAlign w:val="bottom"/>
            <w:gridSpan w:val="3"/>
            <w:shd w:val="clear" w:color="auto" w:fill="005CB9"/>
          </w:tcPr>
          <w:p>
            <w:pPr>
              <w:jc w:val="center"/>
              <w:ind w:right="140"/>
              <w:spacing w:after="0"/>
              <w:rPr>
                <w:sz w:val="20"/>
                <w:szCs w:val="20"/>
                <w:color w:val="auto"/>
              </w:rPr>
            </w:pPr>
            <w:r>
              <w:rPr>
                <w:rFonts w:ascii="Arial" w:cs="Arial" w:eastAsia="Arial" w:hAnsi="Arial"/>
                <w:sz w:val="12"/>
                <w:szCs w:val="12"/>
                <w:b w:val="1"/>
                <w:bCs w:val="1"/>
                <w:color w:val="FFFFFF"/>
              </w:rPr>
              <w:t>Market</w:t>
            </w:r>
          </w:p>
        </w:tc>
        <w:tc>
          <w:tcPr>
            <w:tcW w:w="0" w:type="dxa"/>
            <w:vAlign w:val="bottom"/>
          </w:tcPr>
          <w:p>
            <w:pPr>
              <w:spacing w:after="0"/>
              <w:rPr>
                <w:sz w:val="1"/>
                <w:szCs w:val="1"/>
                <w:color w:val="auto"/>
              </w:rPr>
            </w:pPr>
          </w:p>
        </w:tc>
      </w:tr>
      <w:tr>
        <w:trPr>
          <w:trHeight w:val="134"/>
        </w:trPr>
        <w:tc>
          <w:tcPr>
            <w:tcW w:w="3040" w:type="dxa"/>
            <w:vAlign w:val="bottom"/>
            <w:shd w:val="clear" w:color="auto" w:fill="005CB9"/>
          </w:tcPr>
          <w:p>
            <w:pPr>
              <w:spacing w:after="0"/>
              <w:rPr>
                <w:sz w:val="11"/>
                <w:szCs w:val="11"/>
                <w:color w:val="auto"/>
              </w:rPr>
            </w:pPr>
          </w:p>
        </w:tc>
        <w:tc>
          <w:tcPr>
            <w:tcW w:w="72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1840" w:type="dxa"/>
            <w:vAlign w:val="bottom"/>
            <w:gridSpan w:val="5"/>
            <w:shd w:val="clear" w:color="auto" w:fill="005CB9"/>
          </w:tcPr>
          <w:p>
            <w:pPr>
              <w:jc w:val="center"/>
              <w:ind w:right="100"/>
              <w:spacing w:after="0" w:line="134" w:lineRule="exact"/>
              <w:rPr>
                <w:sz w:val="20"/>
                <w:szCs w:val="20"/>
                <w:color w:val="auto"/>
              </w:rPr>
            </w:pPr>
            <w:r>
              <w:rPr>
                <w:rFonts w:ascii="Arial" w:cs="Arial" w:eastAsia="Arial" w:hAnsi="Arial"/>
                <w:sz w:val="12"/>
                <w:szCs w:val="12"/>
                <w:b w:val="1"/>
                <w:bCs w:val="1"/>
                <w:color w:val="FFFFFF"/>
              </w:rPr>
              <w:t>Underlying</w:t>
            </w:r>
          </w:p>
        </w:tc>
        <w:tc>
          <w:tcPr>
            <w:tcW w:w="8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420" w:type="dxa"/>
            <w:vAlign w:val="bottom"/>
            <w:shd w:val="clear" w:color="auto" w:fill="005CB9"/>
          </w:tcPr>
          <w:p>
            <w:pPr>
              <w:spacing w:after="0"/>
              <w:rPr>
                <w:sz w:val="11"/>
                <w:szCs w:val="11"/>
                <w:color w:val="auto"/>
              </w:rPr>
            </w:pPr>
          </w:p>
        </w:tc>
        <w:tc>
          <w:tcPr>
            <w:tcW w:w="160" w:type="dxa"/>
            <w:vAlign w:val="bottom"/>
            <w:shd w:val="clear" w:color="auto" w:fill="005CB9"/>
          </w:tcPr>
          <w:p>
            <w:pPr>
              <w:spacing w:after="0"/>
              <w:rPr>
                <w:sz w:val="11"/>
                <w:szCs w:val="11"/>
                <w:color w:val="auto"/>
              </w:rPr>
            </w:pPr>
          </w:p>
        </w:tc>
        <w:tc>
          <w:tcPr>
            <w:tcW w:w="900" w:type="dxa"/>
            <w:vAlign w:val="bottom"/>
            <w:shd w:val="clear" w:color="auto" w:fill="005CB9"/>
          </w:tcPr>
          <w:p>
            <w:pPr>
              <w:spacing w:after="0"/>
              <w:rPr>
                <w:sz w:val="11"/>
                <w:szCs w:val="11"/>
                <w:color w:val="auto"/>
              </w:rPr>
            </w:pPr>
          </w:p>
        </w:tc>
        <w:tc>
          <w:tcPr>
            <w:tcW w:w="720" w:type="dxa"/>
            <w:vAlign w:val="bottom"/>
            <w:gridSpan w:val="2"/>
            <w:vMerge w:val="continue"/>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80" w:type="dxa"/>
            <w:vAlign w:val="bottom"/>
            <w:shd w:val="clear" w:color="auto" w:fill="005CB9"/>
          </w:tcPr>
          <w:p>
            <w:pPr>
              <w:spacing w:after="0"/>
              <w:rPr>
                <w:sz w:val="11"/>
                <w:szCs w:val="11"/>
                <w:color w:val="auto"/>
              </w:rPr>
            </w:pPr>
          </w:p>
        </w:tc>
        <w:tc>
          <w:tcPr>
            <w:tcW w:w="780" w:type="dxa"/>
            <w:vAlign w:val="bottom"/>
            <w:gridSpan w:val="2"/>
            <w:shd w:val="clear" w:color="auto" w:fill="005CB9"/>
          </w:tcPr>
          <w:p>
            <w:pPr>
              <w:jc w:val="center"/>
              <w:ind w:right="220"/>
              <w:spacing w:after="0" w:line="134" w:lineRule="exact"/>
              <w:rPr>
                <w:sz w:val="20"/>
                <w:szCs w:val="20"/>
                <w:color w:val="auto"/>
              </w:rPr>
            </w:pPr>
            <w:r>
              <w:rPr>
                <w:rFonts w:ascii="Arial" w:cs="Arial" w:eastAsia="Arial" w:hAnsi="Arial"/>
                <w:sz w:val="12"/>
                <w:szCs w:val="12"/>
                <w:b w:val="1"/>
                <w:bCs w:val="1"/>
                <w:color w:val="FFFFFF"/>
              </w:rPr>
              <w:t>Value of</w:t>
            </w:r>
          </w:p>
        </w:tc>
        <w:tc>
          <w:tcPr>
            <w:tcW w:w="2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800" w:type="dxa"/>
            <w:vAlign w:val="bottom"/>
            <w:gridSpan w:val="2"/>
            <w:vMerge w:val="continue"/>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860" w:type="dxa"/>
            <w:vAlign w:val="bottom"/>
            <w:gridSpan w:val="3"/>
            <w:shd w:val="clear" w:color="auto" w:fill="005CB9"/>
          </w:tcPr>
          <w:p>
            <w:pPr>
              <w:jc w:val="center"/>
              <w:ind w:right="140"/>
              <w:spacing w:after="0" w:line="134" w:lineRule="exact"/>
              <w:rPr>
                <w:sz w:val="20"/>
                <w:szCs w:val="20"/>
                <w:color w:val="auto"/>
              </w:rPr>
            </w:pPr>
            <w:r>
              <w:rPr>
                <w:rFonts w:ascii="Arial" w:cs="Arial" w:eastAsia="Arial" w:hAnsi="Arial"/>
                <w:sz w:val="12"/>
                <w:szCs w:val="12"/>
                <w:b w:val="1"/>
                <w:bCs w:val="1"/>
                <w:color w:val="FFFFFF"/>
              </w:rPr>
              <w:t>Value of</w:t>
            </w:r>
          </w:p>
        </w:tc>
        <w:tc>
          <w:tcPr>
            <w:tcW w:w="0" w:type="dxa"/>
            <w:vAlign w:val="bottom"/>
          </w:tcPr>
          <w:p>
            <w:pPr>
              <w:spacing w:after="0"/>
              <w:rPr>
                <w:sz w:val="1"/>
                <w:szCs w:val="1"/>
                <w:color w:val="auto"/>
              </w:rPr>
            </w:pPr>
          </w:p>
        </w:tc>
      </w:tr>
      <w:tr>
        <w:trPr>
          <w:trHeight w:val="134"/>
        </w:trPr>
        <w:tc>
          <w:tcPr>
            <w:tcW w:w="3040" w:type="dxa"/>
            <w:vAlign w:val="bottom"/>
            <w:shd w:val="clear" w:color="auto" w:fill="005CB9"/>
          </w:tcPr>
          <w:p>
            <w:pPr>
              <w:spacing w:after="0"/>
              <w:rPr>
                <w:sz w:val="11"/>
                <w:szCs w:val="11"/>
                <w:color w:val="auto"/>
              </w:rPr>
            </w:pPr>
          </w:p>
        </w:tc>
        <w:tc>
          <w:tcPr>
            <w:tcW w:w="72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1840" w:type="dxa"/>
            <w:vAlign w:val="bottom"/>
            <w:gridSpan w:val="5"/>
            <w:shd w:val="clear" w:color="auto" w:fill="005CB9"/>
          </w:tcPr>
          <w:p>
            <w:pPr>
              <w:jc w:val="center"/>
              <w:ind w:right="100"/>
              <w:spacing w:after="0" w:line="134" w:lineRule="exact"/>
              <w:rPr>
                <w:sz w:val="20"/>
                <w:szCs w:val="20"/>
                <w:color w:val="auto"/>
              </w:rPr>
            </w:pPr>
            <w:r>
              <w:rPr>
                <w:rFonts w:ascii="Arial" w:cs="Arial" w:eastAsia="Arial" w:hAnsi="Arial"/>
                <w:sz w:val="12"/>
                <w:szCs w:val="12"/>
                <w:b w:val="1"/>
                <w:bCs w:val="1"/>
                <w:color w:val="FFFFFF"/>
              </w:rPr>
              <w:t>Unexercised Options</w:t>
            </w:r>
          </w:p>
        </w:tc>
        <w:tc>
          <w:tcPr>
            <w:tcW w:w="8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420" w:type="dxa"/>
            <w:vAlign w:val="bottom"/>
            <w:shd w:val="clear" w:color="auto" w:fill="005CB9"/>
          </w:tcPr>
          <w:p>
            <w:pPr>
              <w:spacing w:after="0"/>
              <w:rPr>
                <w:sz w:val="11"/>
                <w:szCs w:val="11"/>
                <w:color w:val="auto"/>
              </w:rPr>
            </w:pPr>
          </w:p>
        </w:tc>
        <w:tc>
          <w:tcPr>
            <w:tcW w:w="160" w:type="dxa"/>
            <w:vAlign w:val="bottom"/>
            <w:shd w:val="clear" w:color="auto" w:fill="005CB9"/>
          </w:tcPr>
          <w:p>
            <w:pPr>
              <w:spacing w:after="0"/>
              <w:rPr>
                <w:sz w:val="11"/>
                <w:szCs w:val="11"/>
                <w:color w:val="auto"/>
              </w:rPr>
            </w:pPr>
          </w:p>
        </w:tc>
        <w:tc>
          <w:tcPr>
            <w:tcW w:w="900" w:type="dxa"/>
            <w:vAlign w:val="bottom"/>
            <w:shd w:val="clear" w:color="auto" w:fill="005CB9"/>
          </w:tcPr>
          <w:p>
            <w:pPr>
              <w:spacing w:after="0"/>
              <w:rPr>
                <w:sz w:val="11"/>
                <w:szCs w:val="11"/>
                <w:color w:val="auto"/>
              </w:rPr>
            </w:pPr>
          </w:p>
        </w:tc>
        <w:tc>
          <w:tcPr>
            <w:tcW w:w="720" w:type="dxa"/>
            <w:vAlign w:val="bottom"/>
            <w:gridSpan w:val="2"/>
            <w:shd w:val="clear" w:color="auto" w:fill="005CB9"/>
          </w:tcPr>
          <w:p>
            <w:pPr>
              <w:jc w:val="center"/>
              <w:ind w:right="80"/>
              <w:spacing w:after="0" w:line="134" w:lineRule="exact"/>
              <w:rPr>
                <w:sz w:val="20"/>
                <w:szCs w:val="20"/>
                <w:color w:val="auto"/>
              </w:rPr>
            </w:pPr>
            <w:r>
              <w:rPr>
                <w:rFonts w:ascii="Arial" w:cs="Arial" w:eastAsia="Arial" w:hAnsi="Arial"/>
                <w:sz w:val="12"/>
                <w:szCs w:val="12"/>
                <w:b w:val="1"/>
                <w:bCs w:val="1"/>
                <w:color w:val="FFFFFF"/>
              </w:rPr>
              <w:t>Unearned/</w:t>
            </w:r>
          </w:p>
        </w:tc>
        <w:tc>
          <w:tcPr>
            <w:tcW w:w="100" w:type="dxa"/>
            <w:vAlign w:val="bottom"/>
            <w:shd w:val="clear" w:color="auto" w:fill="005CB9"/>
          </w:tcPr>
          <w:p>
            <w:pPr>
              <w:spacing w:after="0"/>
              <w:rPr>
                <w:sz w:val="11"/>
                <w:szCs w:val="11"/>
                <w:color w:val="auto"/>
              </w:rPr>
            </w:pPr>
          </w:p>
        </w:tc>
        <w:tc>
          <w:tcPr>
            <w:tcW w:w="860" w:type="dxa"/>
            <w:vAlign w:val="bottom"/>
            <w:gridSpan w:val="3"/>
            <w:shd w:val="clear" w:color="auto" w:fill="005CB9"/>
          </w:tcPr>
          <w:p>
            <w:pPr>
              <w:jc w:val="center"/>
              <w:ind w:right="160"/>
              <w:spacing w:after="0" w:line="134" w:lineRule="exact"/>
              <w:rPr>
                <w:sz w:val="20"/>
                <w:szCs w:val="20"/>
                <w:color w:val="auto"/>
              </w:rPr>
            </w:pPr>
            <w:r>
              <w:rPr>
                <w:rFonts w:ascii="Arial" w:cs="Arial" w:eastAsia="Arial" w:hAnsi="Arial"/>
                <w:sz w:val="12"/>
                <w:szCs w:val="12"/>
                <w:b w:val="1"/>
                <w:bCs w:val="1"/>
                <w:color w:val="FFFFFF"/>
              </w:rPr>
              <w:t>Unearned/</w:t>
            </w:r>
          </w:p>
        </w:tc>
        <w:tc>
          <w:tcPr>
            <w:tcW w:w="20" w:type="dxa"/>
            <w:vAlign w:val="bottom"/>
            <w:shd w:val="clear" w:color="auto" w:fill="005CB9"/>
          </w:tcPr>
          <w:p>
            <w:pPr>
              <w:spacing w:after="0"/>
              <w:rPr>
                <w:sz w:val="11"/>
                <w:szCs w:val="11"/>
                <w:color w:val="auto"/>
              </w:rPr>
            </w:pPr>
          </w:p>
        </w:tc>
        <w:tc>
          <w:tcPr>
            <w:tcW w:w="100" w:type="dxa"/>
            <w:vAlign w:val="bottom"/>
            <w:shd w:val="clear" w:color="auto" w:fill="005CB9"/>
          </w:tcPr>
          <w:p>
            <w:pPr>
              <w:spacing w:after="0"/>
              <w:rPr>
                <w:sz w:val="11"/>
                <w:szCs w:val="11"/>
                <w:color w:val="auto"/>
              </w:rPr>
            </w:pPr>
          </w:p>
        </w:tc>
        <w:tc>
          <w:tcPr>
            <w:tcW w:w="800" w:type="dxa"/>
            <w:vAlign w:val="bottom"/>
            <w:gridSpan w:val="2"/>
            <w:shd w:val="clear" w:color="auto" w:fill="005CB9"/>
          </w:tcPr>
          <w:p>
            <w:pPr>
              <w:ind w:left="40"/>
              <w:spacing w:after="0" w:line="134" w:lineRule="exact"/>
              <w:rPr>
                <w:sz w:val="20"/>
                <w:szCs w:val="20"/>
                <w:color w:val="auto"/>
              </w:rPr>
            </w:pPr>
            <w:r>
              <w:rPr>
                <w:rFonts w:ascii="Arial" w:cs="Arial" w:eastAsia="Arial" w:hAnsi="Arial"/>
                <w:sz w:val="12"/>
                <w:szCs w:val="12"/>
                <w:b w:val="1"/>
                <w:bCs w:val="1"/>
                <w:color w:val="FFFFFF"/>
              </w:rPr>
              <w:t>Unearned/</w:t>
            </w:r>
          </w:p>
        </w:tc>
        <w:tc>
          <w:tcPr>
            <w:tcW w:w="100" w:type="dxa"/>
            <w:vAlign w:val="bottom"/>
            <w:shd w:val="clear" w:color="auto" w:fill="005CB9"/>
          </w:tcPr>
          <w:p>
            <w:pPr>
              <w:spacing w:after="0"/>
              <w:rPr>
                <w:sz w:val="11"/>
                <w:szCs w:val="11"/>
                <w:color w:val="auto"/>
              </w:rPr>
            </w:pPr>
          </w:p>
        </w:tc>
        <w:tc>
          <w:tcPr>
            <w:tcW w:w="860" w:type="dxa"/>
            <w:vAlign w:val="bottom"/>
            <w:gridSpan w:val="3"/>
            <w:shd w:val="clear" w:color="auto" w:fill="005CB9"/>
          </w:tcPr>
          <w:p>
            <w:pPr>
              <w:jc w:val="center"/>
              <w:ind w:right="160"/>
              <w:spacing w:after="0" w:line="134" w:lineRule="exact"/>
              <w:rPr>
                <w:sz w:val="20"/>
                <w:szCs w:val="20"/>
                <w:color w:val="auto"/>
              </w:rPr>
            </w:pPr>
            <w:r>
              <w:rPr>
                <w:rFonts w:ascii="Arial" w:cs="Arial" w:eastAsia="Arial" w:hAnsi="Arial"/>
                <w:sz w:val="12"/>
                <w:szCs w:val="12"/>
                <w:b w:val="1"/>
                <w:bCs w:val="1"/>
                <w:color w:val="FFFFFF"/>
              </w:rPr>
              <w:t>Unearned/</w:t>
            </w:r>
          </w:p>
        </w:tc>
        <w:tc>
          <w:tcPr>
            <w:tcW w:w="0" w:type="dxa"/>
            <w:vAlign w:val="bottom"/>
          </w:tcPr>
          <w:p>
            <w:pPr>
              <w:spacing w:after="0"/>
              <w:rPr>
                <w:sz w:val="1"/>
                <w:szCs w:val="1"/>
                <w:color w:val="auto"/>
              </w:rPr>
            </w:pPr>
          </w:p>
        </w:tc>
      </w:tr>
      <w:tr>
        <w:trPr>
          <w:trHeight w:val="102"/>
        </w:trPr>
        <w:tc>
          <w:tcPr>
            <w:tcW w:w="3040" w:type="dxa"/>
            <w:vAlign w:val="bottom"/>
            <w:shd w:val="clear" w:color="auto" w:fill="005CB9"/>
          </w:tcPr>
          <w:p>
            <w:pPr>
              <w:spacing w:after="0"/>
              <w:rPr>
                <w:sz w:val="8"/>
                <w:szCs w:val="8"/>
                <w:color w:val="auto"/>
              </w:rPr>
            </w:pPr>
          </w:p>
        </w:tc>
        <w:tc>
          <w:tcPr>
            <w:tcW w:w="720" w:type="dxa"/>
            <w:vAlign w:val="bottom"/>
            <w:shd w:val="clear" w:color="auto" w:fill="005CB9"/>
          </w:tcPr>
          <w:p>
            <w:pPr>
              <w:jc w:val="right"/>
              <w:ind w:right="118"/>
              <w:spacing w:after="0" w:line="103" w:lineRule="exact"/>
              <w:rPr>
                <w:sz w:val="20"/>
                <w:szCs w:val="20"/>
                <w:color w:val="auto"/>
              </w:rPr>
            </w:pPr>
            <w:r>
              <w:rPr>
                <w:rFonts w:ascii="Arial" w:cs="Arial" w:eastAsia="Arial" w:hAnsi="Arial"/>
                <w:sz w:val="11"/>
                <w:szCs w:val="11"/>
                <w:b w:val="1"/>
                <w:bCs w:val="1"/>
                <w:color w:val="FFFFFF"/>
              </w:rPr>
              <w:t>Grant</w:t>
            </w:r>
          </w:p>
        </w:tc>
        <w:tc>
          <w:tcPr>
            <w:tcW w:w="100" w:type="dxa"/>
            <w:vAlign w:val="bottom"/>
            <w:shd w:val="clear" w:color="auto" w:fill="005CB9"/>
          </w:tcPr>
          <w:p>
            <w:pPr>
              <w:spacing w:after="0"/>
              <w:rPr>
                <w:sz w:val="8"/>
                <w:szCs w:val="8"/>
                <w:color w:val="auto"/>
              </w:rPr>
            </w:pPr>
          </w:p>
        </w:tc>
        <w:tc>
          <w:tcPr>
            <w:tcW w:w="780" w:type="dxa"/>
            <w:vAlign w:val="bottom"/>
            <w:gridSpan w:val="2"/>
            <w:vMerge w:val="restart"/>
            <w:shd w:val="clear" w:color="auto" w:fill="005CB9"/>
          </w:tcPr>
          <w:p>
            <w:pPr>
              <w:spacing w:after="0"/>
              <w:rPr>
                <w:sz w:val="20"/>
                <w:szCs w:val="20"/>
                <w:color w:val="auto"/>
              </w:rPr>
            </w:pPr>
            <w:r>
              <w:rPr>
                <w:rFonts w:ascii="Arial" w:cs="Arial" w:eastAsia="Arial" w:hAnsi="Arial"/>
                <w:sz w:val="12"/>
                <w:szCs w:val="12"/>
                <w:b w:val="1"/>
                <w:bCs w:val="1"/>
                <w:color w:val="FFFFFF"/>
              </w:rPr>
              <w:t>Exercisable</w:t>
            </w:r>
          </w:p>
        </w:tc>
        <w:tc>
          <w:tcPr>
            <w:tcW w:w="100" w:type="dxa"/>
            <w:vAlign w:val="bottom"/>
            <w:shd w:val="clear" w:color="auto" w:fill="005CB9"/>
          </w:tcPr>
          <w:p>
            <w:pPr>
              <w:spacing w:after="0"/>
              <w:rPr>
                <w:sz w:val="8"/>
                <w:szCs w:val="8"/>
                <w:color w:val="auto"/>
              </w:rPr>
            </w:pPr>
          </w:p>
        </w:tc>
        <w:tc>
          <w:tcPr>
            <w:tcW w:w="960" w:type="dxa"/>
            <w:vAlign w:val="bottom"/>
            <w:gridSpan w:val="2"/>
            <w:vMerge w:val="restart"/>
            <w:shd w:val="clear" w:color="auto" w:fill="005CB9"/>
          </w:tcPr>
          <w:p>
            <w:pPr>
              <w:spacing w:after="0"/>
              <w:rPr>
                <w:sz w:val="20"/>
                <w:szCs w:val="20"/>
                <w:color w:val="auto"/>
              </w:rPr>
            </w:pPr>
            <w:r>
              <w:rPr>
                <w:rFonts w:ascii="Arial" w:cs="Arial" w:eastAsia="Arial" w:hAnsi="Arial"/>
                <w:sz w:val="12"/>
                <w:szCs w:val="12"/>
                <w:b w:val="1"/>
                <w:bCs w:val="1"/>
                <w:color w:val="FFFFFF"/>
              </w:rPr>
              <w:t>Unexercisable</w:t>
            </w:r>
          </w:p>
        </w:tc>
        <w:tc>
          <w:tcPr>
            <w:tcW w:w="80" w:type="dxa"/>
            <w:vAlign w:val="bottom"/>
            <w:shd w:val="clear" w:color="auto" w:fill="005CB9"/>
          </w:tcPr>
          <w:p>
            <w:pPr>
              <w:spacing w:after="0"/>
              <w:rPr>
                <w:sz w:val="8"/>
                <w:szCs w:val="8"/>
                <w:color w:val="auto"/>
              </w:rPr>
            </w:pPr>
          </w:p>
        </w:tc>
        <w:tc>
          <w:tcPr>
            <w:tcW w:w="680" w:type="dxa"/>
            <w:vAlign w:val="bottom"/>
            <w:gridSpan w:val="3"/>
            <w:shd w:val="clear" w:color="auto" w:fill="005CB9"/>
          </w:tcPr>
          <w:p>
            <w:pPr>
              <w:spacing w:after="0" w:line="103" w:lineRule="exact"/>
              <w:rPr>
                <w:sz w:val="20"/>
                <w:szCs w:val="20"/>
                <w:color w:val="auto"/>
              </w:rPr>
            </w:pPr>
            <w:r>
              <w:rPr>
                <w:rFonts w:ascii="Arial" w:cs="Arial" w:eastAsia="Arial" w:hAnsi="Arial"/>
                <w:sz w:val="11"/>
                <w:szCs w:val="11"/>
                <w:b w:val="1"/>
                <w:bCs w:val="1"/>
                <w:color w:val="FFFFFF"/>
              </w:rPr>
              <w:t>Exercise</w:t>
            </w:r>
          </w:p>
        </w:tc>
        <w:tc>
          <w:tcPr>
            <w:tcW w:w="900" w:type="dxa"/>
            <w:vAlign w:val="bottom"/>
            <w:shd w:val="clear" w:color="auto" w:fill="005CB9"/>
          </w:tcPr>
          <w:p>
            <w:pPr>
              <w:jc w:val="right"/>
              <w:ind w:right="118"/>
              <w:spacing w:after="0" w:line="103" w:lineRule="exact"/>
              <w:rPr>
                <w:sz w:val="20"/>
                <w:szCs w:val="20"/>
                <w:color w:val="auto"/>
              </w:rPr>
            </w:pPr>
            <w:r>
              <w:rPr>
                <w:rFonts w:ascii="Arial" w:cs="Arial" w:eastAsia="Arial" w:hAnsi="Arial"/>
                <w:sz w:val="11"/>
                <w:szCs w:val="11"/>
                <w:b w:val="1"/>
                <w:bCs w:val="1"/>
                <w:color w:val="FFFFFF"/>
              </w:rPr>
              <w:t>Expiration</w:t>
            </w:r>
          </w:p>
        </w:tc>
        <w:tc>
          <w:tcPr>
            <w:tcW w:w="720" w:type="dxa"/>
            <w:vAlign w:val="bottom"/>
            <w:gridSpan w:val="2"/>
            <w:shd w:val="clear" w:color="auto" w:fill="005CB9"/>
          </w:tcPr>
          <w:p>
            <w:pPr>
              <w:jc w:val="center"/>
              <w:ind w:right="80"/>
              <w:spacing w:after="0" w:line="103" w:lineRule="exact"/>
              <w:rPr>
                <w:sz w:val="20"/>
                <w:szCs w:val="20"/>
                <w:color w:val="auto"/>
              </w:rPr>
            </w:pPr>
            <w:r>
              <w:rPr>
                <w:rFonts w:ascii="Arial" w:cs="Arial" w:eastAsia="Arial" w:hAnsi="Arial"/>
                <w:sz w:val="11"/>
                <w:szCs w:val="11"/>
                <w:b w:val="1"/>
                <w:bCs w:val="1"/>
                <w:color w:val="FFFFFF"/>
              </w:rPr>
              <w:t>Unvested</w:t>
            </w:r>
          </w:p>
        </w:tc>
        <w:tc>
          <w:tcPr>
            <w:tcW w:w="100" w:type="dxa"/>
            <w:vAlign w:val="bottom"/>
            <w:shd w:val="clear" w:color="auto" w:fill="005CB9"/>
          </w:tcPr>
          <w:p>
            <w:pPr>
              <w:spacing w:after="0"/>
              <w:rPr>
                <w:sz w:val="8"/>
                <w:szCs w:val="8"/>
                <w:color w:val="auto"/>
              </w:rPr>
            </w:pPr>
          </w:p>
        </w:tc>
        <w:tc>
          <w:tcPr>
            <w:tcW w:w="80" w:type="dxa"/>
            <w:vAlign w:val="bottom"/>
            <w:shd w:val="clear" w:color="auto" w:fill="005CB9"/>
          </w:tcPr>
          <w:p>
            <w:pPr>
              <w:spacing w:after="0"/>
              <w:rPr>
                <w:sz w:val="8"/>
                <w:szCs w:val="8"/>
                <w:color w:val="auto"/>
              </w:rPr>
            </w:pPr>
          </w:p>
        </w:tc>
        <w:tc>
          <w:tcPr>
            <w:tcW w:w="780" w:type="dxa"/>
            <w:vAlign w:val="bottom"/>
            <w:gridSpan w:val="2"/>
            <w:shd w:val="clear" w:color="auto" w:fill="005CB9"/>
          </w:tcPr>
          <w:p>
            <w:pPr>
              <w:jc w:val="center"/>
              <w:ind w:right="220"/>
              <w:spacing w:after="0" w:line="103" w:lineRule="exact"/>
              <w:rPr>
                <w:sz w:val="20"/>
                <w:szCs w:val="20"/>
                <w:color w:val="auto"/>
              </w:rPr>
            </w:pPr>
            <w:r>
              <w:rPr>
                <w:rFonts w:ascii="Arial" w:cs="Arial" w:eastAsia="Arial" w:hAnsi="Arial"/>
                <w:sz w:val="11"/>
                <w:szCs w:val="11"/>
                <w:b w:val="1"/>
                <w:bCs w:val="1"/>
                <w:color w:val="FFFFFF"/>
              </w:rPr>
              <w:t>Unvested</w:t>
            </w:r>
          </w:p>
        </w:tc>
        <w:tc>
          <w:tcPr>
            <w:tcW w:w="20" w:type="dxa"/>
            <w:vAlign w:val="bottom"/>
            <w:shd w:val="clear" w:color="auto" w:fill="005CB9"/>
          </w:tcPr>
          <w:p>
            <w:pPr>
              <w:spacing w:after="0"/>
              <w:rPr>
                <w:sz w:val="8"/>
                <w:szCs w:val="8"/>
                <w:color w:val="auto"/>
              </w:rPr>
            </w:pPr>
          </w:p>
        </w:tc>
        <w:tc>
          <w:tcPr>
            <w:tcW w:w="100" w:type="dxa"/>
            <w:vAlign w:val="bottom"/>
            <w:shd w:val="clear" w:color="auto" w:fill="005CB9"/>
          </w:tcPr>
          <w:p>
            <w:pPr>
              <w:spacing w:after="0"/>
              <w:rPr>
                <w:sz w:val="8"/>
                <w:szCs w:val="8"/>
                <w:color w:val="auto"/>
              </w:rPr>
            </w:pPr>
          </w:p>
        </w:tc>
        <w:tc>
          <w:tcPr>
            <w:tcW w:w="800" w:type="dxa"/>
            <w:vAlign w:val="bottom"/>
            <w:gridSpan w:val="2"/>
            <w:shd w:val="clear" w:color="auto" w:fill="005CB9"/>
          </w:tcPr>
          <w:p>
            <w:pPr>
              <w:ind w:left="60"/>
              <w:spacing w:after="0" w:line="103" w:lineRule="exact"/>
              <w:rPr>
                <w:sz w:val="20"/>
                <w:szCs w:val="20"/>
                <w:color w:val="auto"/>
              </w:rPr>
            </w:pPr>
            <w:r>
              <w:rPr>
                <w:rFonts w:ascii="Arial" w:cs="Arial" w:eastAsia="Arial" w:hAnsi="Arial"/>
                <w:sz w:val="11"/>
                <w:szCs w:val="11"/>
                <w:b w:val="1"/>
                <w:bCs w:val="1"/>
                <w:color w:val="FFFFFF"/>
              </w:rPr>
              <w:t>Unvested</w:t>
            </w:r>
          </w:p>
        </w:tc>
        <w:tc>
          <w:tcPr>
            <w:tcW w:w="100" w:type="dxa"/>
            <w:vAlign w:val="bottom"/>
            <w:shd w:val="clear" w:color="auto" w:fill="005CB9"/>
          </w:tcPr>
          <w:p>
            <w:pPr>
              <w:spacing w:after="0"/>
              <w:rPr>
                <w:sz w:val="8"/>
                <w:szCs w:val="8"/>
                <w:color w:val="auto"/>
              </w:rPr>
            </w:pPr>
          </w:p>
        </w:tc>
        <w:tc>
          <w:tcPr>
            <w:tcW w:w="860" w:type="dxa"/>
            <w:vAlign w:val="bottom"/>
            <w:gridSpan w:val="3"/>
            <w:shd w:val="clear" w:color="auto" w:fill="005CB9"/>
          </w:tcPr>
          <w:p>
            <w:pPr>
              <w:jc w:val="center"/>
              <w:ind w:right="140"/>
              <w:spacing w:after="0" w:line="103" w:lineRule="exact"/>
              <w:rPr>
                <w:sz w:val="20"/>
                <w:szCs w:val="20"/>
                <w:color w:val="auto"/>
              </w:rPr>
            </w:pPr>
            <w:r>
              <w:rPr>
                <w:rFonts w:ascii="Arial" w:cs="Arial" w:eastAsia="Arial" w:hAnsi="Arial"/>
                <w:sz w:val="11"/>
                <w:szCs w:val="11"/>
                <w:b w:val="1"/>
                <w:bCs w:val="1"/>
                <w:color w:val="FFFFFF"/>
              </w:rPr>
              <w:t>Unvested</w:t>
            </w:r>
          </w:p>
        </w:tc>
        <w:tc>
          <w:tcPr>
            <w:tcW w:w="0" w:type="dxa"/>
            <w:vAlign w:val="bottom"/>
          </w:tcPr>
          <w:p>
            <w:pPr>
              <w:spacing w:after="0"/>
              <w:rPr>
                <w:sz w:val="1"/>
                <w:szCs w:val="1"/>
                <w:color w:val="auto"/>
              </w:rPr>
            </w:pPr>
          </w:p>
        </w:tc>
      </w:tr>
      <w:tr>
        <w:trPr>
          <w:trHeight w:val="165"/>
        </w:trPr>
        <w:tc>
          <w:tcPr>
            <w:tcW w:w="3040" w:type="dxa"/>
            <w:vAlign w:val="bottom"/>
            <w:shd w:val="clear" w:color="auto" w:fill="005CB9"/>
          </w:tcPr>
          <w:p>
            <w:pPr>
              <w:spacing w:after="0"/>
              <w:rPr>
                <w:sz w:val="14"/>
                <w:szCs w:val="14"/>
                <w:color w:val="auto"/>
              </w:rPr>
            </w:pPr>
          </w:p>
        </w:tc>
        <w:tc>
          <w:tcPr>
            <w:tcW w:w="720" w:type="dxa"/>
            <w:vAlign w:val="bottom"/>
            <w:shd w:val="clear" w:color="auto" w:fill="005CB9"/>
          </w:tcPr>
          <w:p>
            <w:pPr>
              <w:jc w:val="right"/>
              <w:ind w:right="158"/>
              <w:spacing w:after="0"/>
              <w:rPr>
                <w:sz w:val="20"/>
                <w:szCs w:val="20"/>
                <w:color w:val="auto"/>
              </w:rPr>
            </w:pPr>
            <w:r>
              <w:rPr>
                <w:rFonts w:ascii="Arial" w:cs="Arial" w:eastAsia="Arial" w:hAnsi="Arial"/>
                <w:sz w:val="12"/>
                <w:szCs w:val="12"/>
                <w:b w:val="1"/>
                <w:bCs w:val="1"/>
                <w:color w:val="FFFFFF"/>
              </w:rPr>
              <w:t>Date</w:t>
            </w:r>
          </w:p>
        </w:tc>
        <w:tc>
          <w:tcPr>
            <w:tcW w:w="100" w:type="dxa"/>
            <w:vAlign w:val="bottom"/>
            <w:shd w:val="clear" w:color="auto" w:fill="005CB9"/>
          </w:tcPr>
          <w:p>
            <w:pPr>
              <w:spacing w:after="0"/>
              <w:rPr>
                <w:sz w:val="14"/>
                <w:szCs w:val="14"/>
                <w:color w:val="auto"/>
              </w:rPr>
            </w:pPr>
          </w:p>
        </w:tc>
        <w:tc>
          <w:tcPr>
            <w:tcW w:w="780" w:type="dxa"/>
            <w:vAlign w:val="bottom"/>
            <w:gridSpan w:val="2"/>
            <w:vMerge w:val="continue"/>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960" w:type="dxa"/>
            <w:vAlign w:val="bottom"/>
            <w:gridSpan w:val="2"/>
            <w:vMerge w:val="continue"/>
            <w:shd w:val="clear" w:color="auto" w:fill="005CB9"/>
          </w:tcPr>
          <w:p>
            <w:pPr>
              <w:spacing w:after="0"/>
              <w:rPr>
                <w:sz w:val="14"/>
                <w:szCs w:val="14"/>
                <w:color w:val="auto"/>
              </w:rPr>
            </w:pPr>
          </w:p>
        </w:tc>
        <w:tc>
          <w:tcPr>
            <w:tcW w:w="8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580" w:type="dxa"/>
            <w:vAlign w:val="bottom"/>
            <w:gridSpan w:val="2"/>
            <w:shd w:val="clear" w:color="auto" w:fill="005CB9"/>
          </w:tcPr>
          <w:p>
            <w:pPr>
              <w:ind w:left="20"/>
              <w:spacing w:after="0"/>
              <w:rPr>
                <w:sz w:val="20"/>
                <w:szCs w:val="20"/>
                <w:color w:val="auto"/>
              </w:rPr>
            </w:pPr>
            <w:r>
              <w:rPr>
                <w:rFonts w:ascii="Arial" w:cs="Arial" w:eastAsia="Arial" w:hAnsi="Arial"/>
                <w:sz w:val="12"/>
                <w:szCs w:val="12"/>
                <w:b w:val="1"/>
                <w:bCs w:val="1"/>
                <w:color w:val="FFFFFF"/>
              </w:rPr>
              <w:t>Price</w:t>
            </w:r>
          </w:p>
        </w:tc>
        <w:tc>
          <w:tcPr>
            <w:tcW w:w="900" w:type="dxa"/>
            <w:vAlign w:val="bottom"/>
            <w:shd w:val="clear" w:color="auto" w:fill="005CB9"/>
          </w:tcPr>
          <w:p>
            <w:pPr>
              <w:jc w:val="right"/>
              <w:ind w:right="298"/>
              <w:spacing w:after="0"/>
              <w:rPr>
                <w:sz w:val="20"/>
                <w:szCs w:val="20"/>
                <w:color w:val="auto"/>
              </w:rPr>
            </w:pPr>
            <w:r>
              <w:rPr>
                <w:rFonts w:ascii="Arial" w:cs="Arial" w:eastAsia="Arial" w:hAnsi="Arial"/>
                <w:sz w:val="12"/>
                <w:szCs w:val="12"/>
                <w:b w:val="1"/>
                <w:bCs w:val="1"/>
                <w:color w:val="FFFFFF"/>
              </w:rPr>
              <w:t>Date</w:t>
            </w:r>
          </w:p>
        </w:tc>
        <w:tc>
          <w:tcPr>
            <w:tcW w:w="720" w:type="dxa"/>
            <w:vAlign w:val="bottom"/>
            <w:gridSpan w:val="2"/>
            <w:shd w:val="clear" w:color="auto" w:fill="005CB9"/>
          </w:tcPr>
          <w:p>
            <w:pPr>
              <w:jc w:val="center"/>
              <w:ind w:right="80"/>
              <w:spacing w:after="0" w:line="165" w:lineRule="exact"/>
              <w:rPr>
                <w:sz w:val="20"/>
                <w:szCs w:val="20"/>
                <w:color w:val="auto"/>
              </w:rPr>
            </w:pPr>
            <w:r>
              <w:rPr>
                <w:rFonts w:ascii="Arial" w:cs="Arial" w:eastAsia="Arial" w:hAnsi="Arial"/>
                <w:sz w:val="12"/>
                <w:szCs w:val="12"/>
                <w:b w:val="1"/>
                <w:bCs w:val="1"/>
                <w:color w:val="FFFFFF"/>
                <w:w w:val="98"/>
              </w:rPr>
              <w:t>Shares</w:t>
            </w:r>
            <w:r>
              <w:rPr>
                <w:rFonts w:ascii="Arial" w:cs="Arial" w:eastAsia="Arial" w:hAnsi="Arial"/>
                <w:sz w:val="18"/>
                <w:szCs w:val="18"/>
                <w:b w:val="1"/>
                <w:bCs w:val="1"/>
                <w:color w:val="FFFFFF"/>
                <w:w w:val="98"/>
                <w:vertAlign w:val="superscript"/>
              </w:rPr>
              <w:t>(D)</w:t>
            </w:r>
          </w:p>
        </w:tc>
        <w:tc>
          <w:tcPr>
            <w:tcW w:w="100" w:type="dxa"/>
            <w:vAlign w:val="bottom"/>
            <w:shd w:val="clear" w:color="auto" w:fill="005CB9"/>
          </w:tcPr>
          <w:p>
            <w:pPr>
              <w:spacing w:after="0"/>
              <w:rPr>
                <w:sz w:val="14"/>
                <w:szCs w:val="14"/>
                <w:color w:val="auto"/>
              </w:rPr>
            </w:pPr>
          </w:p>
        </w:tc>
        <w:tc>
          <w:tcPr>
            <w:tcW w:w="80" w:type="dxa"/>
            <w:vAlign w:val="bottom"/>
            <w:shd w:val="clear" w:color="auto" w:fill="005CB9"/>
          </w:tcPr>
          <w:p>
            <w:pPr>
              <w:spacing w:after="0"/>
              <w:rPr>
                <w:sz w:val="14"/>
                <w:szCs w:val="14"/>
                <w:color w:val="auto"/>
              </w:rPr>
            </w:pPr>
          </w:p>
        </w:tc>
        <w:tc>
          <w:tcPr>
            <w:tcW w:w="780" w:type="dxa"/>
            <w:vAlign w:val="bottom"/>
            <w:gridSpan w:val="2"/>
            <w:shd w:val="clear" w:color="auto" w:fill="005CB9"/>
          </w:tcPr>
          <w:p>
            <w:pPr>
              <w:jc w:val="center"/>
              <w:ind w:right="240"/>
              <w:spacing w:after="0"/>
              <w:rPr>
                <w:sz w:val="20"/>
                <w:szCs w:val="20"/>
                <w:color w:val="auto"/>
              </w:rPr>
            </w:pPr>
            <w:r>
              <w:rPr>
                <w:rFonts w:ascii="Arial" w:cs="Arial" w:eastAsia="Arial" w:hAnsi="Arial"/>
                <w:sz w:val="12"/>
                <w:szCs w:val="12"/>
                <w:b w:val="1"/>
                <w:bCs w:val="1"/>
                <w:color w:val="FFFFFF"/>
              </w:rPr>
              <w:t>Shares</w:t>
            </w:r>
          </w:p>
        </w:tc>
        <w:tc>
          <w:tcPr>
            <w:tcW w:w="20" w:type="dxa"/>
            <w:vAlign w:val="bottom"/>
            <w:shd w:val="clear" w:color="auto" w:fill="005CB9"/>
          </w:tcPr>
          <w:p>
            <w:pPr>
              <w:spacing w:after="0"/>
              <w:rPr>
                <w:sz w:val="14"/>
                <w:szCs w:val="14"/>
                <w:color w:val="auto"/>
              </w:rPr>
            </w:pPr>
          </w:p>
        </w:tc>
        <w:tc>
          <w:tcPr>
            <w:tcW w:w="100" w:type="dxa"/>
            <w:vAlign w:val="bottom"/>
            <w:shd w:val="clear" w:color="auto" w:fill="005CB9"/>
          </w:tcPr>
          <w:p>
            <w:pPr>
              <w:spacing w:after="0"/>
              <w:rPr>
                <w:sz w:val="14"/>
                <w:szCs w:val="14"/>
                <w:color w:val="auto"/>
              </w:rPr>
            </w:pPr>
          </w:p>
        </w:tc>
        <w:tc>
          <w:tcPr>
            <w:tcW w:w="800" w:type="dxa"/>
            <w:vAlign w:val="bottom"/>
            <w:gridSpan w:val="2"/>
            <w:shd w:val="clear" w:color="auto" w:fill="005CB9"/>
          </w:tcPr>
          <w:p>
            <w:pPr>
              <w:jc w:val="right"/>
              <w:ind w:right="180"/>
              <w:spacing w:after="0" w:line="165" w:lineRule="exact"/>
              <w:rPr>
                <w:sz w:val="20"/>
                <w:szCs w:val="20"/>
                <w:color w:val="auto"/>
              </w:rPr>
            </w:pPr>
            <w:r>
              <w:rPr>
                <w:rFonts w:ascii="Arial" w:cs="Arial" w:eastAsia="Arial" w:hAnsi="Arial"/>
                <w:sz w:val="12"/>
                <w:szCs w:val="12"/>
                <w:b w:val="1"/>
                <w:bCs w:val="1"/>
                <w:color w:val="FFFFFF"/>
              </w:rPr>
              <w:t>Shares</w:t>
            </w:r>
            <w:r>
              <w:rPr>
                <w:rFonts w:ascii="Arial" w:cs="Arial" w:eastAsia="Arial" w:hAnsi="Arial"/>
                <w:sz w:val="18"/>
                <w:szCs w:val="18"/>
                <w:b w:val="1"/>
                <w:bCs w:val="1"/>
                <w:color w:val="FFFFFF"/>
                <w:vertAlign w:val="superscript"/>
              </w:rPr>
              <w:t>(D)</w:t>
            </w:r>
          </w:p>
        </w:tc>
        <w:tc>
          <w:tcPr>
            <w:tcW w:w="100" w:type="dxa"/>
            <w:vAlign w:val="bottom"/>
            <w:shd w:val="clear" w:color="auto" w:fill="005CB9"/>
          </w:tcPr>
          <w:p>
            <w:pPr>
              <w:spacing w:after="0"/>
              <w:rPr>
                <w:sz w:val="14"/>
                <w:szCs w:val="14"/>
                <w:color w:val="auto"/>
              </w:rPr>
            </w:pPr>
          </w:p>
        </w:tc>
        <w:tc>
          <w:tcPr>
            <w:tcW w:w="860" w:type="dxa"/>
            <w:vAlign w:val="bottom"/>
            <w:gridSpan w:val="3"/>
            <w:shd w:val="clear" w:color="auto" w:fill="005CB9"/>
          </w:tcPr>
          <w:p>
            <w:pPr>
              <w:jc w:val="center"/>
              <w:ind w:right="160"/>
              <w:spacing w:after="0"/>
              <w:rPr>
                <w:sz w:val="20"/>
                <w:szCs w:val="20"/>
                <w:color w:val="auto"/>
              </w:rPr>
            </w:pPr>
            <w:r>
              <w:rPr>
                <w:rFonts w:ascii="Arial" w:cs="Arial" w:eastAsia="Arial" w:hAnsi="Arial"/>
                <w:sz w:val="12"/>
                <w:szCs w:val="12"/>
                <w:b w:val="1"/>
                <w:bCs w:val="1"/>
                <w:color w:val="FFFFFF"/>
              </w:rPr>
              <w:t>Shares</w:t>
            </w:r>
          </w:p>
        </w:tc>
        <w:tc>
          <w:tcPr>
            <w:tcW w:w="0" w:type="dxa"/>
            <w:vAlign w:val="bottom"/>
          </w:tcPr>
          <w:p>
            <w:pPr>
              <w:spacing w:after="0"/>
              <w:rPr>
                <w:sz w:val="1"/>
                <w:szCs w:val="1"/>
                <w:color w:val="auto"/>
              </w:rPr>
            </w:pPr>
          </w:p>
        </w:tc>
      </w:tr>
      <w:tr>
        <w:trPr>
          <w:trHeight w:val="220"/>
        </w:trPr>
        <w:tc>
          <w:tcPr>
            <w:tcW w:w="3040" w:type="dxa"/>
            <w:vAlign w:val="bottom"/>
          </w:tcPr>
          <w:p>
            <w:pPr>
              <w:ind w:left="80"/>
              <w:spacing w:after="0"/>
              <w:rPr>
                <w:sz w:val="20"/>
                <w:szCs w:val="20"/>
                <w:color w:val="auto"/>
              </w:rPr>
            </w:pPr>
            <w:r>
              <w:rPr>
                <w:rFonts w:ascii="Arial" w:cs="Arial" w:eastAsia="Arial" w:hAnsi="Arial"/>
                <w:sz w:val="12"/>
                <w:szCs w:val="12"/>
                <w:b w:val="1"/>
                <w:bCs w:val="1"/>
                <w:color w:val="auto"/>
              </w:rPr>
              <w:t>Jeffrey W. Martin</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2"/>
                <w:szCs w:val="12"/>
                <w:color w:val="auto"/>
              </w:rPr>
              <w:t>222,547</w:t>
            </w:r>
          </w:p>
        </w:tc>
        <w:tc>
          <w:tcPr>
            <w:tcW w:w="18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580" w:type="dxa"/>
            <w:vAlign w:val="bottom"/>
            <w:gridSpan w:val="2"/>
          </w:tcPr>
          <w:p>
            <w:pPr>
              <w:ind w:left="40"/>
              <w:spacing w:after="0"/>
              <w:rPr>
                <w:sz w:val="20"/>
                <w:szCs w:val="20"/>
                <w:color w:val="auto"/>
              </w:rPr>
            </w:pPr>
            <w:r>
              <w:rPr>
                <w:rFonts w:ascii="Arial" w:cs="Arial" w:eastAsia="Arial" w:hAnsi="Arial"/>
                <w:sz w:val="12"/>
                <w:szCs w:val="12"/>
                <w:color w:val="auto"/>
              </w:rPr>
              <w:t>87.130</w:t>
            </w:r>
          </w:p>
        </w:tc>
        <w:tc>
          <w:tcPr>
            <w:tcW w:w="900" w:type="dxa"/>
            <w:vAlign w:val="bottom"/>
          </w:tcPr>
          <w:p>
            <w:pPr>
              <w:jc w:val="right"/>
              <w:ind w:right="118"/>
              <w:spacing w:after="0"/>
              <w:rPr>
                <w:sz w:val="20"/>
                <w:szCs w:val="20"/>
                <w:color w:val="auto"/>
              </w:rPr>
            </w:pPr>
            <w:r>
              <w:rPr>
                <w:rFonts w:ascii="Arial" w:cs="Arial" w:eastAsia="Arial" w:hAnsi="Arial"/>
                <w:sz w:val="12"/>
                <w:szCs w:val="12"/>
                <w:color w:val="auto"/>
              </w:rPr>
              <w:t>01/01/35</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040" w:type="dxa"/>
            <w:vAlign w:val="bottom"/>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gridSpan w:val="2"/>
            <w:shd w:val="clear" w:color="auto" w:fill="F2F2F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6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4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900" w:type="dxa"/>
            <w:vAlign w:val="bottom"/>
            <w:tcBorders>
              <w:top w:val="single" w:sz="8" w:color="7F7F7F"/>
            </w:tcBorders>
          </w:tcPr>
          <w:p>
            <w:pPr>
              <w:spacing w:after="0"/>
              <w:rPr>
                <w:sz w:val="13"/>
                <w:szCs w:val="13"/>
                <w:color w:val="auto"/>
              </w:rPr>
            </w:pPr>
          </w:p>
        </w:tc>
        <w:tc>
          <w:tcPr>
            <w:tcW w:w="720" w:type="dxa"/>
            <w:vAlign w:val="bottom"/>
            <w:tcBorders>
              <w:top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14,323</w:t>
            </w:r>
          </w:p>
        </w:tc>
        <w:tc>
          <w:tcPr>
            <w:tcW w:w="180" w:type="dxa"/>
            <w:vAlign w:val="bottom"/>
            <w:tcBorders>
              <w:top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7F7F7F"/>
            </w:tcBorders>
            <w:gridSpan w:val="2"/>
          </w:tcPr>
          <w:p>
            <w:pPr>
              <w:jc w:val="right"/>
              <w:ind w:right="160"/>
              <w:spacing w:after="0"/>
              <w:rPr>
                <w:sz w:val="20"/>
                <w:szCs w:val="20"/>
                <w:color w:val="auto"/>
              </w:rPr>
            </w:pPr>
            <w:r>
              <w:rPr>
                <w:rFonts w:ascii="Arial" w:cs="Arial" w:eastAsia="Arial" w:hAnsi="Arial"/>
                <w:sz w:val="12"/>
                <w:szCs w:val="12"/>
                <w:color w:val="auto"/>
              </w:rPr>
              <w:t>1,264,563</w:t>
            </w: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53,885</w:t>
            </w:r>
          </w:p>
        </w:tc>
        <w:tc>
          <w:tcPr>
            <w:tcW w:w="1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F2F2F2"/>
            </w:tcBorders>
            <w:gridSpan w:val="2"/>
            <w:shd w:val="clear" w:color="auto" w:fill="F2F2F2"/>
          </w:tcPr>
          <w:p>
            <w:pPr>
              <w:jc w:val="right"/>
              <w:ind w:right="160"/>
              <w:spacing w:after="0"/>
              <w:rPr>
                <w:sz w:val="20"/>
                <w:szCs w:val="20"/>
                <w:color w:val="auto"/>
              </w:rPr>
            </w:pPr>
            <w:r>
              <w:rPr>
                <w:rFonts w:ascii="Arial" w:cs="Arial" w:eastAsia="Arial" w:hAnsi="Arial"/>
                <w:sz w:val="12"/>
                <w:szCs w:val="12"/>
                <w:color w:val="auto"/>
              </w:rPr>
              <w:t>4,757,513</w:t>
            </w: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01/02/24</w:t>
            </w:r>
          </w:p>
        </w:tc>
        <w:tc>
          <w:tcPr>
            <w:tcW w:w="880" w:type="dxa"/>
            <w:vAlign w:val="bottom"/>
            <w:tcBorders>
              <w:top w:val="single" w:sz="8" w:color="7F7F7F"/>
            </w:tcBorders>
            <w:gridSpan w:val="3"/>
          </w:tcPr>
          <w:p>
            <w:pPr>
              <w:jc w:val="right"/>
              <w:ind w:right="80"/>
              <w:spacing w:after="0"/>
              <w:rPr>
                <w:sz w:val="20"/>
                <w:szCs w:val="20"/>
                <w:color w:val="auto"/>
              </w:rPr>
            </w:pPr>
            <w:r>
              <w:rPr>
                <w:rFonts w:ascii="Arial" w:cs="Arial" w:eastAsia="Arial" w:hAnsi="Arial"/>
                <w:sz w:val="12"/>
                <w:szCs w:val="12"/>
                <w:color w:val="auto"/>
              </w:rPr>
              <w:t>86,056</w:t>
            </w:r>
          </w:p>
        </w:tc>
        <w:tc>
          <w:tcPr>
            <w:tcW w:w="1060" w:type="dxa"/>
            <w:vAlign w:val="bottom"/>
            <w:tcBorders>
              <w:top w:val="single" w:sz="8" w:color="7F7F7F"/>
            </w:tcBorders>
            <w:gridSpan w:val="3"/>
          </w:tcPr>
          <w:p>
            <w:pPr>
              <w:jc w:val="right"/>
              <w:ind w:right="100"/>
              <w:spacing w:after="0"/>
              <w:rPr>
                <w:sz w:val="20"/>
                <w:szCs w:val="20"/>
                <w:color w:val="auto"/>
              </w:rPr>
            </w:pPr>
            <w:r>
              <w:rPr>
                <w:rFonts w:ascii="Arial" w:cs="Arial" w:eastAsia="Arial" w:hAnsi="Arial"/>
                <w:sz w:val="12"/>
                <w:szCs w:val="12"/>
                <w:color w:val="auto"/>
              </w:rPr>
              <w:t>172,110</w:t>
            </w:r>
          </w:p>
        </w:tc>
        <w:tc>
          <w:tcPr>
            <w:tcW w:w="18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7F7F7F"/>
            </w:tcBorders>
            <w:gridSpan w:val="2"/>
          </w:tcPr>
          <w:p>
            <w:pPr>
              <w:ind w:left="40"/>
              <w:spacing w:after="0"/>
              <w:rPr>
                <w:sz w:val="20"/>
                <w:szCs w:val="20"/>
                <w:color w:val="auto"/>
              </w:rPr>
            </w:pPr>
            <w:r>
              <w:rPr>
                <w:rFonts w:ascii="Arial" w:cs="Arial" w:eastAsia="Arial" w:hAnsi="Arial"/>
                <w:sz w:val="12"/>
                <w:szCs w:val="12"/>
                <w:color w:val="auto"/>
              </w:rPr>
              <w:t>75.820</w:t>
            </w:r>
          </w:p>
        </w:tc>
        <w:tc>
          <w:tcPr>
            <w:tcW w:w="900" w:type="dxa"/>
            <w:vAlign w:val="bottom"/>
            <w:tcBorders>
              <w:top w:val="single" w:sz="8" w:color="7F7F7F"/>
            </w:tcBorders>
          </w:tcPr>
          <w:p>
            <w:pPr>
              <w:jc w:val="right"/>
              <w:ind w:right="118"/>
              <w:spacing w:after="0"/>
              <w:rPr>
                <w:sz w:val="20"/>
                <w:szCs w:val="20"/>
                <w:color w:val="auto"/>
              </w:rPr>
            </w:pPr>
            <w:r>
              <w:rPr>
                <w:rFonts w:ascii="Arial" w:cs="Arial" w:eastAsia="Arial" w:hAnsi="Arial"/>
                <w:sz w:val="12"/>
                <w:szCs w:val="12"/>
                <w:color w:val="auto"/>
              </w:rPr>
              <w:t>01/01/34</w:t>
            </w:r>
          </w:p>
        </w:tc>
        <w:tc>
          <w:tcPr>
            <w:tcW w:w="64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6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01/02/24</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gridSpan w:val="2"/>
            <w:shd w:val="clear" w:color="auto" w:fill="F2F2F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01/02/24</w:t>
            </w: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6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4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900" w:type="dxa"/>
            <w:vAlign w:val="bottom"/>
            <w:tcBorders>
              <w:top w:val="single" w:sz="8" w:color="7F7F7F"/>
            </w:tcBorders>
          </w:tcPr>
          <w:p>
            <w:pPr>
              <w:spacing w:after="0"/>
              <w:rPr>
                <w:sz w:val="13"/>
                <w:szCs w:val="13"/>
                <w:color w:val="auto"/>
              </w:rPr>
            </w:pPr>
          </w:p>
        </w:tc>
        <w:tc>
          <w:tcPr>
            <w:tcW w:w="720" w:type="dxa"/>
            <w:vAlign w:val="bottom"/>
            <w:tcBorders>
              <w:top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20,209</w:t>
            </w:r>
          </w:p>
        </w:tc>
        <w:tc>
          <w:tcPr>
            <w:tcW w:w="180" w:type="dxa"/>
            <w:vAlign w:val="bottom"/>
            <w:tcBorders>
              <w:top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7F7F7F"/>
            </w:tcBorders>
            <w:gridSpan w:val="2"/>
          </w:tcPr>
          <w:p>
            <w:pPr>
              <w:jc w:val="right"/>
              <w:ind w:right="160"/>
              <w:spacing w:after="0"/>
              <w:rPr>
                <w:sz w:val="20"/>
                <w:szCs w:val="20"/>
                <w:color w:val="auto"/>
              </w:rPr>
            </w:pPr>
            <w:r>
              <w:rPr>
                <w:rFonts w:ascii="Arial" w:cs="Arial" w:eastAsia="Arial" w:hAnsi="Arial"/>
                <w:sz w:val="12"/>
                <w:szCs w:val="12"/>
                <w:color w:val="auto"/>
              </w:rPr>
              <w:t>1,784,214</w:t>
            </w: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01/02/24</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59,216</w:t>
            </w:r>
          </w:p>
        </w:tc>
        <w:tc>
          <w:tcPr>
            <w:tcW w:w="1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F2F2F2"/>
            </w:tcBorders>
            <w:gridSpan w:val="2"/>
            <w:shd w:val="clear" w:color="auto" w:fill="F2F2F2"/>
          </w:tcPr>
          <w:p>
            <w:pPr>
              <w:jc w:val="right"/>
              <w:ind w:right="160"/>
              <w:spacing w:after="0"/>
              <w:rPr>
                <w:sz w:val="20"/>
                <w:szCs w:val="20"/>
                <w:color w:val="auto"/>
              </w:rPr>
            </w:pPr>
            <w:r>
              <w:rPr>
                <w:rFonts w:ascii="Arial" w:cs="Arial" w:eastAsia="Arial" w:hAnsi="Arial"/>
                <w:sz w:val="12"/>
                <w:szCs w:val="12"/>
                <w:color w:val="auto"/>
              </w:rPr>
              <w:t>5,228,216</w:t>
            </w: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01/03/23</w:t>
            </w:r>
          </w:p>
        </w:tc>
        <w:tc>
          <w:tcPr>
            <w:tcW w:w="880" w:type="dxa"/>
            <w:vAlign w:val="bottom"/>
            <w:tcBorders>
              <w:top w:val="single" w:sz="8" w:color="7F7F7F"/>
            </w:tcBorders>
            <w:gridSpan w:val="3"/>
          </w:tcPr>
          <w:p>
            <w:pPr>
              <w:jc w:val="right"/>
              <w:ind w:right="80"/>
              <w:spacing w:after="0"/>
              <w:rPr>
                <w:sz w:val="20"/>
                <w:szCs w:val="20"/>
                <w:color w:val="auto"/>
              </w:rPr>
            </w:pPr>
            <w:r>
              <w:rPr>
                <w:rFonts w:ascii="Arial" w:cs="Arial" w:eastAsia="Arial" w:hAnsi="Arial"/>
                <w:sz w:val="12"/>
                <w:szCs w:val="12"/>
                <w:color w:val="auto"/>
              </w:rPr>
              <w:t>146,076</w:t>
            </w:r>
          </w:p>
        </w:tc>
        <w:tc>
          <w:tcPr>
            <w:tcW w:w="1060" w:type="dxa"/>
            <w:vAlign w:val="bottom"/>
            <w:tcBorders>
              <w:top w:val="single" w:sz="8" w:color="7F7F7F"/>
            </w:tcBorders>
            <w:gridSpan w:val="3"/>
          </w:tcPr>
          <w:p>
            <w:pPr>
              <w:jc w:val="right"/>
              <w:ind w:right="100"/>
              <w:spacing w:after="0"/>
              <w:rPr>
                <w:sz w:val="20"/>
                <w:szCs w:val="20"/>
                <w:color w:val="auto"/>
              </w:rPr>
            </w:pPr>
            <w:r>
              <w:rPr>
                <w:rFonts w:ascii="Arial" w:cs="Arial" w:eastAsia="Arial" w:hAnsi="Arial"/>
                <w:sz w:val="12"/>
                <w:szCs w:val="12"/>
                <w:color w:val="auto"/>
              </w:rPr>
              <w:t>73,036</w:t>
            </w:r>
          </w:p>
        </w:tc>
        <w:tc>
          <w:tcPr>
            <w:tcW w:w="18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7F7F7F"/>
            </w:tcBorders>
            <w:gridSpan w:val="2"/>
          </w:tcPr>
          <w:p>
            <w:pPr>
              <w:ind w:left="40"/>
              <w:spacing w:after="0"/>
              <w:rPr>
                <w:sz w:val="20"/>
                <w:szCs w:val="20"/>
                <w:color w:val="auto"/>
              </w:rPr>
            </w:pPr>
            <w:r>
              <w:rPr>
                <w:rFonts w:ascii="Arial" w:cs="Arial" w:eastAsia="Arial" w:hAnsi="Arial"/>
                <w:sz w:val="12"/>
                <w:szCs w:val="12"/>
                <w:color w:val="auto"/>
              </w:rPr>
              <w:t>76.855</w:t>
            </w:r>
          </w:p>
        </w:tc>
        <w:tc>
          <w:tcPr>
            <w:tcW w:w="900" w:type="dxa"/>
            <w:vAlign w:val="bottom"/>
            <w:tcBorders>
              <w:top w:val="single" w:sz="8" w:color="7F7F7F"/>
            </w:tcBorders>
          </w:tcPr>
          <w:p>
            <w:pPr>
              <w:jc w:val="right"/>
              <w:ind w:right="118"/>
              <w:spacing w:after="0"/>
              <w:rPr>
                <w:sz w:val="20"/>
                <w:szCs w:val="20"/>
                <w:color w:val="auto"/>
              </w:rPr>
            </w:pPr>
            <w:r>
              <w:rPr>
                <w:rFonts w:ascii="Arial" w:cs="Arial" w:eastAsia="Arial" w:hAnsi="Arial"/>
                <w:sz w:val="12"/>
                <w:szCs w:val="12"/>
                <w:color w:val="auto"/>
              </w:rPr>
              <w:t>01/01/33</w:t>
            </w:r>
          </w:p>
        </w:tc>
        <w:tc>
          <w:tcPr>
            <w:tcW w:w="64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6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720" w:type="dxa"/>
            <w:vAlign w:val="bottom"/>
            <w:tcBorders>
              <w:bottom w:val="single" w:sz="8" w:color="7F7F7F"/>
            </w:tcBorders>
            <w:shd w:val="clear" w:color="auto" w:fill="F2F2F2"/>
          </w:tcPr>
          <w:p>
            <w:pPr>
              <w:jc w:val="right"/>
              <w:ind w:right="18"/>
              <w:spacing w:after="0"/>
              <w:rPr>
                <w:sz w:val="20"/>
                <w:szCs w:val="20"/>
                <w:color w:val="auto"/>
              </w:rPr>
            </w:pPr>
            <w:r>
              <w:rPr>
                <w:rFonts w:ascii="Arial" w:cs="Arial" w:eastAsia="Arial" w:hAnsi="Arial"/>
                <w:sz w:val="12"/>
                <w:szCs w:val="12"/>
                <w:color w:val="auto"/>
              </w:rPr>
              <w:t>01/03/23</w:t>
            </w: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6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420" w:type="dxa"/>
            <w:vAlign w:val="bottom"/>
            <w:tcBorders>
              <w:bottom w:val="single" w:sz="8" w:color="7F7F7F"/>
            </w:tcBorders>
            <w:shd w:val="clear" w:color="auto" w:fill="F2F2F2"/>
          </w:tcPr>
          <w:p>
            <w:pPr>
              <w:spacing w:after="0"/>
              <w:rPr>
                <w:sz w:val="16"/>
                <w:szCs w:val="16"/>
                <w:color w:val="auto"/>
              </w:rPr>
            </w:pPr>
          </w:p>
        </w:tc>
        <w:tc>
          <w:tcPr>
            <w:tcW w:w="160" w:type="dxa"/>
            <w:vAlign w:val="bottom"/>
            <w:tcBorders>
              <w:bottom w:val="single" w:sz="8" w:color="7F7F7F"/>
            </w:tcBorders>
            <w:shd w:val="clear" w:color="auto" w:fill="F2F2F2"/>
          </w:tcPr>
          <w:p>
            <w:pPr>
              <w:spacing w:after="0"/>
              <w:rPr>
                <w:sz w:val="16"/>
                <w:szCs w:val="16"/>
                <w:color w:val="auto"/>
              </w:rPr>
            </w:pPr>
          </w:p>
        </w:tc>
        <w:tc>
          <w:tcPr>
            <w:tcW w:w="900" w:type="dxa"/>
            <w:vAlign w:val="bottom"/>
            <w:tcBorders>
              <w:bottom w:val="single" w:sz="8" w:color="7F7F7F"/>
            </w:tcBorders>
            <w:shd w:val="clear" w:color="auto" w:fill="F2F2F2"/>
          </w:tcPr>
          <w:p>
            <w:pPr>
              <w:spacing w:after="0"/>
              <w:rPr>
                <w:sz w:val="16"/>
                <w:szCs w:val="16"/>
                <w:color w:val="auto"/>
              </w:rPr>
            </w:pPr>
          </w:p>
        </w:tc>
        <w:tc>
          <w:tcPr>
            <w:tcW w:w="720" w:type="dxa"/>
            <w:vAlign w:val="bottom"/>
            <w:tcBorders>
              <w:bottom w:val="single" w:sz="8" w:color="7F7F7F"/>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15,891</w:t>
            </w:r>
          </w:p>
        </w:tc>
        <w:tc>
          <w:tcPr>
            <w:tcW w:w="180" w:type="dxa"/>
            <w:vAlign w:val="bottom"/>
            <w:tcBorders>
              <w:bottom w:val="single" w:sz="8" w:color="7F7F7F"/>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7F7F7F"/>
            </w:tcBorders>
            <w:gridSpan w:val="2"/>
            <w:shd w:val="clear" w:color="auto" w:fill="F2F2F2"/>
          </w:tcPr>
          <w:p>
            <w:pPr>
              <w:jc w:val="right"/>
              <w:ind w:right="40"/>
              <w:spacing w:after="0" w:line="194" w:lineRule="exact"/>
              <w:rPr>
                <w:sz w:val="20"/>
                <w:szCs w:val="20"/>
                <w:color w:val="auto"/>
              </w:rPr>
            </w:pPr>
            <w:r>
              <w:rPr>
                <w:rFonts w:ascii="Arial" w:cs="Arial" w:eastAsia="Arial" w:hAnsi="Arial"/>
                <w:sz w:val="12"/>
                <w:szCs w:val="12"/>
                <w:color w:val="auto"/>
              </w:rPr>
              <w:t>1,403,040</w:t>
            </w:r>
            <w:r>
              <w:rPr>
                <w:rFonts w:ascii="Arial" w:cs="Arial" w:eastAsia="Arial" w:hAnsi="Arial"/>
                <w:sz w:val="18"/>
                <w:szCs w:val="18"/>
                <w:color w:val="auto"/>
                <w:vertAlign w:val="superscript"/>
              </w:rPr>
              <w:t>(F)</w:t>
            </w:r>
          </w:p>
        </w:tc>
        <w:tc>
          <w:tcPr>
            <w:tcW w:w="2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260" w:type="dxa"/>
            <w:vAlign w:val="bottom"/>
            <w:tcBorders>
              <w:bottom w:val="single" w:sz="8" w:color="7F7F7F"/>
            </w:tcBorders>
            <w:shd w:val="clear" w:color="auto" w:fill="F2F2F2"/>
          </w:tcPr>
          <w:p>
            <w:pPr>
              <w:spacing w:after="0"/>
              <w:rPr>
                <w:sz w:val="16"/>
                <w:szCs w:val="16"/>
                <w:color w:val="auto"/>
              </w:rPr>
            </w:pPr>
          </w:p>
        </w:tc>
        <w:tc>
          <w:tcPr>
            <w:tcW w:w="460" w:type="dxa"/>
            <w:vAlign w:val="bottom"/>
            <w:tcBorders>
              <w:bottom w:val="single" w:sz="8" w:color="7F7F7F"/>
            </w:tcBorders>
            <w:shd w:val="clear" w:color="auto" w:fill="F2F2F2"/>
          </w:tcPr>
          <w:p>
            <w:pPr>
              <w:spacing w:after="0"/>
              <w:rPr>
                <w:sz w:val="16"/>
                <w:szCs w:val="16"/>
                <w:color w:val="auto"/>
              </w:rPr>
            </w:pPr>
          </w:p>
        </w:tc>
        <w:tc>
          <w:tcPr>
            <w:tcW w:w="140" w:type="dxa"/>
            <w:vAlign w:val="bottom"/>
            <w:tcBorders>
              <w:bottom w:val="single" w:sz="8" w:color="7F7F7F"/>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720" w:type="dxa"/>
            <w:vAlign w:val="bottom"/>
            <w:tcBorders>
              <w:bottom w:val="single" w:sz="8" w:color="7F7F7F"/>
            </w:tcBorders>
          </w:tcPr>
          <w:p>
            <w:pPr>
              <w:jc w:val="right"/>
              <w:ind w:right="18"/>
              <w:spacing w:after="0"/>
              <w:rPr>
                <w:sz w:val="20"/>
                <w:szCs w:val="20"/>
                <w:color w:val="auto"/>
              </w:rPr>
            </w:pPr>
            <w:r>
              <w:rPr>
                <w:rFonts w:ascii="Arial" w:cs="Arial" w:eastAsia="Arial" w:hAnsi="Arial"/>
                <w:sz w:val="12"/>
                <w:szCs w:val="12"/>
                <w:color w:val="auto"/>
              </w:rPr>
              <w:t>01/03/23</w:t>
            </w:r>
          </w:p>
        </w:tc>
        <w:tc>
          <w:tcPr>
            <w:tcW w:w="100" w:type="dxa"/>
            <w:vAlign w:val="bottom"/>
            <w:tcBorders>
              <w:bottom w:val="single" w:sz="8" w:color="7F7F7F"/>
            </w:tcBorders>
          </w:tcPr>
          <w:p>
            <w:pPr>
              <w:spacing w:after="0"/>
              <w:rPr>
                <w:sz w:val="16"/>
                <w:szCs w:val="16"/>
                <w:color w:val="auto"/>
              </w:rPr>
            </w:pPr>
          </w:p>
        </w:tc>
        <w:tc>
          <w:tcPr>
            <w:tcW w:w="70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6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42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22,188</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7F7F7F"/>
            </w:tcBorders>
            <w:gridSpan w:val="2"/>
          </w:tcPr>
          <w:p>
            <w:pPr>
              <w:jc w:val="right"/>
              <w:ind w:right="40"/>
              <w:spacing w:after="0" w:line="194" w:lineRule="exact"/>
              <w:rPr>
                <w:sz w:val="20"/>
                <w:szCs w:val="20"/>
                <w:color w:val="auto"/>
              </w:rPr>
            </w:pPr>
            <w:r>
              <w:rPr>
                <w:rFonts w:ascii="Arial" w:cs="Arial" w:eastAsia="Arial" w:hAnsi="Arial"/>
                <w:sz w:val="12"/>
                <w:szCs w:val="12"/>
                <w:color w:val="auto"/>
              </w:rPr>
              <w:t>1,958,961</w:t>
            </w:r>
            <w:r>
              <w:rPr>
                <w:rFonts w:ascii="Arial" w:cs="Arial" w:eastAsia="Arial" w:hAnsi="Arial"/>
                <w:sz w:val="18"/>
                <w:szCs w:val="18"/>
                <w:color w:val="auto"/>
                <w:vertAlign w:val="superscript"/>
              </w:rPr>
              <w:t>(F)</w:t>
            </w: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7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60" w:type="dxa"/>
            <w:vAlign w:val="bottom"/>
            <w:tcBorders>
              <w:bottom w:val="single" w:sz="8" w:color="7F7F7F"/>
            </w:tcBorders>
          </w:tcPr>
          <w:p>
            <w:pPr>
              <w:spacing w:after="0"/>
              <w:rPr>
                <w:sz w:val="16"/>
                <w:szCs w:val="16"/>
                <w:color w:val="auto"/>
              </w:rPr>
            </w:pPr>
          </w:p>
        </w:tc>
        <w:tc>
          <w:tcPr>
            <w:tcW w:w="46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720" w:type="dxa"/>
            <w:vAlign w:val="bottom"/>
            <w:tcBorders>
              <w:bottom w:val="single" w:sz="8" w:color="7F7F7F"/>
            </w:tcBorders>
            <w:shd w:val="clear" w:color="auto" w:fill="F2F2F2"/>
          </w:tcPr>
          <w:p>
            <w:pPr>
              <w:jc w:val="right"/>
              <w:ind w:right="18"/>
              <w:spacing w:after="0"/>
              <w:rPr>
                <w:sz w:val="20"/>
                <w:szCs w:val="20"/>
                <w:color w:val="auto"/>
              </w:rPr>
            </w:pPr>
            <w:r>
              <w:rPr>
                <w:rFonts w:ascii="Arial" w:cs="Arial" w:eastAsia="Arial" w:hAnsi="Arial"/>
                <w:sz w:val="12"/>
                <w:szCs w:val="12"/>
                <w:color w:val="auto"/>
              </w:rPr>
              <w:t>01/03/23</w:t>
            </w: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6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420" w:type="dxa"/>
            <w:vAlign w:val="bottom"/>
            <w:tcBorders>
              <w:bottom w:val="single" w:sz="8" w:color="7F7F7F"/>
            </w:tcBorders>
            <w:shd w:val="clear" w:color="auto" w:fill="F2F2F2"/>
          </w:tcPr>
          <w:p>
            <w:pPr>
              <w:spacing w:after="0"/>
              <w:rPr>
                <w:sz w:val="16"/>
                <w:szCs w:val="16"/>
                <w:color w:val="auto"/>
              </w:rPr>
            </w:pPr>
          </w:p>
        </w:tc>
        <w:tc>
          <w:tcPr>
            <w:tcW w:w="160" w:type="dxa"/>
            <w:vAlign w:val="bottom"/>
            <w:tcBorders>
              <w:bottom w:val="single" w:sz="8" w:color="7F7F7F"/>
            </w:tcBorders>
            <w:shd w:val="clear" w:color="auto" w:fill="F2F2F2"/>
          </w:tcPr>
          <w:p>
            <w:pPr>
              <w:spacing w:after="0"/>
              <w:rPr>
                <w:sz w:val="16"/>
                <w:szCs w:val="16"/>
                <w:color w:val="auto"/>
              </w:rPr>
            </w:pPr>
          </w:p>
        </w:tc>
        <w:tc>
          <w:tcPr>
            <w:tcW w:w="900" w:type="dxa"/>
            <w:vAlign w:val="bottom"/>
            <w:tcBorders>
              <w:bottom w:val="single" w:sz="8" w:color="7F7F7F"/>
            </w:tcBorders>
            <w:shd w:val="clear" w:color="auto" w:fill="F2F2F2"/>
          </w:tcPr>
          <w:p>
            <w:pPr>
              <w:spacing w:after="0"/>
              <w:rPr>
                <w:sz w:val="16"/>
                <w:szCs w:val="16"/>
                <w:color w:val="auto"/>
              </w:rPr>
            </w:pPr>
          </w:p>
        </w:tc>
        <w:tc>
          <w:tcPr>
            <w:tcW w:w="720" w:type="dxa"/>
            <w:vAlign w:val="bottom"/>
            <w:tcBorders>
              <w:bottom w:val="single" w:sz="8" w:color="7F7F7F"/>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780" w:type="dxa"/>
            <w:vAlign w:val="bottom"/>
            <w:tcBorders>
              <w:bottom w:val="single" w:sz="8" w:color="7F7F7F"/>
            </w:tcBorders>
            <w:gridSpan w:val="2"/>
            <w:shd w:val="clear" w:color="auto" w:fill="F2F2F2"/>
          </w:tcPr>
          <w:p>
            <w:pPr>
              <w:jc w:val="center"/>
              <w:ind w:left="419"/>
              <w:spacing w:after="0" w:line="194" w:lineRule="exact"/>
              <w:rPr>
                <w:sz w:val="20"/>
                <w:szCs w:val="20"/>
                <w:color w:val="auto"/>
              </w:rPr>
            </w:pPr>
            <w:r>
              <w:rPr>
                <w:rFonts w:ascii="Arial" w:cs="Arial" w:eastAsia="Arial" w:hAnsi="Arial"/>
                <w:sz w:val="22"/>
                <w:szCs w:val="22"/>
                <w:color w:val="auto"/>
                <w:w w:val="93"/>
                <w:vertAlign w:val="subscript"/>
              </w:rPr>
              <w:t>—</w:t>
            </w:r>
            <w:r>
              <w:rPr>
                <w:rFonts w:ascii="Arial" w:cs="Arial" w:eastAsia="Arial" w:hAnsi="Arial"/>
                <w:sz w:val="9"/>
                <w:szCs w:val="9"/>
                <w:color w:val="auto"/>
                <w:w w:val="93"/>
              </w:rPr>
              <w:t>(G)</w:t>
            </w:r>
          </w:p>
        </w:tc>
        <w:tc>
          <w:tcPr>
            <w:tcW w:w="2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260" w:type="dxa"/>
            <w:vAlign w:val="bottom"/>
            <w:tcBorders>
              <w:bottom w:val="single" w:sz="8" w:color="7F7F7F"/>
            </w:tcBorders>
            <w:shd w:val="clear" w:color="auto" w:fill="F2F2F2"/>
          </w:tcPr>
          <w:p>
            <w:pPr>
              <w:spacing w:after="0"/>
              <w:rPr>
                <w:sz w:val="16"/>
                <w:szCs w:val="16"/>
                <w:color w:val="auto"/>
              </w:rPr>
            </w:pPr>
          </w:p>
        </w:tc>
        <w:tc>
          <w:tcPr>
            <w:tcW w:w="460" w:type="dxa"/>
            <w:vAlign w:val="bottom"/>
            <w:tcBorders>
              <w:bottom w:val="single" w:sz="8" w:color="7F7F7F"/>
            </w:tcBorders>
            <w:shd w:val="clear" w:color="auto" w:fill="F2F2F2"/>
          </w:tcPr>
          <w:p>
            <w:pPr>
              <w:spacing w:after="0"/>
              <w:rPr>
                <w:sz w:val="16"/>
                <w:szCs w:val="16"/>
                <w:color w:val="auto"/>
              </w:rPr>
            </w:pPr>
          </w:p>
        </w:tc>
        <w:tc>
          <w:tcPr>
            <w:tcW w:w="140" w:type="dxa"/>
            <w:vAlign w:val="bottom"/>
            <w:tcBorders>
              <w:bottom w:val="single" w:sz="8" w:color="7F7F7F"/>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01/03/22</w:t>
            </w:r>
          </w:p>
        </w:tc>
        <w:tc>
          <w:tcPr>
            <w:tcW w:w="880" w:type="dxa"/>
            <w:vAlign w:val="bottom"/>
            <w:gridSpan w:val="3"/>
          </w:tcPr>
          <w:p>
            <w:pPr>
              <w:jc w:val="right"/>
              <w:ind w:right="80"/>
              <w:spacing w:after="0"/>
              <w:rPr>
                <w:sz w:val="20"/>
                <w:szCs w:val="20"/>
                <w:color w:val="auto"/>
              </w:rPr>
            </w:pPr>
            <w:r>
              <w:rPr>
                <w:rFonts w:ascii="Arial" w:cs="Arial" w:eastAsia="Arial" w:hAnsi="Arial"/>
                <w:sz w:val="12"/>
                <w:szCs w:val="12"/>
                <w:color w:val="auto"/>
              </w:rPr>
              <w:t>288,142</w:t>
            </w:r>
          </w:p>
        </w:tc>
        <w:tc>
          <w:tcPr>
            <w:tcW w:w="10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580" w:type="dxa"/>
            <w:vAlign w:val="bottom"/>
            <w:gridSpan w:val="2"/>
          </w:tcPr>
          <w:p>
            <w:pPr>
              <w:ind w:left="40"/>
              <w:spacing w:after="0"/>
              <w:rPr>
                <w:sz w:val="20"/>
                <w:szCs w:val="20"/>
                <w:color w:val="auto"/>
              </w:rPr>
            </w:pPr>
            <w:r>
              <w:rPr>
                <w:rFonts w:ascii="Arial" w:cs="Arial" w:eastAsia="Arial" w:hAnsi="Arial"/>
                <w:sz w:val="12"/>
                <w:szCs w:val="12"/>
                <w:color w:val="auto"/>
              </w:rPr>
              <w:t>65.995</w:t>
            </w:r>
          </w:p>
        </w:tc>
        <w:tc>
          <w:tcPr>
            <w:tcW w:w="900" w:type="dxa"/>
            <w:vAlign w:val="bottom"/>
          </w:tcPr>
          <w:p>
            <w:pPr>
              <w:jc w:val="right"/>
              <w:ind w:right="118"/>
              <w:spacing w:after="0"/>
              <w:rPr>
                <w:sz w:val="20"/>
                <w:szCs w:val="20"/>
                <w:color w:val="auto"/>
              </w:rPr>
            </w:pPr>
            <w:r>
              <w:rPr>
                <w:rFonts w:ascii="Arial" w:cs="Arial" w:eastAsia="Arial" w:hAnsi="Arial"/>
                <w:sz w:val="12"/>
                <w:szCs w:val="12"/>
                <w:color w:val="auto"/>
              </w:rPr>
              <w:t>01/01/32</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gridSpan w:val="2"/>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01/04/21</w:t>
            </w:r>
          </w:p>
        </w:tc>
        <w:tc>
          <w:tcPr>
            <w:tcW w:w="880" w:type="dxa"/>
            <w:vAlign w:val="bottom"/>
            <w:tcBorders>
              <w:bottom w:val="single" w:sz="8" w:color="F2F2F2"/>
            </w:tcBorders>
            <w:gridSpan w:val="3"/>
            <w:shd w:val="clear" w:color="auto" w:fill="F2F2F2"/>
          </w:tcPr>
          <w:p>
            <w:pPr>
              <w:jc w:val="right"/>
              <w:ind w:right="80"/>
              <w:spacing w:after="0"/>
              <w:rPr>
                <w:sz w:val="20"/>
                <w:szCs w:val="20"/>
                <w:color w:val="auto"/>
              </w:rPr>
            </w:pPr>
            <w:r>
              <w:rPr>
                <w:rFonts w:ascii="Arial" w:cs="Arial" w:eastAsia="Arial" w:hAnsi="Arial"/>
                <w:sz w:val="12"/>
                <w:szCs w:val="12"/>
                <w:color w:val="auto"/>
              </w:rPr>
              <w:t>297,152</w:t>
            </w:r>
          </w:p>
        </w:tc>
        <w:tc>
          <w:tcPr>
            <w:tcW w:w="100" w:type="dxa"/>
            <w:vAlign w:val="bottom"/>
            <w:tcBorders>
              <w:bottom w:val="single" w:sz="8" w:color="F2F2F2"/>
            </w:tcBorders>
            <w:shd w:val="clear" w:color="auto" w:fill="F2F2F2"/>
          </w:tcPr>
          <w:p>
            <w:pPr>
              <w:spacing w:after="0"/>
              <w:rPr>
                <w:sz w:val="16"/>
                <w:szCs w:val="16"/>
                <w:color w:val="auto"/>
              </w:rPr>
            </w:pPr>
          </w:p>
        </w:tc>
        <w:tc>
          <w:tcPr>
            <w:tcW w:w="960" w:type="dxa"/>
            <w:vAlign w:val="bottom"/>
            <w:tcBorders>
              <w:bottom w:val="single" w:sz="8" w:color="F2F2F2"/>
            </w:tcBorders>
            <w:gridSpan w:val="2"/>
            <w:shd w:val="clear" w:color="auto" w:fill="F2F2F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F2F2F2"/>
            </w:tcBorders>
            <w:gridSpan w:val="2"/>
            <w:shd w:val="clear" w:color="auto" w:fill="F2F2F2"/>
          </w:tcPr>
          <w:p>
            <w:pPr>
              <w:ind w:left="8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F2F2F2"/>
            </w:tcBorders>
            <w:gridSpan w:val="2"/>
            <w:shd w:val="clear" w:color="auto" w:fill="F2F2F2"/>
          </w:tcPr>
          <w:p>
            <w:pPr>
              <w:ind w:left="40"/>
              <w:spacing w:after="0"/>
              <w:rPr>
                <w:sz w:val="20"/>
                <w:szCs w:val="20"/>
                <w:color w:val="auto"/>
              </w:rPr>
            </w:pPr>
            <w:r>
              <w:rPr>
                <w:rFonts w:ascii="Arial" w:cs="Arial" w:eastAsia="Arial" w:hAnsi="Arial"/>
                <w:sz w:val="12"/>
                <w:szCs w:val="12"/>
                <w:color w:val="auto"/>
              </w:rPr>
              <w:t>61.900</w:t>
            </w:r>
          </w:p>
        </w:tc>
        <w:tc>
          <w:tcPr>
            <w:tcW w:w="900" w:type="dxa"/>
            <w:vAlign w:val="bottom"/>
            <w:tcBorders>
              <w:bottom w:val="single" w:sz="8" w:color="F2F2F2"/>
            </w:tcBorders>
            <w:shd w:val="clear" w:color="auto" w:fill="F2F2F2"/>
          </w:tcPr>
          <w:p>
            <w:pPr>
              <w:jc w:val="right"/>
              <w:ind w:right="118"/>
              <w:spacing w:after="0"/>
              <w:rPr>
                <w:sz w:val="20"/>
                <w:szCs w:val="20"/>
                <w:color w:val="auto"/>
              </w:rPr>
            </w:pPr>
            <w:r>
              <w:rPr>
                <w:rFonts w:ascii="Arial" w:cs="Arial" w:eastAsia="Arial" w:hAnsi="Arial"/>
                <w:sz w:val="12"/>
                <w:szCs w:val="12"/>
                <w:color w:val="auto"/>
              </w:rPr>
              <w:t>01/01/31</w:t>
            </w:r>
          </w:p>
        </w:tc>
        <w:tc>
          <w:tcPr>
            <w:tcW w:w="64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6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01/02/20</w:t>
            </w:r>
          </w:p>
        </w:tc>
        <w:tc>
          <w:tcPr>
            <w:tcW w:w="880" w:type="dxa"/>
            <w:vAlign w:val="bottom"/>
            <w:tcBorders>
              <w:top w:val="single" w:sz="8" w:color="7F7F7F"/>
            </w:tcBorders>
            <w:gridSpan w:val="3"/>
          </w:tcPr>
          <w:p>
            <w:pPr>
              <w:jc w:val="right"/>
              <w:ind w:right="80"/>
              <w:spacing w:after="0"/>
              <w:rPr>
                <w:sz w:val="20"/>
                <w:szCs w:val="20"/>
                <w:color w:val="auto"/>
              </w:rPr>
            </w:pPr>
            <w:r>
              <w:rPr>
                <w:rFonts w:ascii="Arial" w:cs="Arial" w:eastAsia="Arial" w:hAnsi="Arial"/>
                <w:sz w:val="12"/>
                <w:szCs w:val="12"/>
                <w:color w:val="auto"/>
              </w:rPr>
              <w:t>212,552</w:t>
            </w:r>
          </w:p>
        </w:tc>
        <w:tc>
          <w:tcPr>
            <w:tcW w:w="100" w:type="dxa"/>
            <w:vAlign w:val="bottom"/>
            <w:tcBorders>
              <w:top w:val="single" w:sz="8" w:color="7F7F7F"/>
            </w:tcBorders>
          </w:tcPr>
          <w:p>
            <w:pPr>
              <w:spacing w:after="0"/>
              <w:rPr>
                <w:sz w:val="13"/>
                <w:szCs w:val="13"/>
                <w:color w:val="auto"/>
              </w:rPr>
            </w:pPr>
          </w:p>
        </w:tc>
        <w:tc>
          <w:tcPr>
            <w:tcW w:w="960" w:type="dxa"/>
            <w:vAlign w:val="bottom"/>
            <w:tcBorders>
              <w:top w:val="single" w:sz="8" w:color="7F7F7F"/>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8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7F7F7F"/>
            </w:tcBorders>
            <w:gridSpan w:val="2"/>
          </w:tcPr>
          <w:p>
            <w:pPr>
              <w:ind w:left="40"/>
              <w:spacing w:after="0"/>
              <w:rPr>
                <w:sz w:val="20"/>
                <w:szCs w:val="20"/>
                <w:color w:val="auto"/>
              </w:rPr>
            </w:pPr>
            <w:r>
              <w:rPr>
                <w:rFonts w:ascii="Arial" w:cs="Arial" w:eastAsia="Arial" w:hAnsi="Arial"/>
                <w:sz w:val="12"/>
                <w:szCs w:val="12"/>
                <w:color w:val="auto"/>
              </w:rPr>
              <w:t>74.560</w:t>
            </w:r>
          </w:p>
        </w:tc>
        <w:tc>
          <w:tcPr>
            <w:tcW w:w="900" w:type="dxa"/>
            <w:vAlign w:val="bottom"/>
            <w:tcBorders>
              <w:top w:val="single" w:sz="8" w:color="7F7F7F"/>
            </w:tcBorders>
          </w:tcPr>
          <w:p>
            <w:pPr>
              <w:jc w:val="right"/>
              <w:ind w:right="118"/>
              <w:spacing w:after="0"/>
              <w:rPr>
                <w:sz w:val="20"/>
                <w:szCs w:val="20"/>
                <w:color w:val="auto"/>
              </w:rPr>
            </w:pPr>
            <w:r>
              <w:rPr>
                <w:rFonts w:ascii="Arial" w:cs="Arial" w:eastAsia="Arial" w:hAnsi="Arial"/>
                <w:sz w:val="12"/>
                <w:szCs w:val="12"/>
                <w:color w:val="auto"/>
              </w:rPr>
              <w:t>01/01/30</w:t>
            </w:r>
          </w:p>
        </w:tc>
        <w:tc>
          <w:tcPr>
            <w:tcW w:w="64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6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800" w:type="dxa"/>
            <w:vAlign w:val="bottom"/>
            <w:tcBorders>
              <w:bottom w:val="single" w:sz="8" w:color="7F7F7F"/>
            </w:tcBorders>
            <w:gridSpan w:val="2"/>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3040" w:type="dxa"/>
            <w:vAlign w:val="bottom"/>
          </w:tcPr>
          <w:p>
            <w:pPr>
              <w:spacing w:after="0"/>
              <w:rPr>
                <w:sz w:val="11"/>
                <w:szCs w:val="11"/>
                <w:color w:val="auto"/>
              </w:rPr>
            </w:pPr>
          </w:p>
        </w:tc>
        <w:tc>
          <w:tcPr>
            <w:tcW w:w="720" w:type="dxa"/>
            <w:vAlign w:val="bottom"/>
            <w:shd w:val="clear" w:color="auto" w:fill="F2F2F2"/>
          </w:tcPr>
          <w:p>
            <w:pPr>
              <w:jc w:val="right"/>
              <w:ind w:right="18"/>
              <w:spacing w:after="0" w:line="128" w:lineRule="exact"/>
              <w:rPr>
                <w:sz w:val="20"/>
                <w:szCs w:val="20"/>
                <w:color w:val="auto"/>
              </w:rPr>
            </w:pPr>
            <w:r>
              <w:rPr>
                <w:rFonts w:ascii="Arial" w:cs="Arial" w:eastAsia="Arial" w:hAnsi="Arial"/>
                <w:sz w:val="12"/>
                <w:szCs w:val="12"/>
                <w:color w:val="auto"/>
              </w:rPr>
              <w:t>01/02/19</w:t>
            </w: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jc w:val="right"/>
              <w:spacing w:after="0" w:line="128" w:lineRule="exact"/>
              <w:rPr>
                <w:sz w:val="20"/>
                <w:szCs w:val="20"/>
                <w:color w:val="auto"/>
              </w:rPr>
            </w:pPr>
            <w:r>
              <w:rPr>
                <w:rFonts w:ascii="Arial" w:cs="Arial" w:eastAsia="Arial" w:hAnsi="Arial"/>
                <w:sz w:val="12"/>
                <w:szCs w:val="12"/>
                <w:color w:val="auto"/>
              </w:rPr>
              <w:t>272,728</w:t>
            </w:r>
          </w:p>
        </w:tc>
        <w:tc>
          <w:tcPr>
            <w:tcW w:w="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860" w:type="dxa"/>
            <w:vAlign w:val="bottom"/>
            <w:shd w:val="clear" w:color="auto" w:fill="F2F2F2"/>
          </w:tcPr>
          <w:p>
            <w:pPr>
              <w:jc w:val="right"/>
              <w:spacing w:after="0" w:line="128" w:lineRule="exact"/>
              <w:rPr>
                <w:sz w:val="20"/>
                <w:szCs w:val="20"/>
                <w:color w:val="auto"/>
              </w:rPr>
            </w:pPr>
            <w:r>
              <w:rPr>
                <w:rFonts w:ascii="Arial" w:cs="Arial" w:eastAsia="Arial" w:hAnsi="Arial"/>
                <w:sz w:val="12"/>
                <w:szCs w:val="12"/>
                <w:color w:val="auto"/>
              </w:rPr>
              <w:t>—</w:t>
            </w:r>
          </w:p>
        </w:tc>
        <w:tc>
          <w:tcPr>
            <w:tcW w:w="1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line="128" w:lineRule="exact"/>
              <w:rPr>
                <w:sz w:val="20"/>
                <w:szCs w:val="20"/>
                <w:color w:val="auto"/>
              </w:rPr>
            </w:pPr>
            <w:r>
              <w:rPr>
                <w:rFonts w:ascii="Arial" w:cs="Arial" w:eastAsia="Arial" w:hAnsi="Arial"/>
                <w:sz w:val="12"/>
                <w:szCs w:val="12"/>
                <w:color w:val="auto"/>
              </w:rPr>
              <w:t>$</w:t>
            </w:r>
          </w:p>
        </w:tc>
        <w:tc>
          <w:tcPr>
            <w:tcW w:w="580" w:type="dxa"/>
            <w:vAlign w:val="bottom"/>
            <w:gridSpan w:val="2"/>
            <w:shd w:val="clear" w:color="auto" w:fill="F2F2F2"/>
          </w:tcPr>
          <w:p>
            <w:pPr>
              <w:ind w:left="40"/>
              <w:spacing w:after="0" w:line="128" w:lineRule="exact"/>
              <w:rPr>
                <w:sz w:val="20"/>
                <w:szCs w:val="20"/>
                <w:color w:val="auto"/>
              </w:rPr>
            </w:pPr>
            <w:r>
              <w:rPr>
                <w:rFonts w:ascii="Arial" w:cs="Arial" w:eastAsia="Arial" w:hAnsi="Arial"/>
                <w:sz w:val="12"/>
                <w:szCs w:val="12"/>
                <w:color w:val="auto"/>
              </w:rPr>
              <w:t>53.380</w:t>
            </w:r>
          </w:p>
        </w:tc>
        <w:tc>
          <w:tcPr>
            <w:tcW w:w="900" w:type="dxa"/>
            <w:vAlign w:val="bottom"/>
            <w:shd w:val="clear" w:color="auto" w:fill="F2F2F2"/>
          </w:tcPr>
          <w:p>
            <w:pPr>
              <w:jc w:val="right"/>
              <w:ind w:right="118"/>
              <w:spacing w:after="0" w:line="128" w:lineRule="exact"/>
              <w:rPr>
                <w:sz w:val="20"/>
                <w:szCs w:val="20"/>
                <w:color w:val="auto"/>
              </w:rPr>
            </w:pPr>
            <w:r>
              <w:rPr>
                <w:rFonts w:ascii="Arial" w:cs="Arial" w:eastAsia="Arial" w:hAnsi="Arial"/>
                <w:sz w:val="12"/>
                <w:szCs w:val="12"/>
                <w:color w:val="auto"/>
              </w:rPr>
              <w:t>01/01/29</w:t>
            </w:r>
          </w:p>
        </w:tc>
        <w:tc>
          <w:tcPr>
            <w:tcW w:w="64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2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260" w:type="dxa"/>
            <w:vAlign w:val="bottom"/>
            <w:shd w:val="clear" w:color="auto" w:fill="F2F2F2"/>
          </w:tcPr>
          <w:p>
            <w:pPr>
              <w:spacing w:after="0"/>
              <w:rPr>
                <w:sz w:val="11"/>
                <w:szCs w:val="11"/>
                <w:color w:val="auto"/>
              </w:rPr>
            </w:pPr>
          </w:p>
        </w:tc>
        <w:tc>
          <w:tcPr>
            <w:tcW w:w="4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20" w:type="dxa"/>
            <w:vAlign w:val="bottom"/>
            <w:tcBorders>
              <w:top w:val="single" w:sz="8" w:color="F2F2F2"/>
            </w:tcBorders>
            <w:shd w:val="clear" w:color="auto" w:fill="F2F2F2"/>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700" w:type="dxa"/>
            <w:vAlign w:val="bottom"/>
            <w:tcBorders>
              <w:top w:val="single" w:sz="8" w:color="7F7F7F"/>
            </w:tcBorders>
            <w:shd w:val="clear" w:color="auto" w:fill="F2F2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860" w:type="dxa"/>
            <w:vAlign w:val="bottom"/>
            <w:tcBorders>
              <w:top w:val="single" w:sz="8" w:color="7F7F7F"/>
            </w:tcBorders>
            <w:shd w:val="clear" w:color="auto" w:fill="F2F2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F2F2F2"/>
            </w:tcBorders>
            <w:shd w:val="clear" w:color="auto" w:fill="F2F2F2"/>
          </w:tcPr>
          <w:p>
            <w:pPr>
              <w:spacing w:after="0" w:line="20" w:lineRule="exact"/>
              <w:rPr>
                <w:sz w:val="1"/>
                <w:szCs w:val="1"/>
                <w:color w:val="auto"/>
              </w:rPr>
            </w:pPr>
          </w:p>
        </w:tc>
        <w:tc>
          <w:tcPr>
            <w:tcW w:w="100" w:type="dxa"/>
            <w:vAlign w:val="bottom"/>
            <w:tcBorders>
              <w:top w:val="single" w:sz="8" w:color="7F7F7F"/>
            </w:tcBorders>
            <w:shd w:val="clear" w:color="auto" w:fill="F2F2F2"/>
          </w:tcPr>
          <w:p>
            <w:pPr>
              <w:spacing w:after="0" w:line="20" w:lineRule="exact"/>
              <w:rPr>
                <w:sz w:val="1"/>
                <w:szCs w:val="1"/>
                <w:color w:val="auto"/>
              </w:rPr>
            </w:pPr>
          </w:p>
        </w:tc>
        <w:tc>
          <w:tcPr>
            <w:tcW w:w="420" w:type="dxa"/>
            <w:vAlign w:val="bottom"/>
            <w:tcBorders>
              <w:top w:val="single" w:sz="8" w:color="7F7F7F"/>
            </w:tcBorders>
            <w:shd w:val="clear" w:color="auto" w:fill="F2F2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F2F2F2"/>
            </w:tcBorders>
            <w:shd w:val="clear" w:color="auto" w:fill="F2F2F2"/>
          </w:tcPr>
          <w:p>
            <w:pPr>
              <w:spacing w:after="0" w:line="20" w:lineRule="exact"/>
              <w:rPr>
                <w:sz w:val="1"/>
                <w:szCs w:val="1"/>
                <w:color w:val="auto"/>
              </w:rPr>
            </w:pPr>
          </w:p>
        </w:tc>
        <w:tc>
          <w:tcPr>
            <w:tcW w:w="640" w:type="dxa"/>
            <w:vAlign w:val="bottom"/>
            <w:tcBorders>
              <w:top w:val="single" w:sz="8" w:color="7F7F7F"/>
            </w:tcBorders>
            <w:shd w:val="clear" w:color="auto" w:fill="F2F2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80" w:type="dxa"/>
            <w:vAlign w:val="bottom"/>
            <w:tcBorders>
              <w:top w:val="single" w:sz="8" w:color="7F7F7F"/>
            </w:tcBorders>
            <w:shd w:val="clear" w:color="auto" w:fill="F2F2F2"/>
          </w:tcPr>
          <w:p>
            <w:pPr>
              <w:spacing w:after="0" w:line="20" w:lineRule="exact"/>
              <w:rPr>
                <w:sz w:val="1"/>
                <w:szCs w:val="1"/>
                <w:color w:val="auto"/>
              </w:rPr>
            </w:pPr>
          </w:p>
        </w:tc>
        <w:tc>
          <w:tcPr>
            <w:tcW w:w="620" w:type="dxa"/>
            <w:vAlign w:val="bottom"/>
            <w:tcBorders>
              <w:top w:val="single" w:sz="8" w:color="7F7F7F"/>
            </w:tcBorders>
            <w:shd w:val="clear" w:color="auto" w:fill="F2F2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700" w:type="dxa"/>
            <w:vAlign w:val="bottom"/>
            <w:tcBorders>
              <w:top w:val="single" w:sz="8" w:color="7F7F7F"/>
            </w:tcBorders>
            <w:shd w:val="clear" w:color="auto" w:fill="F2F2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260" w:type="dxa"/>
            <w:vAlign w:val="bottom"/>
            <w:tcBorders>
              <w:top w:val="single" w:sz="8" w:color="7F7F7F"/>
            </w:tcBorders>
            <w:shd w:val="clear" w:color="auto" w:fill="F2F2F2"/>
          </w:tcPr>
          <w:p>
            <w:pPr>
              <w:spacing w:after="0" w:line="20" w:lineRule="exact"/>
              <w:rPr>
                <w:sz w:val="1"/>
                <w:szCs w:val="1"/>
                <w:color w:val="auto"/>
              </w:rPr>
            </w:pPr>
          </w:p>
        </w:tc>
        <w:tc>
          <w:tcPr>
            <w:tcW w:w="460" w:type="dxa"/>
            <w:vAlign w:val="bottom"/>
            <w:tcBorders>
              <w:top w:val="single" w:sz="8" w:color="7F7F7F"/>
            </w:tcBorders>
            <w:shd w:val="clear" w:color="auto" w:fill="F2F2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040" w:type="dxa"/>
            <w:vAlign w:val="bottom"/>
            <w:tcBorders>
              <w:bottom w:val="single" w:sz="8" w:color="7F7F7F"/>
            </w:tcBorders>
          </w:tcPr>
          <w:p>
            <w:pPr>
              <w:spacing w:after="0"/>
              <w:rPr>
                <w:sz w:val="22"/>
                <w:szCs w:val="22"/>
                <w:color w:val="auto"/>
              </w:rPr>
            </w:pPr>
          </w:p>
        </w:tc>
        <w:tc>
          <w:tcPr>
            <w:tcW w:w="720" w:type="dxa"/>
            <w:vAlign w:val="bottom"/>
            <w:tcBorders>
              <w:bottom w:val="single" w:sz="8" w:color="7F7F7F"/>
            </w:tcBorders>
          </w:tcPr>
          <w:p>
            <w:pPr>
              <w:spacing w:after="0"/>
              <w:rPr>
                <w:sz w:val="22"/>
                <w:szCs w:val="22"/>
                <w:color w:val="auto"/>
              </w:rPr>
            </w:pPr>
          </w:p>
        </w:tc>
        <w:tc>
          <w:tcPr>
            <w:tcW w:w="100" w:type="dxa"/>
            <w:vAlign w:val="bottom"/>
            <w:tcBorders>
              <w:bottom w:val="single" w:sz="8" w:color="7F7F7F"/>
            </w:tcBorders>
          </w:tcPr>
          <w:p>
            <w:pPr>
              <w:spacing w:after="0"/>
              <w:rPr>
                <w:sz w:val="22"/>
                <w:szCs w:val="22"/>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1,302,706</w:t>
            </w:r>
          </w:p>
        </w:tc>
        <w:tc>
          <w:tcPr>
            <w:tcW w:w="80" w:type="dxa"/>
            <w:vAlign w:val="bottom"/>
            <w:tcBorders>
              <w:bottom w:val="single" w:sz="8" w:color="7F7F7F"/>
            </w:tcBorders>
          </w:tcPr>
          <w:p>
            <w:pPr>
              <w:spacing w:after="0"/>
              <w:rPr>
                <w:sz w:val="22"/>
                <w:szCs w:val="22"/>
                <w:color w:val="auto"/>
              </w:rPr>
            </w:pPr>
          </w:p>
        </w:tc>
        <w:tc>
          <w:tcPr>
            <w:tcW w:w="100" w:type="dxa"/>
            <w:vAlign w:val="bottom"/>
            <w:tcBorders>
              <w:bottom w:val="single" w:sz="8" w:color="7F7F7F"/>
            </w:tcBorders>
          </w:tcPr>
          <w:p>
            <w:pPr>
              <w:spacing w:after="0"/>
              <w:rPr>
                <w:sz w:val="22"/>
                <w:szCs w:val="22"/>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467,693</w:t>
            </w:r>
          </w:p>
        </w:tc>
        <w:tc>
          <w:tcPr>
            <w:tcW w:w="100" w:type="dxa"/>
            <w:vAlign w:val="bottom"/>
            <w:tcBorders>
              <w:bottom w:val="single" w:sz="8" w:color="7F7F7F"/>
            </w:tcBorders>
          </w:tcPr>
          <w:p>
            <w:pPr>
              <w:spacing w:after="0"/>
              <w:rPr>
                <w:sz w:val="22"/>
                <w:szCs w:val="22"/>
                <w:color w:val="auto"/>
              </w:rPr>
            </w:pPr>
          </w:p>
        </w:tc>
        <w:tc>
          <w:tcPr>
            <w:tcW w:w="80" w:type="dxa"/>
            <w:vAlign w:val="bottom"/>
            <w:tcBorders>
              <w:bottom w:val="single" w:sz="8" w:color="7F7F7F"/>
            </w:tcBorders>
          </w:tcPr>
          <w:p>
            <w:pPr>
              <w:spacing w:after="0"/>
              <w:rPr>
                <w:sz w:val="22"/>
                <w:szCs w:val="22"/>
                <w:color w:val="auto"/>
              </w:rPr>
            </w:pPr>
          </w:p>
        </w:tc>
        <w:tc>
          <w:tcPr>
            <w:tcW w:w="100" w:type="dxa"/>
            <w:vAlign w:val="bottom"/>
            <w:tcBorders>
              <w:bottom w:val="single" w:sz="8" w:color="7F7F7F"/>
            </w:tcBorders>
          </w:tcPr>
          <w:p>
            <w:pPr>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7F7F7F"/>
            </w:tcBorders>
            <w:gridSpan w:val="2"/>
          </w:tcPr>
          <w:p>
            <w:pPr>
              <w:ind w:left="40"/>
              <w:spacing w:after="0"/>
              <w:rPr>
                <w:sz w:val="20"/>
                <w:szCs w:val="20"/>
                <w:color w:val="auto"/>
              </w:rPr>
            </w:pPr>
            <w:r>
              <w:rPr>
                <w:rFonts w:ascii="Arial" w:cs="Arial" w:eastAsia="Arial" w:hAnsi="Arial"/>
                <w:sz w:val="12"/>
                <w:szCs w:val="12"/>
                <w:color w:val="auto"/>
                <w:w w:val="98"/>
              </w:rPr>
              <w:t>69.826</w:t>
            </w:r>
            <w:r>
              <w:rPr>
                <w:rFonts w:ascii="Arial" w:cs="Arial" w:eastAsia="Arial" w:hAnsi="Arial"/>
                <w:sz w:val="18"/>
                <w:szCs w:val="18"/>
                <w:color w:val="auto"/>
                <w:w w:val="98"/>
                <w:vertAlign w:val="superscript"/>
              </w:rPr>
              <w:t>(E)</w:t>
            </w:r>
          </w:p>
        </w:tc>
        <w:tc>
          <w:tcPr>
            <w:tcW w:w="900" w:type="dxa"/>
            <w:vAlign w:val="bottom"/>
            <w:tcBorders>
              <w:bottom w:val="single" w:sz="8" w:color="7F7F7F"/>
            </w:tcBorders>
          </w:tcPr>
          <w:p>
            <w:pPr>
              <w:spacing w:after="0"/>
              <w:rPr>
                <w:sz w:val="22"/>
                <w:szCs w:val="22"/>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185,712</w:t>
            </w:r>
          </w:p>
        </w:tc>
        <w:tc>
          <w:tcPr>
            <w:tcW w:w="80" w:type="dxa"/>
            <w:vAlign w:val="bottom"/>
            <w:tcBorders>
              <w:bottom w:val="single" w:sz="8" w:color="7F7F7F"/>
            </w:tcBorders>
          </w:tcPr>
          <w:p>
            <w:pPr>
              <w:spacing w:after="0"/>
              <w:rPr>
                <w:sz w:val="22"/>
                <w:szCs w:val="22"/>
                <w:color w:val="auto"/>
              </w:rPr>
            </w:pP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7F7F7F"/>
            </w:tcBorders>
            <w:gridSpan w:val="2"/>
          </w:tcPr>
          <w:p>
            <w:pPr>
              <w:jc w:val="right"/>
              <w:ind w:right="160"/>
              <w:spacing w:after="0"/>
              <w:rPr>
                <w:sz w:val="20"/>
                <w:szCs w:val="20"/>
                <w:color w:val="auto"/>
              </w:rPr>
            </w:pPr>
            <w:r>
              <w:rPr>
                <w:rFonts w:ascii="Arial" w:cs="Arial" w:eastAsia="Arial" w:hAnsi="Arial"/>
                <w:sz w:val="12"/>
                <w:szCs w:val="12"/>
                <w:color w:val="auto"/>
                <w:w w:val="99"/>
              </w:rPr>
              <w:t>16,396,507</w:t>
            </w:r>
          </w:p>
        </w:tc>
        <w:tc>
          <w:tcPr>
            <w:tcW w:w="20" w:type="dxa"/>
            <w:vAlign w:val="bottom"/>
            <w:tcBorders>
              <w:bottom w:val="single" w:sz="8" w:color="7F7F7F"/>
            </w:tcBorders>
          </w:tcPr>
          <w:p>
            <w:pPr>
              <w:spacing w:after="0"/>
              <w:rPr>
                <w:sz w:val="22"/>
                <w:szCs w:val="22"/>
                <w:color w:val="auto"/>
              </w:rPr>
            </w:pPr>
          </w:p>
        </w:tc>
        <w:tc>
          <w:tcPr>
            <w:tcW w:w="100" w:type="dxa"/>
            <w:vAlign w:val="bottom"/>
            <w:tcBorders>
              <w:bottom w:val="single" w:sz="8" w:color="7F7F7F"/>
            </w:tcBorders>
          </w:tcPr>
          <w:p>
            <w:pPr>
              <w:spacing w:after="0"/>
              <w:rPr>
                <w:sz w:val="22"/>
                <w:szCs w:val="22"/>
                <w:color w:val="auto"/>
              </w:rPr>
            </w:pPr>
          </w:p>
        </w:tc>
        <w:tc>
          <w:tcPr>
            <w:tcW w:w="800" w:type="dxa"/>
            <w:vAlign w:val="bottom"/>
            <w:tcBorders>
              <w:bottom w:val="single" w:sz="8" w:color="7F7F7F"/>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7F7F7F"/>
            </w:tcBorders>
            <w:gridSpan w:val="2"/>
          </w:tcPr>
          <w:p>
            <w:pPr>
              <w:jc w:val="right"/>
              <w:ind w:right="139"/>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7F7F7F"/>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2"/>
        </w:trPr>
        <w:tc>
          <w:tcPr>
            <w:tcW w:w="3040" w:type="dxa"/>
            <w:vAlign w:val="bottom"/>
          </w:tcPr>
          <w:p>
            <w:pPr>
              <w:ind w:left="80"/>
              <w:spacing w:after="0"/>
              <w:rPr>
                <w:sz w:val="20"/>
                <w:szCs w:val="20"/>
                <w:color w:val="auto"/>
              </w:rPr>
            </w:pPr>
            <w:r>
              <w:rPr>
                <w:rFonts w:ascii="Arial" w:cs="Arial" w:eastAsia="Arial" w:hAnsi="Arial"/>
                <w:sz w:val="12"/>
                <w:szCs w:val="12"/>
                <w:b w:val="1"/>
                <w:bCs w:val="1"/>
                <w:color w:val="auto"/>
              </w:rPr>
              <w:t>Karen L. Sedgwick</w:t>
            </w: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bottom w:val="single" w:sz="8" w:color="F2F2F2"/>
            </w:tcBorders>
            <w:shd w:val="clear" w:color="auto" w:fill="F2F2F2"/>
          </w:tcPr>
          <w:p>
            <w:pPr>
              <w:spacing w:after="0"/>
              <w:rPr>
                <w:sz w:val="21"/>
                <w:szCs w:val="21"/>
                <w:color w:val="auto"/>
              </w:rPr>
            </w:pPr>
          </w:p>
        </w:tc>
        <w:tc>
          <w:tcPr>
            <w:tcW w:w="78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F2F2F2"/>
            </w:tcBorders>
            <w:gridSpan w:val="3"/>
            <w:shd w:val="clear" w:color="auto" w:fill="F2F2F2"/>
          </w:tcPr>
          <w:p>
            <w:pPr>
              <w:jc w:val="right"/>
              <w:ind w:right="100"/>
              <w:spacing w:after="0"/>
              <w:rPr>
                <w:sz w:val="20"/>
                <w:szCs w:val="20"/>
                <w:color w:val="auto"/>
              </w:rPr>
            </w:pPr>
            <w:r>
              <w:rPr>
                <w:rFonts w:ascii="Arial" w:cs="Arial" w:eastAsia="Arial" w:hAnsi="Arial"/>
                <w:sz w:val="12"/>
                <w:szCs w:val="12"/>
                <w:color w:val="auto"/>
              </w:rPr>
              <w:t>40,817</w:t>
            </w:r>
          </w:p>
        </w:tc>
        <w:tc>
          <w:tcPr>
            <w:tcW w:w="180" w:type="dxa"/>
            <w:vAlign w:val="bottom"/>
            <w:tcBorders>
              <w:bottom w:val="single" w:sz="8" w:color="F2F2F2"/>
            </w:tcBorders>
            <w:gridSpan w:val="2"/>
            <w:shd w:val="clear" w:color="auto" w:fill="F2F2F2"/>
          </w:tcPr>
          <w:p>
            <w:pPr>
              <w:ind w:left="8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F2F2F2"/>
            </w:tcBorders>
            <w:gridSpan w:val="2"/>
            <w:shd w:val="clear" w:color="auto" w:fill="F2F2F2"/>
          </w:tcPr>
          <w:p>
            <w:pPr>
              <w:ind w:left="40"/>
              <w:spacing w:after="0"/>
              <w:rPr>
                <w:sz w:val="20"/>
                <w:szCs w:val="20"/>
                <w:color w:val="auto"/>
              </w:rPr>
            </w:pPr>
            <w:r>
              <w:rPr>
                <w:rFonts w:ascii="Arial" w:cs="Arial" w:eastAsia="Arial" w:hAnsi="Arial"/>
                <w:sz w:val="12"/>
                <w:szCs w:val="12"/>
                <w:color w:val="auto"/>
              </w:rPr>
              <w:t>87.130</w:t>
            </w:r>
          </w:p>
        </w:tc>
        <w:tc>
          <w:tcPr>
            <w:tcW w:w="900" w:type="dxa"/>
            <w:vAlign w:val="bottom"/>
            <w:tcBorders>
              <w:bottom w:val="single" w:sz="8" w:color="F2F2F2"/>
            </w:tcBorders>
            <w:shd w:val="clear" w:color="auto" w:fill="F2F2F2"/>
          </w:tcPr>
          <w:p>
            <w:pPr>
              <w:jc w:val="right"/>
              <w:ind w:right="118"/>
              <w:spacing w:after="0"/>
              <w:rPr>
                <w:sz w:val="20"/>
                <w:szCs w:val="20"/>
                <w:color w:val="auto"/>
              </w:rPr>
            </w:pPr>
            <w:r>
              <w:rPr>
                <w:rFonts w:ascii="Arial" w:cs="Arial" w:eastAsia="Arial" w:hAnsi="Arial"/>
                <w:sz w:val="12"/>
                <w:szCs w:val="12"/>
                <w:color w:val="auto"/>
              </w:rPr>
              <w:t>01/01/35</w:t>
            </w:r>
          </w:p>
        </w:tc>
        <w:tc>
          <w:tcPr>
            <w:tcW w:w="6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10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620" w:type="dxa"/>
            <w:vAlign w:val="bottom"/>
            <w:tcBorders>
              <w:bottom w:val="single" w:sz="8" w:color="F2F2F2"/>
            </w:tcBorders>
            <w:shd w:val="clear" w:color="auto" w:fill="F2F2F2"/>
          </w:tcPr>
          <w:p>
            <w:pPr>
              <w:spacing w:after="0"/>
              <w:rPr>
                <w:sz w:val="21"/>
                <w:szCs w:val="21"/>
                <w:color w:val="auto"/>
              </w:rPr>
            </w:pPr>
          </w:p>
        </w:tc>
        <w:tc>
          <w:tcPr>
            <w:tcW w:w="160" w:type="dxa"/>
            <w:vAlign w:val="bottom"/>
            <w:tcBorders>
              <w:bottom w:val="single" w:sz="8" w:color="F2F2F2"/>
            </w:tcBorders>
            <w:shd w:val="clear" w:color="auto" w:fill="F2F2F2"/>
          </w:tcPr>
          <w:p>
            <w:pPr>
              <w:spacing w:after="0"/>
              <w:rPr>
                <w:sz w:val="21"/>
                <w:szCs w:val="21"/>
                <w:color w:val="auto"/>
              </w:rPr>
            </w:pPr>
          </w:p>
        </w:tc>
        <w:tc>
          <w:tcPr>
            <w:tcW w:w="20" w:type="dxa"/>
            <w:vAlign w:val="bottom"/>
            <w:tcBorders>
              <w:bottom w:val="single" w:sz="8" w:color="F2F2F2"/>
            </w:tcBorders>
            <w:shd w:val="clear" w:color="auto" w:fill="F2F2F2"/>
          </w:tcPr>
          <w:p>
            <w:pPr>
              <w:spacing w:after="0"/>
              <w:rPr>
                <w:sz w:val="21"/>
                <w:szCs w:val="21"/>
                <w:color w:val="auto"/>
              </w:rPr>
            </w:pPr>
          </w:p>
        </w:tc>
        <w:tc>
          <w:tcPr>
            <w:tcW w:w="100" w:type="dxa"/>
            <w:vAlign w:val="bottom"/>
            <w:tcBorders>
              <w:bottom w:val="single" w:sz="8" w:color="F2F2F2"/>
            </w:tcBorders>
            <w:shd w:val="clear" w:color="auto" w:fill="F2F2F2"/>
          </w:tcPr>
          <w:p>
            <w:pPr>
              <w:spacing w:after="0"/>
              <w:rPr>
                <w:sz w:val="21"/>
                <w:szCs w:val="21"/>
                <w:color w:val="auto"/>
              </w:rPr>
            </w:pPr>
          </w:p>
        </w:tc>
        <w:tc>
          <w:tcPr>
            <w:tcW w:w="700" w:type="dxa"/>
            <w:vAlign w:val="bottom"/>
            <w:tcBorders>
              <w:bottom w:val="single" w:sz="8" w:color="F2F2F2"/>
            </w:tcBorders>
            <w:shd w:val="clear" w:color="auto" w:fill="F2F2F2"/>
          </w:tcPr>
          <w:p>
            <w:pPr>
              <w:spacing w:after="0"/>
              <w:rPr>
                <w:sz w:val="21"/>
                <w:szCs w:val="21"/>
                <w:color w:val="auto"/>
              </w:rPr>
            </w:pPr>
          </w:p>
        </w:tc>
        <w:tc>
          <w:tcPr>
            <w:tcW w:w="100" w:type="dxa"/>
            <w:vAlign w:val="bottom"/>
            <w:tcBorders>
              <w:bottom w:val="single" w:sz="8" w:color="F2F2F2"/>
            </w:tcBorders>
            <w:shd w:val="clear" w:color="auto" w:fill="F2F2F2"/>
          </w:tcPr>
          <w:p>
            <w:pPr>
              <w:spacing w:after="0"/>
              <w:rPr>
                <w:sz w:val="21"/>
                <w:szCs w:val="21"/>
                <w:color w:val="auto"/>
              </w:rPr>
            </w:pPr>
          </w:p>
        </w:tc>
        <w:tc>
          <w:tcPr>
            <w:tcW w:w="100" w:type="dxa"/>
            <w:vAlign w:val="bottom"/>
            <w:tcBorders>
              <w:bottom w:val="single" w:sz="8" w:color="F2F2F2"/>
            </w:tcBorders>
            <w:shd w:val="clear" w:color="auto" w:fill="F2F2F2"/>
          </w:tcPr>
          <w:p>
            <w:pPr>
              <w:spacing w:after="0"/>
              <w:rPr>
                <w:sz w:val="21"/>
                <w:szCs w:val="21"/>
                <w:color w:val="auto"/>
              </w:rPr>
            </w:pPr>
          </w:p>
        </w:tc>
        <w:tc>
          <w:tcPr>
            <w:tcW w:w="260" w:type="dxa"/>
            <w:vAlign w:val="bottom"/>
            <w:tcBorders>
              <w:bottom w:val="single" w:sz="8" w:color="F2F2F2"/>
            </w:tcBorders>
            <w:shd w:val="clear" w:color="auto" w:fill="F2F2F2"/>
          </w:tcPr>
          <w:p>
            <w:pPr>
              <w:spacing w:after="0"/>
              <w:rPr>
                <w:sz w:val="21"/>
                <w:szCs w:val="21"/>
                <w:color w:val="auto"/>
              </w:rPr>
            </w:pPr>
          </w:p>
        </w:tc>
        <w:tc>
          <w:tcPr>
            <w:tcW w:w="460" w:type="dxa"/>
            <w:vAlign w:val="bottom"/>
            <w:tcBorders>
              <w:bottom w:val="single" w:sz="8" w:color="F2F2F2"/>
            </w:tcBorders>
            <w:shd w:val="clear" w:color="auto" w:fill="F2F2F2"/>
          </w:tcPr>
          <w:p>
            <w:pPr>
              <w:spacing w:after="0"/>
              <w:rPr>
                <w:sz w:val="21"/>
                <w:szCs w:val="21"/>
                <w:color w:val="auto"/>
              </w:rPr>
            </w:pPr>
          </w:p>
        </w:tc>
        <w:tc>
          <w:tcPr>
            <w:tcW w:w="14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6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4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900" w:type="dxa"/>
            <w:vAlign w:val="bottom"/>
            <w:tcBorders>
              <w:top w:val="single" w:sz="8" w:color="7F7F7F"/>
            </w:tcBorders>
          </w:tcPr>
          <w:p>
            <w:pPr>
              <w:spacing w:after="0"/>
              <w:rPr>
                <w:sz w:val="13"/>
                <w:szCs w:val="13"/>
                <w:color w:val="auto"/>
              </w:rPr>
            </w:pPr>
          </w:p>
        </w:tc>
        <w:tc>
          <w:tcPr>
            <w:tcW w:w="720" w:type="dxa"/>
            <w:vAlign w:val="bottom"/>
            <w:tcBorders>
              <w:top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780" w:type="dxa"/>
            <w:vAlign w:val="bottom"/>
            <w:tcBorders>
              <w:top w:val="single" w:sz="8" w:color="7F7F7F"/>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gridSpan w:val="2"/>
          </w:tcPr>
          <w:p>
            <w:pPr>
              <w:spacing w:after="0"/>
              <w:rPr>
                <w:sz w:val="3"/>
                <w:szCs w:val="3"/>
                <w:color w:val="auto"/>
              </w:rPr>
            </w:pPr>
          </w:p>
        </w:tc>
        <w:tc>
          <w:tcPr>
            <w:tcW w:w="180" w:type="dxa"/>
            <w:vAlign w:val="bottom"/>
            <w:tcBorders>
              <w:bottom w:val="single" w:sz="8" w:color="7F7F7F"/>
            </w:tcBorders>
            <w:gridSpan w:val="2"/>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2,628</w:t>
            </w:r>
          </w:p>
        </w:tc>
        <w:tc>
          <w:tcPr>
            <w:tcW w:w="1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2"/>
                <w:szCs w:val="12"/>
                <w:color w:val="auto"/>
                <w:w w:val="96"/>
              </w:rPr>
              <w:t>231,984</w:t>
            </w:r>
          </w:p>
        </w:tc>
        <w:tc>
          <w:tcPr>
            <w:tcW w:w="160" w:type="dxa"/>
            <w:vAlign w:val="bottom"/>
            <w:tcBorders>
              <w:bottom w:val="single" w:sz="8" w:color="F2F2F2"/>
            </w:tcBorders>
            <w:shd w:val="clear" w:color="auto" w:fill="F2F2F2"/>
          </w:tcPr>
          <w:p>
            <w:pPr>
              <w:spacing w:after="0"/>
              <w:rPr>
                <w:sz w:val="16"/>
                <w:szCs w:val="16"/>
                <w:color w:val="auto"/>
              </w:rPr>
            </w:pP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6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4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900" w:type="dxa"/>
            <w:vAlign w:val="bottom"/>
            <w:tcBorders>
              <w:top w:val="single" w:sz="8" w:color="7F7F7F"/>
            </w:tcBorders>
          </w:tcPr>
          <w:p>
            <w:pPr>
              <w:spacing w:after="0"/>
              <w:rPr>
                <w:sz w:val="13"/>
                <w:szCs w:val="13"/>
                <w:color w:val="auto"/>
              </w:rPr>
            </w:pPr>
          </w:p>
        </w:tc>
        <w:tc>
          <w:tcPr>
            <w:tcW w:w="720" w:type="dxa"/>
            <w:vAlign w:val="bottom"/>
            <w:tcBorders>
              <w:top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9,883</w:t>
            </w:r>
          </w:p>
        </w:tc>
        <w:tc>
          <w:tcPr>
            <w:tcW w:w="180" w:type="dxa"/>
            <w:vAlign w:val="bottom"/>
            <w:tcBorders>
              <w:top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tcPr>
          <w:p>
            <w:pPr>
              <w:ind w:left="180"/>
              <w:spacing w:after="0"/>
              <w:rPr>
                <w:sz w:val="20"/>
                <w:szCs w:val="20"/>
                <w:color w:val="auto"/>
              </w:rPr>
            </w:pPr>
            <w:r>
              <w:rPr>
                <w:rFonts w:ascii="Arial" w:cs="Arial" w:eastAsia="Arial" w:hAnsi="Arial"/>
                <w:sz w:val="12"/>
                <w:szCs w:val="12"/>
                <w:color w:val="auto"/>
                <w:w w:val="96"/>
              </w:rPr>
              <w:t>872,564</w:t>
            </w:r>
          </w:p>
        </w:tc>
        <w:tc>
          <w:tcPr>
            <w:tcW w:w="160" w:type="dxa"/>
            <w:vAlign w:val="bottom"/>
            <w:tcBorders>
              <w:top w:val="single" w:sz="8" w:color="7F7F7F"/>
            </w:tcBorders>
          </w:tcPr>
          <w:p>
            <w:pPr>
              <w:spacing w:after="0"/>
              <w:rPr>
                <w:sz w:val="13"/>
                <w:szCs w:val="13"/>
                <w:color w:val="auto"/>
              </w:rPr>
            </w:pP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880" w:type="dxa"/>
            <w:vAlign w:val="bottom"/>
            <w:tcBorders>
              <w:bottom w:val="single" w:sz="8" w:color="7F7F7F"/>
            </w:tcBorders>
            <w:gridSpan w:val="3"/>
          </w:tcPr>
          <w:p>
            <w:pPr>
              <w:spacing w:after="0"/>
              <w:rPr>
                <w:sz w:val="3"/>
                <w:szCs w:val="3"/>
                <w:color w:val="auto"/>
              </w:rPr>
            </w:pPr>
          </w:p>
        </w:tc>
        <w:tc>
          <w:tcPr>
            <w:tcW w:w="1060" w:type="dxa"/>
            <w:vAlign w:val="bottom"/>
            <w:tcBorders>
              <w:bottom w:val="single" w:sz="8" w:color="7F7F7F"/>
            </w:tcBorders>
            <w:gridSpan w:val="3"/>
          </w:tcPr>
          <w:p>
            <w:pPr>
              <w:spacing w:after="0"/>
              <w:rPr>
                <w:sz w:val="3"/>
                <w:szCs w:val="3"/>
                <w:color w:val="auto"/>
              </w:rPr>
            </w:pPr>
          </w:p>
        </w:tc>
        <w:tc>
          <w:tcPr>
            <w:tcW w:w="180" w:type="dxa"/>
            <w:vAlign w:val="bottom"/>
            <w:tcBorders>
              <w:bottom w:val="single" w:sz="8" w:color="7F7F7F"/>
            </w:tcBorders>
            <w:gridSpan w:val="2"/>
          </w:tcPr>
          <w:p>
            <w:pPr>
              <w:spacing w:after="0"/>
              <w:rPr>
                <w:sz w:val="3"/>
                <w:szCs w:val="3"/>
                <w:color w:val="auto"/>
              </w:rPr>
            </w:pPr>
          </w:p>
        </w:tc>
        <w:tc>
          <w:tcPr>
            <w:tcW w:w="580" w:type="dxa"/>
            <w:vAlign w:val="bottom"/>
            <w:tcBorders>
              <w:bottom w:val="single" w:sz="8" w:color="7F7F7F"/>
            </w:tcBorders>
            <w:gridSpan w:val="2"/>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64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01/02/24</w:t>
            </w:r>
          </w:p>
        </w:tc>
        <w:tc>
          <w:tcPr>
            <w:tcW w:w="880" w:type="dxa"/>
            <w:vAlign w:val="bottom"/>
            <w:tcBorders>
              <w:bottom w:val="single" w:sz="8" w:color="F2F2F2"/>
            </w:tcBorders>
            <w:gridSpan w:val="3"/>
            <w:shd w:val="clear" w:color="auto" w:fill="F2F2F2"/>
          </w:tcPr>
          <w:p>
            <w:pPr>
              <w:jc w:val="right"/>
              <w:ind w:right="80"/>
              <w:spacing w:after="0"/>
              <w:rPr>
                <w:sz w:val="20"/>
                <w:szCs w:val="20"/>
                <w:color w:val="auto"/>
              </w:rPr>
            </w:pPr>
            <w:r>
              <w:rPr>
                <w:rFonts w:ascii="Arial" w:cs="Arial" w:eastAsia="Arial" w:hAnsi="Arial"/>
                <w:sz w:val="12"/>
                <w:szCs w:val="12"/>
                <w:color w:val="auto"/>
              </w:rPr>
              <w:t>13,546</w:t>
            </w:r>
          </w:p>
        </w:tc>
        <w:tc>
          <w:tcPr>
            <w:tcW w:w="1060" w:type="dxa"/>
            <w:vAlign w:val="bottom"/>
            <w:tcBorders>
              <w:bottom w:val="single" w:sz="8" w:color="F2F2F2"/>
            </w:tcBorders>
            <w:gridSpan w:val="3"/>
            <w:shd w:val="clear" w:color="auto" w:fill="F2F2F2"/>
          </w:tcPr>
          <w:p>
            <w:pPr>
              <w:jc w:val="right"/>
              <w:ind w:right="100"/>
              <w:spacing w:after="0"/>
              <w:rPr>
                <w:sz w:val="20"/>
                <w:szCs w:val="20"/>
                <w:color w:val="auto"/>
              </w:rPr>
            </w:pPr>
            <w:r>
              <w:rPr>
                <w:rFonts w:ascii="Arial" w:cs="Arial" w:eastAsia="Arial" w:hAnsi="Arial"/>
                <w:sz w:val="12"/>
                <w:szCs w:val="12"/>
                <w:color w:val="auto"/>
              </w:rPr>
              <w:t>27,092</w:t>
            </w:r>
          </w:p>
        </w:tc>
        <w:tc>
          <w:tcPr>
            <w:tcW w:w="180" w:type="dxa"/>
            <w:vAlign w:val="bottom"/>
            <w:tcBorders>
              <w:bottom w:val="single" w:sz="8" w:color="F2F2F2"/>
            </w:tcBorders>
            <w:gridSpan w:val="2"/>
            <w:shd w:val="clear" w:color="auto" w:fill="F2F2F2"/>
          </w:tcPr>
          <w:p>
            <w:pPr>
              <w:ind w:left="8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F2F2F2"/>
            </w:tcBorders>
            <w:gridSpan w:val="2"/>
            <w:shd w:val="clear" w:color="auto" w:fill="F2F2F2"/>
          </w:tcPr>
          <w:p>
            <w:pPr>
              <w:ind w:left="40"/>
              <w:spacing w:after="0"/>
              <w:rPr>
                <w:sz w:val="20"/>
                <w:szCs w:val="20"/>
                <w:color w:val="auto"/>
              </w:rPr>
            </w:pPr>
            <w:r>
              <w:rPr>
                <w:rFonts w:ascii="Arial" w:cs="Arial" w:eastAsia="Arial" w:hAnsi="Arial"/>
                <w:sz w:val="12"/>
                <w:szCs w:val="12"/>
                <w:color w:val="auto"/>
              </w:rPr>
              <w:t>75.820</w:t>
            </w:r>
          </w:p>
        </w:tc>
        <w:tc>
          <w:tcPr>
            <w:tcW w:w="900" w:type="dxa"/>
            <w:vAlign w:val="bottom"/>
            <w:tcBorders>
              <w:bottom w:val="single" w:sz="8" w:color="F2F2F2"/>
            </w:tcBorders>
            <w:shd w:val="clear" w:color="auto" w:fill="F2F2F2"/>
          </w:tcPr>
          <w:p>
            <w:pPr>
              <w:jc w:val="right"/>
              <w:ind w:right="118"/>
              <w:spacing w:after="0"/>
              <w:rPr>
                <w:sz w:val="20"/>
                <w:szCs w:val="20"/>
                <w:color w:val="auto"/>
              </w:rPr>
            </w:pPr>
            <w:r>
              <w:rPr>
                <w:rFonts w:ascii="Arial" w:cs="Arial" w:eastAsia="Arial" w:hAnsi="Arial"/>
                <w:sz w:val="12"/>
                <w:szCs w:val="12"/>
                <w:color w:val="auto"/>
              </w:rPr>
              <w:t>01/01/34</w:t>
            </w:r>
          </w:p>
        </w:tc>
        <w:tc>
          <w:tcPr>
            <w:tcW w:w="64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6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01/02/24</w:t>
            </w: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6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4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900" w:type="dxa"/>
            <w:vAlign w:val="bottom"/>
            <w:tcBorders>
              <w:top w:val="single" w:sz="8" w:color="7F7F7F"/>
            </w:tcBorders>
          </w:tcPr>
          <w:p>
            <w:pPr>
              <w:spacing w:after="0"/>
              <w:rPr>
                <w:sz w:val="13"/>
                <w:szCs w:val="13"/>
                <w:color w:val="auto"/>
              </w:rPr>
            </w:pPr>
          </w:p>
        </w:tc>
        <w:tc>
          <w:tcPr>
            <w:tcW w:w="720" w:type="dxa"/>
            <w:vAlign w:val="bottom"/>
            <w:tcBorders>
              <w:top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780" w:type="dxa"/>
            <w:vAlign w:val="bottom"/>
            <w:tcBorders>
              <w:top w:val="single" w:sz="8" w:color="7F7F7F"/>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gridSpan w:val="2"/>
          </w:tcPr>
          <w:p>
            <w:pPr>
              <w:spacing w:after="0"/>
              <w:rPr>
                <w:sz w:val="3"/>
                <w:szCs w:val="3"/>
                <w:color w:val="auto"/>
              </w:rPr>
            </w:pPr>
          </w:p>
        </w:tc>
        <w:tc>
          <w:tcPr>
            <w:tcW w:w="180" w:type="dxa"/>
            <w:vAlign w:val="bottom"/>
            <w:tcBorders>
              <w:bottom w:val="single" w:sz="8" w:color="7F7F7F"/>
            </w:tcBorders>
            <w:gridSpan w:val="2"/>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01/02/24</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3,181</w:t>
            </w:r>
          </w:p>
        </w:tc>
        <w:tc>
          <w:tcPr>
            <w:tcW w:w="1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2"/>
                <w:szCs w:val="12"/>
                <w:color w:val="auto"/>
                <w:w w:val="96"/>
              </w:rPr>
              <w:t>280,856</w:t>
            </w:r>
          </w:p>
        </w:tc>
        <w:tc>
          <w:tcPr>
            <w:tcW w:w="160" w:type="dxa"/>
            <w:vAlign w:val="bottom"/>
            <w:tcBorders>
              <w:bottom w:val="single" w:sz="8" w:color="F2F2F2"/>
            </w:tcBorders>
            <w:shd w:val="clear" w:color="auto" w:fill="F2F2F2"/>
          </w:tcPr>
          <w:p>
            <w:pPr>
              <w:spacing w:after="0"/>
              <w:rPr>
                <w:sz w:val="16"/>
                <w:szCs w:val="16"/>
                <w:color w:val="auto"/>
              </w:rPr>
            </w:pP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01/02/24</w:t>
            </w: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6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4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900" w:type="dxa"/>
            <w:vAlign w:val="bottom"/>
            <w:tcBorders>
              <w:top w:val="single" w:sz="8" w:color="7F7F7F"/>
            </w:tcBorders>
          </w:tcPr>
          <w:p>
            <w:pPr>
              <w:spacing w:after="0"/>
              <w:rPr>
                <w:sz w:val="13"/>
                <w:szCs w:val="13"/>
                <w:color w:val="auto"/>
              </w:rPr>
            </w:pPr>
          </w:p>
        </w:tc>
        <w:tc>
          <w:tcPr>
            <w:tcW w:w="720" w:type="dxa"/>
            <w:vAlign w:val="bottom"/>
            <w:tcBorders>
              <w:top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9,321</w:t>
            </w:r>
          </w:p>
        </w:tc>
        <w:tc>
          <w:tcPr>
            <w:tcW w:w="180" w:type="dxa"/>
            <w:vAlign w:val="bottom"/>
            <w:tcBorders>
              <w:top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tcPr>
          <w:p>
            <w:pPr>
              <w:ind w:left="180"/>
              <w:spacing w:after="0"/>
              <w:rPr>
                <w:sz w:val="20"/>
                <w:szCs w:val="20"/>
                <w:color w:val="auto"/>
              </w:rPr>
            </w:pPr>
            <w:r>
              <w:rPr>
                <w:rFonts w:ascii="Arial" w:cs="Arial" w:eastAsia="Arial" w:hAnsi="Arial"/>
                <w:sz w:val="12"/>
                <w:szCs w:val="12"/>
                <w:color w:val="auto"/>
                <w:w w:val="96"/>
              </w:rPr>
              <w:t>822,960</w:t>
            </w:r>
          </w:p>
        </w:tc>
        <w:tc>
          <w:tcPr>
            <w:tcW w:w="160" w:type="dxa"/>
            <w:vAlign w:val="bottom"/>
            <w:tcBorders>
              <w:top w:val="single" w:sz="8" w:color="7F7F7F"/>
            </w:tcBorders>
          </w:tcPr>
          <w:p>
            <w:pPr>
              <w:spacing w:after="0"/>
              <w:rPr>
                <w:sz w:val="13"/>
                <w:szCs w:val="13"/>
                <w:color w:val="auto"/>
              </w:rPr>
            </w:pP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gridSpan w:val="2"/>
          </w:tcPr>
          <w:p>
            <w:pPr>
              <w:spacing w:after="0"/>
              <w:rPr>
                <w:sz w:val="3"/>
                <w:szCs w:val="3"/>
                <w:color w:val="auto"/>
              </w:rPr>
            </w:pPr>
          </w:p>
        </w:tc>
        <w:tc>
          <w:tcPr>
            <w:tcW w:w="180" w:type="dxa"/>
            <w:vAlign w:val="bottom"/>
            <w:tcBorders>
              <w:bottom w:val="single" w:sz="8" w:color="7F7F7F"/>
            </w:tcBorders>
            <w:gridSpan w:val="2"/>
          </w:tcPr>
          <w:p>
            <w:pPr>
              <w:spacing w:after="0"/>
              <w:rPr>
                <w:sz w:val="3"/>
                <w:szCs w:val="3"/>
                <w:color w:val="auto"/>
              </w:rPr>
            </w:pPr>
          </w:p>
        </w:tc>
        <w:tc>
          <w:tcPr>
            <w:tcW w:w="780" w:type="dxa"/>
            <w:vAlign w:val="bottom"/>
            <w:tcBorders>
              <w:bottom w:val="single" w:sz="8" w:color="7F7F7F"/>
            </w:tcBorders>
            <w:gridSpan w:val="2"/>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720" w:type="dxa"/>
            <w:vAlign w:val="bottom"/>
            <w:tcBorders>
              <w:bottom w:val="single" w:sz="8" w:color="7F7F7F"/>
            </w:tcBorders>
            <w:shd w:val="clear" w:color="auto" w:fill="F2F2F2"/>
          </w:tcPr>
          <w:p>
            <w:pPr>
              <w:jc w:val="right"/>
              <w:ind w:right="18"/>
              <w:spacing w:after="0"/>
              <w:rPr>
                <w:sz w:val="20"/>
                <w:szCs w:val="20"/>
                <w:color w:val="auto"/>
              </w:rPr>
            </w:pPr>
            <w:r>
              <w:rPr>
                <w:rFonts w:ascii="Arial" w:cs="Arial" w:eastAsia="Arial" w:hAnsi="Arial"/>
                <w:sz w:val="12"/>
                <w:szCs w:val="12"/>
                <w:color w:val="auto"/>
              </w:rPr>
              <w:t>01/03/23</w:t>
            </w: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6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420" w:type="dxa"/>
            <w:vAlign w:val="bottom"/>
            <w:tcBorders>
              <w:bottom w:val="single" w:sz="8" w:color="7F7F7F"/>
            </w:tcBorders>
            <w:shd w:val="clear" w:color="auto" w:fill="F2F2F2"/>
          </w:tcPr>
          <w:p>
            <w:pPr>
              <w:spacing w:after="0"/>
              <w:rPr>
                <w:sz w:val="16"/>
                <w:szCs w:val="16"/>
                <w:color w:val="auto"/>
              </w:rPr>
            </w:pPr>
          </w:p>
        </w:tc>
        <w:tc>
          <w:tcPr>
            <w:tcW w:w="160" w:type="dxa"/>
            <w:vAlign w:val="bottom"/>
            <w:tcBorders>
              <w:bottom w:val="single" w:sz="8" w:color="7F7F7F"/>
            </w:tcBorders>
            <w:shd w:val="clear" w:color="auto" w:fill="F2F2F2"/>
          </w:tcPr>
          <w:p>
            <w:pPr>
              <w:spacing w:after="0"/>
              <w:rPr>
                <w:sz w:val="16"/>
                <w:szCs w:val="16"/>
                <w:color w:val="auto"/>
              </w:rPr>
            </w:pPr>
          </w:p>
        </w:tc>
        <w:tc>
          <w:tcPr>
            <w:tcW w:w="900" w:type="dxa"/>
            <w:vAlign w:val="bottom"/>
            <w:tcBorders>
              <w:bottom w:val="single" w:sz="8" w:color="7F7F7F"/>
            </w:tcBorders>
            <w:shd w:val="clear" w:color="auto" w:fill="F2F2F2"/>
          </w:tcPr>
          <w:p>
            <w:pPr>
              <w:spacing w:after="0"/>
              <w:rPr>
                <w:sz w:val="16"/>
                <w:szCs w:val="16"/>
                <w:color w:val="auto"/>
              </w:rPr>
            </w:pPr>
          </w:p>
        </w:tc>
        <w:tc>
          <w:tcPr>
            <w:tcW w:w="720" w:type="dxa"/>
            <w:vAlign w:val="bottom"/>
            <w:tcBorders>
              <w:bottom w:val="single" w:sz="8" w:color="7F7F7F"/>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2,140</w:t>
            </w:r>
          </w:p>
        </w:tc>
        <w:tc>
          <w:tcPr>
            <w:tcW w:w="180" w:type="dxa"/>
            <w:vAlign w:val="bottom"/>
            <w:tcBorders>
              <w:bottom w:val="single" w:sz="8" w:color="7F7F7F"/>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7F7F7F"/>
            </w:tcBorders>
            <w:gridSpan w:val="2"/>
            <w:shd w:val="clear" w:color="auto" w:fill="F2F2F2"/>
          </w:tcPr>
          <w:p>
            <w:pPr>
              <w:ind w:left="180"/>
              <w:spacing w:after="0" w:line="194" w:lineRule="exact"/>
              <w:rPr>
                <w:sz w:val="20"/>
                <w:szCs w:val="20"/>
                <w:color w:val="auto"/>
              </w:rPr>
            </w:pPr>
            <w:r>
              <w:rPr>
                <w:rFonts w:ascii="Arial" w:cs="Arial" w:eastAsia="Arial" w:hAnsi="Arial"/>
                <w:sz w:val="12"/>
                <w:szCs w:val="12"/>
                <w:color w:val="auto"/>
                <w:w w:val="98"/>
              </w:rPr>
              <w:t>188,910</w:t>
            </w:r>
            <w:r>
              <w:rPr>
                <w:rFonts w:ascii="Arial" w:cs="Arial" w:eastAsia="Arial" w:hAnsi="Arial"/>
                <w:sz w:val="18"/>
                <w:szCs w:val="18"/>
                <w:color w:val="auto"/>
                <w:w w:val="98"/>
                <w:vertAlign w:val="superscript"/>
              </w:rPr>
              <w:t>(F)</w:t>
            </w:r>
          </w:p>
        </w:tc>
        <w:tc>
          <w:tcPr>
            <w:tcW w:w="2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260" w:type="dxa"/>
            <w:vAlign w:val="bottom"/>
            <w:tcBorders>
              <w:bottom w:val="single" w:sz="8" w:color="7F7F7F"/>
            </w:tcBorders>
            <w:shd w:val="clear" w:color="auto" w:fill="F2F2F2"/>
          </w:tcPr>
          <w:p>
            <w:pPr>
              <w:spacing w:after="0"/>
              <w:rPr>
                <w:sz w:val="16"/>
                <w:szCs w:val="16"/>
                <w:color w:val="auto"/>
              </w:rPr>
            </w:pPr>
          </w:p>
        </w:tc>
        <w:tc>
          <w:tcPr>
            <w:tcW w:w="460" w:type="dxa"/>
            <w:vAlign w:val="bottom"/>
            <w:tcBorders>
              <w:bottom w:val="single" w:sz="8" w:color="7F7F7F"/>
            </w:tcBorders>
            <w:shd w:val="clear" w:color="auto" w:fill="F2F2F2"/>
          </w:tcPr>
          <w:p>
            <w:pPr>
              <w:spacing w:after="0"/>
              <w:rPr>
                <w:sz w:val="16"/>
                <w:szCs w:val="16"/>
                <w:color w:val="auto"/>
              </w:rPr>
            </w:pPr>
          </w:p>
        </w:tc>
        <w:tc>
          <w:tcPr>
            <w:tcW w:w="140" w:type="dxa"/>
            <w:vAlign w:val="bottom"/>
            <w:tcBorders>
              <w:bottom w:val="single" w:sz="8" w:color="7F7F7F"/>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720" w:type="dxa"/>
            <w:vAlign w:val="bottom"/>
            <w:tcBorders>
              <w:bottom w:val="single" w:sz="8" w:color="7F7F7F"/>
            </w:tcBorders>
          </w:tcPr>
          <w:p>
            <w:pPr>
              <w:jc w:val="right"/>
              <w:ind w:right="18"/>
              <w:spacing w:after="0"/>
              <w:rPr>
                <w:sz w:val="20"/>
                <w:szCs w:val="20"/>
                <w:color w:val="auto"/>
              </w:rPr>
            </w:pPr>
            <w:r>
              <w:rPr>
                <w:rFonts w:ascii="Arial" w:cs="Arial" w:eastAsia="Arial" w:hAnsi="Arial"/>
                <w:sz w:val="12"/>
                <w:szCs w:val="12"/>
                <w:color w:val="auto"/>
              </w:rPr>
              <w:t>01/03/23</w:t>
            </w:r>
          </w:p>
        </w:tc>
        <w:tc>
          <w:tcPr>
            <w:tcW w:w="100" w:type="dxa"/>
            <w:vAlign w:val="bottom"/>
            <w:tcBorders>
              <w:bottom w:val="single" w:sz="8" w:color="7F7F7F"/>
            </w:tcBorders>
          </w:tcPr>
          <w:p>
            <w:pPr>
              <w:spacing w:after="0"/>
              <w:rPr>
                <w:sz w:val="16"/>
                <w:szCs w:val="16"/>
                <w:color w:val="auto"/>
              </w:rPr>
            </w:pPr>
          </w:p>
        </w:tc>
        <w:tc>
          <w:tcPr>
            <w:tcW w:w="70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6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42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2,987</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7F7F7F"/>
            </w:tcBorders>
            <w:gridSpan w:val="2"/>
          </w:tcPr>
          <w:p>
            <w:pPr>
              <w:ind w:left="180"/>
              <w:spacing w:after="0" w:line="194" w:lineRule="exact"/>
              <w:rPr>
                <w:sz w:val="20"/>
                <w:szCs w:val="20"/>
                <w:color w:val="auto"/>
              </w:rPr>
            </w:pPr>
            <w:r>
              <w:rPr>
                <w:rFonts w:ascii="Arial" w:cs="Arial" w:eastAsia="Arial" w:hAnsi="Arial"/>
                <w:sz w:val="12"/>
                <w:szCs w:val="12"/>
                <w:color w:val="auto"/>
                <w:w w:val="98"/>
              </w:rPr>
              <w:t>263,761</w:t>
            </w:r>
            <w:r>
              <w:rPr>
                <w:rFonts w:ascii="Arial" w:cs="Arial" w:eastAsia="Arial" w:hAnsi="Arial"/>
                <w:sz w:val="18"/>
                <w:szCs w:val="18"/>
                <w:color w:val="auto"/>
                <w:w w:val="98"/>
                <w:vertAlign w:val="superscript"/>
              </w:rPr>
              <w:t>(F)</w:t>
            </w: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7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60" w:type="dxa"/>
            <w:vAlign w:val="bottom"/>
            <w:tcBorders>
              <w:bottom w:val="single" w:sz="8" w:color="7F7F7F"/>
            </w:tcBorders>
          </w:tcPr>
          <w:p>
            <w:pPr>
              <w:spacing w:after="0"/>
              <w:rPr>
                <w:sz w:val="16"/>
                <w:szCs w:val="16"/>
                <w:color w:val="auto"/>
              </w:rPr>
            </w:pPr>
          </w:p>
        </w:tc>
        <w:tc>
          <w:tcPr>
            <w:tcW w:w="46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720" w:type="dxa"/>
            <w:vAlign w:val="bottom"/>
            <w:tcBorders>
              <w:bottom w:val="single" w:sz="8" w:color="7F7F7F"/>
            </w:tcBorders>
            <w:shd w:val="clear" w:color="auto" w:fill="F2F2F2"/>
          </w:tcPr>
          <w:p>
            <w:pPr>
              <w:jc w:val="right"/>
              <w:ind w:right="18"/>
              <w:spacing w:after="0"/>
              <w:rPr>
                <w:sz w:val="20"/>
                <w:szCs w:val="20"/>
                <w:color w:val="auto"/>
              </w:rPr>
            </w:pPr>
            <w:r>
              <w:rPr>
                <w:rFonts w:ascii="Arial" w:cs="Arial" w:eastAsia="Arial" w:hAnsi="Arial"/>
                <w:sz w:val="12"/>
                <w:szCs w:val="12"/>
                <w:color w:val="auto"/>
              </w:rPr>
              <w:t>01/03/23</w:t>
            </w: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6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420" w:type="dxa"/>
            <w:vAlign w:val="bottom"/>
            <w:tcBorders>
              <w:bottom w:val="single" w:sz="8" w:color="7F7F7F"/>
            </w:tcBorders>
            <w:shd w:val="clear" w:color="auto" w:fill="F2F2F2"/>
          </w:tcPr>
          <w:p>
            <w:pPr>
              <w:spacing w:after="0"/>
              <w:rPr>
                <w:sz w:val="16"/>
                <w:szCs w:val="16"/>
                <w:color w:val="auto"/>
              </w:rPr>
            </w:pPr>
          </w:p>
        </w:tc>
        <w:tc>
          <w:tcPr>
            <w:tcW w:w="160" w:type="dxa"/>
            <w:vAlign w:val="bottom"/>
            <w:tcBorders>
              <w:bottom w:val="single" w:sz="8" w:color="7F7F7F"/>
            </w:tcBorders>
            <w:shd w:val="clear" w:color="auto" w:fill="F2F2F2"/>
          </w:tcPr>
          <w:p>
            <w:pPr>
              <w:spacing w:after="0"/>
              <w:rPr>
                <w:sz w:val="16"/>
                <w:szCs w:val="16"/>
                <w:color w:val="auto"/>
              </w:rPr>
            </w:pPr>
          </w:p>
        </w:tc>
        <w:tc>
          <w:tcPr>
            <w:tcW w:w="900" w:type="dxa"/>
            <w:vAlign w:val="bottom"/>
            <w:tcBorders>
              <w:bottom w:val="single" w:sz="8" w:color="7F7F7F"/>
            </w:tcBorders>
            <w:shd w:val="clear" w:color="auto" w:fill="F2F2F2"/>
          </w:tcPr>
          <w:p>
            <w:pPr>
              <w:spacing w:after="0"/>
              <w:rPr>
                <w:sz w:val="16"/>
                <w:szCs w:val="16"/>
                <w:color w:val="auto"/>
              </w:rPr>
            </w:pPr>
          </w:p>
        </w:tc>
        <w:tc>
          <w:tcPr>
            <w:tcW w:w="720" w:type="dxa"/>
            <w:vAlign w:val="bottom"/>
            <w:tcBorders>
              <w:bottom w:val="single" w:sz="8" w:color="7F7F7F"/>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780" w:type="dxa"/>
            <w:vAlign w:val="bottom"/>
            <w:tcBorders>
              <w:bottom w:val="single" w:sz="8" w:color="7F7F7F"/>
            </w:tcBorders>
            <w:gridSpan w:val="2"/>
            <w:shd w:val="clear" w:color="auto" w:fill="F2F2F2"/>
          </w:tcPr>
          <w:p>
            <w:pPr>
              <w:jc w:val="center"/>
              <w:ind w:left="419"/>
              <w:spacing w:after="0" w:line="194" w:lineRule="exact"/>
              <w:rPr>
                <w:sz w:val="20"/>
                <w:szCs w:val="20"/>
                <w:color w:val="auto"/>
              </w:rPr>
            </w:pPr>
            <w:r>
              <w:rPr>
                <w:rFonts w:ascii="Arial" w:cs="Arial" w:eastAsia="Arial" w:hAnsi="Arial"/>
                <w:sz w:val="22"/>
                <w:szCs w:val="22"/>
                <w:color w:val="auto"/>
                <w:w w:val="93"/>
                <w:vertAlign w:val="subscript"/>
              </w:rPr>
              <w:t>—</w:t>
            </w:r>
            <w:r>
              <w:rPr>
                <w:rFonts w:ascii="Arial" w:cs="Arial" w:eastAsia="Arial" w:hAnsi="Arial"/>
                <w:sz w:val="9"/>
                <w:szCs w:val="9"/>
                <w:color w:val="auto"/>
                <w:w w:val="93"/>
              </w:rPr>
              <w:t>(G)</w:t>
            </w:r>
          </w:p>
        </w:tc>
        <w:tc>
          <w:tcPr>
            <w:tcW w:w="2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260" w:type="dxa"/>
            <w:vAlign w:val="bottom"/>
            <w:tcBorders>
              <w:bottom w:val="single" w:sz="8" w:color="7F7F7F"/>
            </w:tcBorders>
            <w:shd w:val="clear" w:color="auto" w:fill="F2F2F2"/>
          </w:tcPr>
          <w:p>
            <w:pPr>
              <w:spacing w:after="0"/>
              <w:rPr>
                <w:sz w:val="16"/>
                <w:szCs w:val="16"/>
                <w:color w:val="auto"/>
              </w:rPr>
            </w:pPr>
          </w:p>
        </w:tc>
        <w:tc>
          <w:tcPr>
            <w:tcW w:w="460" w:type="dxa"/>
            <w:vAlign w:val="bottom"/>
            <w:tcBorders>
              <w:bottom w:val="single" w:sz="8" w:color="7F7F7F"/>
            </w:tcBorders>
            <w:shd w:val="clear" w:color="auto" w:fill="F2F2F2"/>
          </w:tcPr>
          <w:p>
            <w:pPr>
              <w:spacing w:after="0"/>
              <w:rPr>
                <w:sz w:val="16"/>
                <w:szCs w:val="16"/>
                <w:color w:val="auto"/>
              </w:rPr>
            </w:pPr>
          </w:p>
        </w:tc>
        <w:tc>
          <w:tcPr>
            <w:tcW w:w="140" w:type="dxa"/>
            <w:vAlign w:val="bottom"/>
            <w:tcBorders>
              <w:bottom w:val="single" w:sz="8" w:color="7F7F7F"/>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40" w:type="dxa"/>
            <w:vAlign w:val="bottom"/>
          </w:tcPr>
          <w:p>
            <w:pPr>
              <w:spacing w:after="0"/>
              <w:rPr>
                <w:sz w:val="11"/>
                <w:szCs w:val="11"/>
                <w:color w:val="auto"/>
              </w:rPr>
            </w:pPr>
          </w:p>
        </w:tc>
        <w:tc>
          <w:tcPr>
            <w:tcW w:w="7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01/03/23</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4"/>
          </w:tcPr>
          <w:p>
            <w:pPr>
              <w:jc w:val="right"/>
              <w:ind w:right="100"/>
              <w:spacing w:after="0" w:line="128" w:lineRule="exact"/>
              <w:rPr>
                <w:sz w:val="20"/>
                <w:szCs w:val="20"/>
                <w:color w:val="auto"/>
              </w:rPr>
            </w:pPr>
            <w:r>
              <w:rPr>
                <w:rFonts w:ascii="Arial" w:cs="Arial" w:eastAsia="Arial" w:hAnsi="Arial"/>
                <w:sz w:val="12"/>
                <w:szCs w:val="12"/>
                <w:color w:val="auto"/>
              </w:rPr>
              <w:t>2,446</w:t>
            </w:r>
          </w:p>
        </w:tc>
        <w:tc>
          <w:tcPr>
            <w:tcW w:w="360" w:type="dxa"/>
            <w:vAlign w:val="bottom"/>
            <w:gridSpan w:val="2"/>
          </w:tcPr>
          <w:p>
            <w:pPr>
              <w:jc w:val="right"/>
              <w:ind w:right="139"/>
              <w:spacing w:after="0" w:line="128" w:lineRule="exact"/>
              <w:rPr>
                <w:sz w:val="20"/>
                <w:szCs w:val="20"/>
                <w:color w:val="auto"/>
              </w:rPr>
            </w:pPr>
            <w:r>
              <w:rPr>
                <w:rFonts w:ascii="Arial" w:cs="Arial" w:eastAsia="Arial" w:hAnsi="Arial"/>
                <w:sz w:val="12"/>
                <w:szCs w:val="12"/>
                <w:color w:val="auto"/>
              </w:rPr>
              <w:t>$</w:t>
            </w:r>
          </w:p>
        </w:tc>
        <w:tc>
          <w:tcPr>
            <w:tcW w:w="600" w:type="dxa"/>
            <w:vAlign w:val="bottom"/>
            <w:gridSpan w:val="2"/>
          </w:tcPr>
          <w:p>
            <w:pPr>
              <w:spacing w:after="0" w:line="127" w:lineRule="exact"/>
              <w:rPr>
                <w:sz w:val="20"/>
                <w:szCs w:val="20"/>
                <w:color w:val="auto"/>
              </w:rPr>
            </w:pPr>
            <w:r>
              <w:rPr>
                <w:rFonts w:ascii="Arial" w:cs="Arial" w:eastAsia="Arial" w:hAnsi="Arial"/>
                <w:sz w:val="10"/>
                <w:szCs w:val="10"/>
                <w:color w:val="auto"/>
              </w:rPr>
              <w:t>215,956</w:t>
            </w:r>
            <w:r>
              <w:rPr>
                <w:rFonts w:ascii="Arial" w:cs="Arial" w:eastAsia="Arial" w:hAnsi="Arial"/>
                <w:sz w:val="14"/>
                <w:szCs w:val="14"/>
                <w:color w:val="auto"/>
                <w:vertAlign w:val="superscript"/>
              </w:rPr>
              <w:t>(J)</w:t>
            </w:r>
          </w:p>
        </w:tc>
        <w:tc>
          <w:tcPr>
            <w:tcW w:w="0" w:type="dxa"/>
            <w:vAlign w:val="bottom"/>
          </w:tcPr>
          <w:p>
            <w:pPr>
              <w:spacing w:after="0"/>
              <w:rPr>
                <w:sz w:val="1"/>
                <w:szCs w:val="1"/>
                <w:color w:val="auto"/>
              </w:rPr>
            </w:pPr>
          </w:p>
        </w:tc>
      </w:tr>
      <w:tr>
        <w:trPr>
          <w:trHeight w:val="267"/>
        </w:trPr>
        <w:tc>
          <w:tcPr>
            <w:tcW w:w="3040" w:type="dxa"/>
            <w:vAlign w:val="bottom"/>
            <w:tcBorders>
              <w:bottom w:val="single" w:sz="8" w:color="7F7F7F"/>
            </w:tcBorders>
          </w:tcPr>
          <w:p>
            <w:pPr>
              <w:spacing w:after="0"/>
              <w:rPr>
                <w:sz w:val="23"/>
                <w:szCs w:val="23"/>
                <w:color w:val="auto"/>
              </w:rPr>
            </w:pPr>
          </w:p>
        </w:tc>
        <w:tc>
          <w:tcPr>
            <w:tcW w:w="720" w:type="dxa"/>
            <w:vAlign w:val="bottom"/>
            <w:tcBorders>
              <w:bottom w:val="single" w:sz="8" w:color="7F7F7F"/>
            </w:tcBorders>
            <w:shd w:val="clear" w:color="auto" w:fill="F2F2F2"/>
          </w:tcPr>
          <w:p>
            <w:pPr>
              <w:spacing w:after="0"/>
              <w:rPr>
                <w:sz w:val="23"/>
                <w:szCs w:val="23"/>
                <w:color w:val="auto"/>
              </w:rPr>
            </w:pPr>
          </w:p>
        </w:tc>
        <w:tc>
          <w:tcPr>
            <w:tcW w:w="880" w:type="dxa"/>
            <w:vAlign w:val="bottom"/>
            <w:tcBorders>
              <w:bottom w:val="single" w:sz="8" w:color="7F7F7F"/>
            </w:tcBorders>
            <w:gridSpan w:val="3"/>
            <w:shd w:val="clear" w:color="auto" w:fill="F2F2F2"/>
          </w:tcPr>
          <w:p>
            <w:pPr>
              <w:jc w:val="right"/>
              <w:ind w:right="80"/>
              <w:spacing w:after="0"/>
              <w:rPr>
                <w:sz w:val="20"/>
                <w:szCs w:val="20"/>
                <w:color w:val="auto"/>
              </w:rPr>
            </w:pPr>
            <w:r>
              <w:rPr>
                <w:rFonts w:ascii="Arial" w:cs="Arial" w:eastAsia="Arial" w:hAnsi="Arial"/>
                <w:sz w:val="12"/>
                <w:szCs w:val="12"/>
                <w:color w:val="auto"/>
              </w:rPr>
              <w:t>13,546</w:t>
            </w:r>
          </w:p>
        </w:tc>
        <w:tc>
          <w:tcPr>
            <w:tcW w:w="1060" w:type="dxa"/>
            <w:vAlign w:val="bottom"/>
            <w:tcBorders>
              <w:bottom w:val="single" w:sz="8" w:color="7F7F7F"/>
            </w:tcBorders>
            <w:gridSpan w:val="3"/>
            <w:shd w:val="clear" w:color="auto" w:fill="F2F2F2"/>
          </w:tcPr>
          <w:p>
            <w:pPr>
              <w:jc w:val="right"/>
              <w:ind w:right="100"/>
              <w:spacing w:after="0"/>
              <w:rPr>
                <w:sz w:val="20"/>
                <w:szCs w:val="20"/>
                <w:color w:val="auto"/>
              </w:rPr>
            </w:pPr>
            <w:r>
              <w:rPr>
                <w:rFonts w:ascii="Arial" w:cs="Arial" w:eastAsia="Arial" w:hAnsi="Arial"/>
                <w:sz w:val="12"/>
                <w:szCs w:val="12"/>
                <w:color w:val="auto"/>
              </w:rPr>
              <w:t>67,909</w:t>
            </w:r>
          </w:p>
        </w:tc>
        <w:tc>
          <w:tcPr>
            <w:tcW w:w="180" w:type="dxa"/>
            <w:vAlign w:val="bottom"/>
            <w:tcBorders>
              <w:bottom w:val="single" w:sz="8" w:color="7F7F7F"/>
            </w:tcBorders>
            <w:gridSpan w:val="2"/>
            <w:shd w:val="clear" w:color="auto" w:fill="F2F2F2"/>
          </w:tcPr>
          <w:p>
            <w:pPr>
              <w:ind w:left="8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7F7F7F"/>
              <w:bottom w:val="single" w:sz="8" w:color="7F7F7F"/>
            </w:tcBorders>
            <w:gridSpan w:val="2"/>
            <w:shd w:val="clear" w:color="auto" w:fill="F2F2F2"/>
          </w:tcPr>
          <w:p>
            <w:pPr>
              <w:ind w:left="40"/>
              <w:spacing w:after="0"/>
              <w:rPr>
                <w:sz w:val="20"/>
                <w:szCs w:val="20"/>
                <w:color w:val="auto"/>
              </w:rPr>
            </w:pPr>
            <w:r>
              <w:rPr>
                <w:rFonts w:ascii="Arial" w:cs="Arial" w:eastAsia="Arial" w:hAnsi="Arial"/>
                <w:sz w:val="12"/>
                <w:szCs w:val="12"/>
                <w:color w:val="auto"/>
                <w:w w:val="98"/>
              </w:rPr>
              <w:t>81.487</w:t>
            </w:r>
            <w:r>
              <w:rPr>
                <w:rFonts w:ascii="Arial" w:cs="Arial" w:eastAsia="Arial" w:hAnsi="Arial"/>
                <w:sz w:val="18"/>
                <w:szCs w:val="18"/>
                <w:color w:val="auto"/>
                <w:w w:val="98"/>
                <w:vertAlign w:val="superscript"/>
              </w:rPr>
              <w:t>(E)</w:t>
            </w:r>
          </w:p>
        </w:tc>
        <w:tc>
          <w:tcPr>
            <w:tcW w:w="900" w:type="dxa"/>
            <w:vAlign w:val="bottom"/>
            <w:tcBorders>
              <w:bottom w:val="single" w:sz="8" w:color="7F7F7F"/>
            </w:tcBorders>
            <w:shd w:val="clear" w:color="auto" w:fill="F2F2F2"/>
          </w:tcPr>
          <w:p>
            <w:pPr>
              <w:spacing w:after="0"/>
              <w:rPr>
                <w:sz w:val="23"/>
                <w:szCs w:val="23"/>
                <w:color w:val="auto"/>
              </w:rPr>
            </w:pPr>
          </w:p>
        </w:tc>
        <w:tc>
          <w:tcPr>
            <w:tcW w:w="720" w:type="dxa"/>
            <w:vAlign w:val="bottom"/>
            <w:tcBorders>
              <w:top w:val="single" w:sz="8" w:color="7F7F7F"/>
              <w:bottom w:val="single" w:sz="8" w:color="7F7F7F"/>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30,140</w:t>
            </w:r>
          </w:p>
        </w:tc>
        <w:tc>
          <w:tcPr>
            <w:tcW w:w="180" w:type="dxa"/>
            <w:vAlign w:val="bottom"/>
            <w:tcBorders>
              <w:bottom w:val="single" w:sz="8" w:color="7F7F7F"/>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7F7F7F"/>
              <w:bottom w:val="single" w:sz="8" w:color="7F7F7F"/>
            </w:tcBorders>
            <w:gridSpan w:val="2"/>
            <w:shd w:val="clear" w:color="auto" w:fill="F2F2F2"/>
          </w:tcPr>
          <w:p>
            <w:pPr>
              <w:jc w:val="right"/>
              <w:ind w:right="160"/>
              <w:spacing w:after="0"/>
              <w:rPr>
                <w:sz w:val="20"/>
                <w:szCs w:val="20"/>
                <w:color w:val="auto"/>
              </w:rPr>
            </w:pPr>
            <w:r>
              <w:rPr>
                <w:rFonts w:ascii="Arial" w:cs="Arial" w:eastAsia="Arial" w:hAnsi="Arial"/>
                <w:sz w:val="12"/>
                <w:szCs w:val="12"/>
                <w:color w:val="auto"/>
              </w:rPr>
              <w:t>2,661,035</w:t>
            </w:r>
          </w:p>
        </w:tc>
        <w:tc>
          <w:tcPr>
            <w:tcW w:w="920" w:type="dxa"/>
            <w:vAlign w:val="bottom"/>
            <w:tcBorders>
              <w:bottom w:val="single" w:sz="8" w:color="7F7F7F"/>
            </w:tcBorders>
            <w:gridSpan w:val="4"/>
            <w:shd w:val="clear" w:color="auto" w:fill="F2F2F2"/>
          </w:tcPr>
          <w:p>
            <w:pPr>
              <w:jc w:val="right"/>
              <w:ind w:right="100"/>
              <w:spacing w:after="0"/>
              <w:rPr>
                <w:sz w:val="20"/>
                <w:szCs w:val="20"/>
                <w:color w:val="auto"/>
              </w:rPr>
            </w:pPr>
            <w:r>
              <w:rPr>
                <w:rFonts w:ascii="Arial" w:cs="Arial" w:eastAsia="Arial" w:hAnsi="Arial"/>
                <w:sz w:val="12"/>
                <w:szCs w:val="12"/>
                <w:color w:val="auto"/>
              </w:rPr>
              <w:t>2,446</w:t>
            </w:r>
          </w:p>
        </w:tc>
        <w:tc>
          <w:tcPr>
            <w:tcW w:w="360" w:type="dxa"/>
            <w:vAlign w:val="bottom"/>
            <w:tcBorders>
              <w:bottom w:val="single" w:sz="8" w:color="7F7F7F"/>
            </w:tcBorders>
            <w:gridSpan w:val="2"/>
            <w:shd w:val="clear" w:color="auto" w:fill="F2F2F2"/>
          </w:tcPr>
          <w:p>
            <w:pPr>
              <w:jc w:val="right"/>
              <w:ind w:right="139"/>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7F7F7F"/>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215,956</w:t>
            </w:r>
          </w:p>
        </w:tc>
        <w:tc>
          <w:tcPr>
            <w:tcW w:w="140" w:type="dxa"/>
            <w:vAlign w:val="bottom"/>
            <w:tcBorders>
              <w:bottom w:val="single" w:sz="8" w:color="7F7F7F"/>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3040" w:type="dxa"/>
            <w:vAlign w:val="bottom"/>
          </w:tcPr>
          <w:p>
            <w:pPr>
              <w:ind w:left="80"/>
              <w:spacing w:after="0"/>
              <w:rPr>
                <w:sz w:val="20"/>
                <w:szCs w:val="20"/>
                <w:color w:val="auto"/>
              </w:rPr>
            </w:pPr>
            <w:r>
              <w:rPr>
                <w:rFonts w:ascii="Arial" w:cs="Arial" w:eastAsia="Arial" w:hAnsi="Arial"/>
                <w:sz w:val="12"/>
                <w:szCs w:val="12"/>
                <w:b w:val="1"/>
                <w:bCs w:val="1"/>
                <w:color w:val="auto"/>
              </w:rPr>
              <w:t>Justin C. Bird</w:t>
            </w:r>
          </w:p>
        </w:tc>
        <w:tc>
          <w:tcPr>
            <w:tcW w:w="720" w:type="dxa"/>
            <w:vAlign w:val="bottom"/>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2"/>
                <w:szCs w:val="12"/>
                <w:color w:val="auto"/>
              </w:rPr>
              <w:t>40,250</w:t>
            </w:r>
          </w:p>
        </w:tc>
        <w:tc>
          <w:tcPr>
            <w:tcW w:w="18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580" w:type="dxa"/>
            <w:vAlign w:val="bottom"/>
            <w:gridSpan w:val="2"/>
          </w:tcPr>
          <w:p>
            <w:pPr>
              <w:ind w:left="40"/>
              <w:spacing w:after="0"/>
              <w:rPr>
                <w:sz w:val="20"/>
                <w:szCs w:val="20"/>
                <w:color w:val="auto"/>
              </w:rPr>
            </w:pPr>
            <w:r>
              <w:rPr>
                <w:rFonts w:ascii="Arial" w:cs="Arial" w:eastAsia="Arial" w:hAnsi="Arial"/>
                <w:sz w:val="12"/>
                <w:szCs w:val="12"/>
                <w:color w:val="auto"/>
              </w:rPr>
              <w:t>87.130</w:t>
            </w:r>
          </w:p>
        </w:tc>
        <w:tc>
          <w:tcPr>
            <w:tcW w:w="900" w:type="dxa"/>
            <w:vAlign w:val="bottom"/>
          </w:tcPr>
          <w:p>
            <w:pPr>
              <w:jc w:val="right"/>
              <w:ind w:right="118"/>
              <w:spacing w:after="0"/>
              <w:rPr>
                <w:sz w:val="20"/>
                <w:szCs w:val="20"/>
                <w:color w:val="auto"/>
              </w:rPr>
            </w:pPr>
            <w:r>
              <w:rPr>
                <w:rFonts w:ascii="Arial" w:cs="Arial" w:eastAsia="Arial" w:hAnsi="Arial"/>
                <w:sz w:val="12"/>
                <w:szCs w:val="12"/>
                <w:color w:val="auto"/>
              </w:rPr>
              <w:t>01/01/35</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3040" w:type="dxa"/>
            <w:vAlign w:val="bottom"/>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gridSpan w:val="2"/>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gridSpan w:val="2"/>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70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10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460" w:type="dxa"/>
            <w:vAlign w:val="bottom"/>
            <w:tcBorders>
              <w:bottom w:val="single" w:sz="8" w:color="7F7F7F"/>
            </w:tcBorders>
          </w:tcPr>
          <w:p>
            <w:pPr>
              <w:spacing w:after="0"/>
              <w:rPr>
                <w:sz w:val="4"/>
                <w:szCs w:val="4"/>
                <w:color w:val="auto"/>
              </w:rPr>
            </w:pPr>
          </w:p>
        </w:tc>
        <w:tc>
          <w:tcPr>
            <w:tcW w:w="1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gridSpan w:val="2"/>
            <w:shd w:val="clear" w:color="auto" w:fill="F2F2F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6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4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900" w:type="dxa"/>
            <w:vAlign w:val="bottom"/>
            <w:tcBorders>
              <w:top w:val="single" w:sz="8" w:color="7F7F7F"/>
            </w:tcBorders>
          </w:tcPr>
          <w:p>
            <w:pPr>
              <w:spacing w:after="0"/>
              <w:rPr>
                <w:sz w:val="13"/>
                <w:szCs w:val="13"/>
                <w:color w:val="auto"/>
              </w:rPr>
            </w:pPr>
          </w:p>
        </w:tc>
        <w:tc>
          <w:tcPr>
            <w:tcW w:w="720" w:type="dxa"/>
            <w:vAlign w:val="bottom"/>
            <w:tcBorders>
              <w:top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2,591</w:t>
            </w:r>
          </w:p>
        </w:tc>
        <w:tc>
          <w:tcPr>
            <w:tcW w:w="180" w:type="dxa"/>
            <w:vAlign w:val="bottom"/>
            <w:tcBorders>
              <w:top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tcPr>
          <w:p>
            <w:pPr>
              <w:ind w:left="180"/>
              <w:spacing w:after="0"/>
              <w:rPr>
                <w:sz w:val="20"/>
                <w:szCs w:val="20"/>
                <w:color w:val="auto"/>
              </w:rPr>
            </w:pPr>
            <w:r>
              <w:rPr>
                <w:rFonts w:ascii="Arial" w:cs="Arial" w:eastAsia="Arial" w:hAnsi="Arial"/>
                <w:sz w:val="12"/>
                <w:szCs w:val="12"/>
                <w:color w:val="auto"/>
                <w:w w:val="96"/>
              </w:rPr>
              <w:t>228,776</w:t>
            </w:r>
          </w:p>
        </w:tc>
        <w:tc>
          <w:tcPr>
            <w:tcW w:w="160" w:type="dxa"/>
            <w:vAlign w:val="bottom"/>
            <w:tcBorders>
              <w:top w:val="single" w:sz="8" w:color="7F7F7F"/>
            </w:tcBorders>
          </w:tcPr>
          <w:p>
            <w:pPr>
              <w:spacing w:after="0"/>
              <w:rPr>
                <w:sz w:val="13"/>
                <w:szCs w:val="13"/>
                <w:color w:val="auto"/>
              </w:rPr>
            </w:pP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gridSpan w:val="2"/>
          </w:tcPr>
          <w:p>
            <w:pPr>
              <w:spacing w:after="0"/>
              <w:rPr>
                <w:sz w:val="3"/>
                <w:szCs w:val="3"/>
                <w:color w:val="auto"/>
              </w:rPr>
            </w:pPr>
          </w:p>
        </w:tc>
        <w:tc>
          <w:tcPr>
            <w:tcW w:w="180" w:type="dxa"/>
            <w:vAlign w:val="bottom"/>
            <w:tcBorders>
              <w:bottom w:val="single" w:sz="8" w:color="7F7F7F"/>
            </w:tcBorders>
            <w:gridSpan w:val="2"/>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01/02/25</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9,746</w:t>
            </w:r>
          </w:p>
        </w:tc>
        <w:tc>
          <w:tcPr>
            <w:tcW w:w="1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2"/>
                <w:szCs w:val="12"/>
                <w:color w:val="auto"/>
                <w:w w:val="96"/>
              </w:rPr>
              <w:t>860,436</w:t>
            </w:r>
          </w:p>
        </w:tc>
        <w:tc>
          <w:tcPr>
            <w:tcW w:w="160" w:type="dxa"/>
            <w:vAlign w:val="bottom"/>
            <w:tcBorders>
              <w:bottom w:val="single" w:sz="8" w:color="F2F2F2"/>
            </w:tcBorders>
            <w:shd w:val="clear" w:color="auto" w:fill="F2F2F2"/>
          </w:tcPr>
          <w:p>
            <w:pPr>
              <w:spacing w:after="0"/>
              <w:rPr>
                <w:sz w:val="16"/>
                <w:szCs w:val="16"/>
                <w:color w:val="auto"/>
              </w:rPr>
            </w:pP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01/02/24</w:t>
            </w:r>
          </w:p>
        </w:tc>
        <w:tc>
          <w:tcPr>
            <w:tcW w:w="880" w:type="dxa"/>
            <w:vAlign w:val="bottom"/>
            <w:tcBorders>
              <w:top w:val="single" w:sz="8" w:color="7F7F7F"/>
            </w:tcBorders>
            <w:gridSpan w:val="3"/>
          </w:tcPr>
          <w:p>
            <w:pPr>
              <w:jc w:val="right"/>
              <w:ind w:right="80"/>
              <w:spacing w:after="0"/>
              <w:rPr>
                <w:sz w:val="20"/>
                <w:szCs w:val="20"/>
                <w:color w:val="auto"/>
              </w:rPr>
            </w:pPr>
            <w:r>
              <w:rPr>
                <w:rFonts w:ascii="Arial" w:cs="Arial" w:eastAsia="Arial" w:hAnsi="Arial"/>
                <w:sz w:val="12"/>
                <w:szCs w:val="12"/>
                <w:color w:val="auto"/>
              </w:rPr>
              <w:t>12,971</w:t>
            </w:r>
          </w:p>
        </w:tc>
        <w:tc>
          <w:tcPr>
            <w:tcW w:w="1060" w:type="dxa"/>
            <w:vAlign w:val="bottom"/>
            <w:tcBorders>
              <w:top w:val="single" w:sz="8" w:color="7F7F7F"/>
            </w:tcBorders>
            <w:gridSpan w:val="3"/>
          </w:tcPr>
          <w:p>
            <w:pPr>
              <w:jc w:val="right"/>
              <w:ind w:right="100"/>
              <w:spacing w:after="0"/>
              <w:rPr>
                <w:sz w:val="20"/>
                <w:szCs w:val="20"/>
                <w:color w:val="auto"/>
              </w:rPr>
            </w:pPr>
            <w:r>
              <w:rPr>
                <w:rFonts w:ascii="Arial" w:cs="Arial" w:eastAsia="Arial" w:hAnsi="Arial"/>
                <w:sz w:val="12"/>
                <w:szCs w:val="12"/>
                <w:color w:val="auto"/>
              </w:rPr>
              <w:t>25,942</w:t>
            </w:r>
          </w:p>
        </w:tc>
        <w:tc>
          <w:tcPr>
            <w:tcW w:w="180" w:type="dxa"/>
            <w:vAlign w:val="bottom"/>
            <w:tcBorders>
              <w:top w:val="single" w:sz="8" w:color="7F7F7F"/>
            </w:tcBorders>
            <w:gridSpan w:val="2"/>
          </w:tcPr>
          <w:p>
            <w:pPr>
              <w:ind w:left="8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7F7F7F"/>
            </w:tcBorders>
            <w:gridSpan w:val="2"/>
          </w:tcPr>
          <w:p>
            <w:pPr>
              <w:ind w:left="40"/>
              <w:spacing w:after="0"/>
              <w:rPr>
                <w:sz w:val="20"/>
                <w:szCs w:val="20"/>
                <w:color w:val="auto"/>
              </w:rPr>
            </w:pPr>
            <w:r>
              <w:rPr>
                <w:rFonts w:ascii="Arial" w:cs="Arial" w:eastAsia="Arial" w:hAnsi="Arial"/>
                <w:sz w:val="12"/>
                <w:szCs w:val="12"/>
                <w:color w:val="auto"/>
              </w:rPr>
              <w:t>75.820</w:t>
            </w:r>
          </w:p>
        </w:tc>
        <w:tc>
          <w:tcPr>
            <w:tcW w:w="900" w:type="dxa"/>
            <w:vAlign w:val="bottom"/>
            <w:tcBorders>
              <w:top w:val="single" w:sz="8" w:color="7F7F7F"/>
            </w:tcBorders>
          </w:tcPr>
          <w:p>
            <w:pPr>
              <w:jc w:val="right"/>
              <w:ind w:right="118"/>
              <w:spacing w:after="0"/>
              <w:rPr>
                <w:sz w:val="20"/>
                <w:szCs w:val="20"/>
                <w:color w:val="auto"/>
              </w:rPr>
            </w:pPr>
            <w:r>
              <w:rPr>
                <w:rFonts w:ascii="Arial" w:cs="Arial" w:eastAsia="Arial" w:hAnsi="Arial"/>
                <w:sz w:val="12"/>
                <w:szCs w:val="12"/>
                <w:color w:val="auto"/>
              </w:rPr>
              <w:t>01/01/34</w:t>
            </w:r>
          </w:p>
        </w:tc>
        <w:tc>
          <w:tcPr>
            <w:tcW w:w="64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6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gridSpan w:val="2"/>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780" w:type="dxa"/>
            <w:vAlign w:val="bottom"/>
            <w:tcBorders>
              <w:bottom w:val="single" w:sz="8" w:color="7F7F7F"/>
            </w:tcBorders>
            <w:gridSpan w:val="2"/>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01/02/24</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780" w:type="dxa"/>
            <w:vAlign w:val="bottom"/>
            <w:tcBorders>
              <w:bottom w:val="single" w:sz="8" w:color="F2F2F2"/>
            </w:tcBorders>
            <w:gridSpan w:val="2"/>
            <w:shd w:val="clear" w:color="auto" w:fill="F2F2F2"/>
          </w:tcPr>
          <w:p>
            <w:pPr>
              <w:jc w:val="right"/>
              <w:ind w:right="16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040" w:type="dxa"/>
            <w:vAlign w:val="bottom"/>
          </w:tcPr>
          <w:p>
            <w:pPr>
              <w:spacing w:after="0"/>
              <w:rPr>
                <w:sz w:val="13"/>
                <w:szCs w:val="13"/>
                <w:color w:val="auto"/>
              </w:rPr>
            </w:pPr>
          </w:p>
        </w:tc>
        <w:tc>
          <w:tcPr>
            <w:tcW w:w="720" w:type="dxa"/>
            <w:vAlign w:val="bottom"/>
            <w:tcBorders>
              <w:top w:val="single" w:sz="8" w:color="7F7F7F"/>
            </w:tcBorders>
          </w:tcPr>
          <w:p>
            <w:pPr>
              <w:jc w:val="right"/>
              <w:ind w:right="18"/>
              <w:spacing w:after="0"/>
              <w:rPr>
                <w:sz w:val="20"/>
                <w:szCs w:val="20"/>
                <w:color w:val="auto"/>
              </w:rPr>
            </w:pPr>
            <w:r>
              <w:rPr>
                <w:rFonts w:ascii="Arial" w:cs="Arial" w:eastAsia="Arial" w:hAnsi="Arial"/>
                <w:sz w:val="12"/>
                <w:szCs w:val="12"/>
                <w:color w:val="auto"/>
              </w:rPr>
              <w:t>01/02/24</w:t>
            </w: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6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8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420" w:type="dxa"/>
            <w:vAlign w:val="bottom"/>
            <w:tcBorders>
              <w:top w:val="single" w:sz="8" w:color="7F7F7F"/>
            </w:tcBorders>
          </w:tcPr>
          <w:p>
            <w:pPr>
              <w:spacing w:after="0"/>
              <w:rPr>
                <w:sz w:val="13"/>
                <w:szCs w:val="13"/>
                <w:color w:val="auto"/>
              </w:rPr>
            </w:pPr>
          </w:p>
        </w:tc>
        <w:tc>
          <w:tcPr>
            <w:tcW w:w="160" w:type="dxa"/>
            <w:vAlign w:val="bottom"/>
            <w:tcBorders>
              <w:top w:val="single" w:sz="8" w:color="7F7F7F"/>
            </w:tcBorders>
          </w:tcPr>
          <w:p>
            <w:pPr>
              <w:spacing w:after="0"/>
              <w:rPr>
                <w:sz w:val="13"/>
                <w:szCs w:val="13"/>
                <w:color w:val="auto"/>
              </w:rPr>
            </w:pPr>
          </w:p>
        </w:tc>
        <w:tc>
          <w:tcPr>
            <w:tcW w:w="900" w:type="dxa"/>
            <w:vAlign w:val="bottom"/>
            <w:tcBorders>
              <w:top w:val="single" w:sz="8" w:color="7F7F7F"/>
            </w:tcBorders>
          </w:tcPr>
          <w:p>
            <w:pPr>
              <w:spacing w:after="0"/>
              <w:rPr>
                <w:sz w:val="13"/>
                <w:szCs w:val="13"/>
                <w:color w:val="auto"/>
              </w:rPr>
            </w:pPr>
          </w:p>
        </w:tc>
        <w:tc>
          <w:tcPr>
            <w:tcW w:w="720" w:type="dxa"/>
            <w:vAlign w:val="bottom"/>
            <w:tcBorders>
              <w:top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3,046</w:t>
            </w:r>
          </w:p>
        </w:tc>
        <w:tc>
          <w:tcPr>
            <w:tcW w:w="180" w:type="dxa"/>
            <w:vAlign w:val="bottom"/>
            <w:tcBorders>
              <w:top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tcPr>
          <w:p>
            <w:pPr>
              <w:ind w:left="180"/>
              <w:spacing w:after="0"/>
              <w:rPr>
                <w:sz w:val="20"/>
                <w:szCs w:val="20"/>
                <w:color w:val="auto"/>
              </w:rPr>
            </w:pPr>
            <w:r>
              <w:rPr>
                <w:rFonts w:ascii="Arial" w:cs="Arial" w:eastAsia="Arial" w:hAnsi="Arial"/>
                <w:sz w:val="12"/>
                <w:szCs w:val="12"/>
                <w:color w:val="auto"/>
                <w:w w:val="96"/>
              </w:rPr>
              <w:t>268,950</w:t>
            </w:r>
          </w:p>
        </w:tc>
        <w:tc>
          <w:tcPr>
            <w:tcW w:w="160" w:type="dxa"/>
            <w:vAlign w:val="bottom"/>
            <w:tcBorders>
              <w:top w:val="single" w:sz="8" w:color="7F7F7F"/>
            </w:tcBorders>
          </w:tcPr>
          <w:p>
            <w:pPr>
              <w:spacing w:after="0"/>
              <w:rPr>
                <w:sz w:val="13"/>
                <w:szCs w:val="13"/>
                <w:color w:val="auto"/>
              </w:rPr>
            </w:pPr>
          </w:p>
        </w:tc>
        <w:tc>
          <w:tcPr>
            <w:tcW w:w="2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7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100" w:type="dxa"/>
            <w:vAlign w:val="bottom"/>
            <w:tcBorders>
              <w:top w:val="single" w:sz="8" w:color="7F7F7F"/>
            </w:tcBorders>
          </w:tcPr>
          <w:p>
            <w:pPr>
              <w:spacing w:after="0"/>
              <w:rPr>
                <w:sz w:val="13"/>
                <w:szCs w:val="13"/>
                <w:color w:val="auto"/>
              </w:rPr>
            </w:pPr>
          </w:p>
        </w:tc>
        <w:tc>
          <w:tcPr>
            <w:tcW w:w="260" w:type="dxa"/>
            <w:vAlign w:val="bottom"/>
            <w:tcBorders>
              <w:top w:val="single" w:sz="8" w:color="7F7F7F"/>
            </w:tcBorders>
          </w:tcPr>
          <w:p>
            <w:pPr>
              <w:spacing w:after="0"/>
              <w:rPr>
                <w:sz w:val="13"/>
                <w:szCs w:val="13"/>
                <w:color w:val="auto"/>
              </w:rPr>
            </w:pPr>
          </w:p>
        </w:tc>
        <w:tc>
          <w:tcPr>
            <w:tcW w:w="460" w:type="dxa"/>
            <w:vAlign w:val="bottom"/>
            <w:tcBorders>
              <w:top w:val="single" w:sz="8" w:color="7F7F7F"/>
            </w:tcBorders>
          </w:tcPr>
          <w:p>
            <w:pPr>
              <w:spacing w:after="0"/>
              <w:rPr>
                <w:sz w:val="13"/>
                <w:szCs w:val="13"/>
                <w:color w:val="auto"/>
              </w:rPr>
            </w:pPr>
          </w:p>
        </w:tc>
        <w:tc>
          <w:tcPr>
            <w:tcW w:w="140" w:type="dxa"/>
            <w:vAlign w:val="bottom"/>
            <w:tcBorders>
              <w:top w:val="single" w:sz="8" w:color="7F7F7F"/>
            </w:tcBorders>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3040" w:type="dxa"/>
            <w:vAlign w:val="bottom"/>
          </w:tcPr>
          <w:p>
            <w:pPr>
              <w:spacing w:after="0"/>
              <w:rPr>
                <w:sz w:val="3"/>
                <w:szCs w:val="3"/>
                <w:color w:val="auto"/>
              </w:rPr>
            </w:pPr>
          </w:p>
        </w:tc>
        <w:tc>
          <w:tcPr>
            <w:tcW w:w="7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8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4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900" w:type="dxa"/>
            <w:vAlign w:val="bottom"/>
            <w:tcBorders>
              <w:bottom w:val="single" w:sz="8" w:color="7F7F7F"/>
            </w:tcBorders>
          </w:tcPr>
          <w:p>
            <w:pPr>
              <w:spacing w:after="0"/>
              <w:rPr>
                <w:sz w:val="3"/>
                <w:szCs w:val="3"/>
                <w:color w:val="auto"/>
              </w:rPr>
            </w:pPr>
          </w:p>
        </w:tc>
        <w:tc>
          <w:tcPr>
            <w:tcW w:w="720" w:type="dxa"/>
            <w:vAlign w:val="bottom"/>
            <w:tcBorders>
              <w:bottom w:val="single" w:sz="8" w:color="7F7F7F"/>
            </w:tcBorders>
            <w:gridSpan w:val="2"/>
          </w:tcPr>
          <w:p>
            <w:pPr>
              <w:spacing w:after="0"/>
              <w:rPr>
                <w:sz w:val="3"/>
                <w:szCs w:val="3"/>
                <w:color w:val="auto"/>
              </w:rPr>
            </w:pPr>
          </w:p>
        </w:tc>
        <w:tc>
          <w:tcPr>
            <w:tcW w:w="180" w:type="dxa"/>
            <w:vAlign w:val="bottom"/>
            <w:tcBorders>
              <w:bottom w:val="single" w:sz="8" w:color="7F7F7F"/>
            </w:tcBorders>
            <w:gridSpan w:val="2"/>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160" w:type="dxa"/>
            <w:vAlign w:val="bottom"/>
            <w:tcBorders>
              <w:bottom w:val="single" w:sz="8" w:color="7F7F7F"/>
            </w:tcBorders>
          </w:tcPr>
          <w:p>
            <w:pPr>
              <w:spacing w:after="0"/>
              <w:rPr>
                <w:sz w:val="3"/>
                <w:szCs w:val="3"/>
                <w:color w:val="auto"/>
              </w:rPr>
            </w:pPr>
          </w:p>
        </w:tc>
        <w:tc>
          <w:tcPr>
            <w:tcW w:w="2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7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10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460" w:type="dxa"/>
            <w:vAlign w:val="bottom"/>
            <w:tcBorders>
              <w:bottom w:val="single" w:sz="8" w:color="7F7F7F"/>
            </w:tcBorders>
          </w:tcPr>
          <w:p>
            <w:pPr>
              <w:spacing w:after="0"/>
              <w:rPr>
                <w:sz w:val="3"/>
                <w:szCs w:val="3"/>
                <w:color w:val="auto"/>
              </w:rPr>
            </w:pPr>
          </w:p>
        </w:tc>
        <w:tc>
          <w:tcPr>
            <w:tcW w:w="14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040" w:type="dxa"/>
            <w:vAlign w:val="bottom"/>
          </w:tcPr>
          <w:p>
            <w:pPr>
              <w:spacing w:after="0"/>
              <w:rPr>
                <w:sz w:val="16"/>
                <w:szCs w:val="16"/>
                <w:color w:val="auto"/>
              </w:rPr>
            </w:pPr>
          </w:p>
        </w:tc>
        <w:tc>
          <w:tcPr>
            <w:tcW w:w="720" w:type="dxa"/>
            <w:vAlign w:val="bottom"/>
            <w:tcBorders>
              <w:bottom w:val="single" w:sz="8" w:color="F2F2F2"/>
            </w:tcBorders>
            <w:shd w:val="clear" w:color="auto" w:fill="F2F2F2"/>
          </w:tcPr>
          <w:p>
            <w:pPr>
              <w:jc w:val="right"/>
              <w:ind w:right="18"/>
              <w:spacing w:after="0"/>
              <w:rPr>
                <w:sz w:val="20"/>
                <w:szCs w:val="20"/>
                <w:color w:val="auto"/>
              </w:rPr>
            </w:pPr>
            <w:r>
              <w:rPr>
                <w:rFonts w:ascii="Arial" w:cs="Arial" w:eastAsia="Arial" w:hAnsi="Arial"/>
                <w:sz w:val="12"/>
                <w:szCs w:val="12"/>
                <w:color w:val="auto"/>
              </w:rPr>
              <w:t>01/02/24</w:t>
            </w: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6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8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420" w:type="dxa"/>
            <w:vAlign w:val="bottom"/>
            <w:tcBorders>
              <w:bottom w:val="single" w:sz="8" w:color="F2F2F2"/>
            </w:tcBorders>
            <w:shd w:val="clear" w:color="auto" w:fill="F2F2F2"/>
          </w:tcPr>
          <w:p>
            <w:pPr>
              <w:spacing w:after="0"/>
              <w:rPr>
                <w:sz w:val="16"/>
                <w:szCs w:val="16"/>
                <w:color w:val="auto"/>
              </w:rPr>
            </w:pPr>
          </w:p>
        </w:tc>
        <w:tc>
          <w:tcPr>
            <w:tcW w:w="160" w:type="dxa"/>
            <w:vAlign w:val="bottom"/>
            <w:tcBorders>
              <w:bottom w:val="single" w:sz="8" w:color="F2F2F2"/>
            </w:tcBorders>
            <w:shd w:val="clear" w:color="auto" w:fill="F2F2F2"/>
          </w:tcPr>
          <w:p>
            <w:pPr>
              <w:spacing w:after="0"/>
              <w:rPr>
                <w:sz w:val="16"/>
                <w:szCs w:val="16"/>
                <w:color w:val="auto"/>
              </w:rPr>
            </w:pPr>
          </w:p>
        </w:tc>
        <w:tc>
          <w:tcPr>
            <w:tcW w:w="900" w:type="dxa"/>
            <w:vAlign w:val="bottom"/>
            <w:tcBorders>
              <w:bottom w:val="single" w:sz="8" w:color="F2F2F2"/>
            </w:tcBorders>
            <w:shd w:val="clear" w:color="auto" w:fill="F2F2F2"/>
          </w:tcPr>
          <w:p>
            <w:pPr>
              <w:spacing w:after="0"/>
              <w:rPr>
                <w:sz w:val="16"/>
                <w:szCs w:val="16"/>
                <w:color w:val="auto"/>
              </w:rPr>
            </w:pPr>
          </w:p>
        </w:tc>
        <w:tc>
          <w:tcPr>
            <w:tcW w:w="720" w:type="dxa"/>
            <w:vAlign w:val="bottom"/>
            <w:tcBorders>
              <w:bottom w:val="single" w:sz="8" w:color="F2F2F2"/>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8,926</w:t>
            </w:r>
          </w:p>
        </w:tc>
        <w:tc>
          <w:tcPr>
            <w:tcW w:w="180" w:type="dxa"/>
            <w:vAlign w:val="bottom"/>
            <w:tcBorders>
              <w:bottom w:val="single" w:sz="8" w:color="F2F2F2"/>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2"/>
                <w:szCs w:val="12"/>
                <w:color w:val="auto"/>
                <w:w w:val="96"/>
              </w:rPr>
              <w:t>788,101</w:t>
            </w:r>
          </w:p>
        </w:tc>
        <w:tc>
          <w:tcPr>
            <w:tcW w:w="160" w:type="dxa"/>
            <w:vAlign w:val="bottom"/>
            <w:tcBorders>
              <w:bottom w:val="single" w:sz="8" w:color="F2F2F2"/>
            </w:tcBorders>
            <w:shd w:val="clear" w:color="auto" w:fill="F2F2F2"/>
          </w:tcPr>
          <w:p>
            <w:pPr>
              <w:spacing w:after="0"/>
              <w:rPr>
                <w:sz w:val="16"/>
                <w:szCs w:val="16"/>
                <w:color w:val="auto"/>
              </w:rPr>
            </w:pPr>
          </w:p>
        </w:tc>
        <w:tc>
          <w:tcPr>
            <w:tcW w:w="2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7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100" w:type="dxa"/>
            <w:vAlign w:val="bottom"/>
            <w:tcBorders>
              <w:bottom w:val="single" w:sz="8" w:color="F2F2F2"/>
            </w:tcBorders>
            <w:shd w:val="clear" w:color="auto" w:fill="F2F2F2"/>
          </w:tcPr>
          <w:p>
            <w:pPr>
              <w:spacing w:after="0"/>
              <w:rPr>
                <w:sz w:val="16"/>
                <w:szCs w:val="16"/>
                <w:color w:val="auto"/>
              </w:rPr>
            </w:pPr>
          </w:p>
        </w:tc>
        <w:tc>
          <w:tcPr>
            <w:tcW w:w="260" w:type="dxa"/>
            <w:vAlign w:val="bottom"/>
            <w:tcBorders>
              <w:bottom w:val="single" w:sz="8" w:color="F2F2F2"/>
            </w:tcBorders>
            <w:shd w:val="clear" w:color="auto" w:fill="F2F2F2"/>
          </w:tcPr>
          <w:p>
            <w:pPr>
              <w:spacing w:after="0"/>
              <w:rPr>
                <w:sz w:val="16"/>
                <w:szCs w:val="16"/>
                <w:color w:val="auto"/>
              </w:rPr>
            </w:pPr>
          </w:p>
        </w:tc>
        <w:tc>
          <w:tcPr>
            <w:tcW w:w="460" w:type="dxa"/>
            <w:vAlign w:val="bottom"/>
            <w:tcBorders>
              <w:bottom w:val="single" w:sz="8" w:color="F2F2F2"/>
            </w:tcBorders>
            <w:shd w:val="clear" w:color="auto" w:fill="F2F2F2"/>
          </w:tcPr>
          <w:p>
            <w:pPr>
              <w:spacing w:after="0"/>
              <w:rPr>
                <w:sz w:val="16"/>
                <w:szCs w:val="16"/>
                <w:color w:val="auto"/>
              </w:rPr>
            </w:pPr>
          </w:p>
        </w:tc>
        <w:tc>
          <w:tcPr>
            <w:tcW w:w="140" w:type="dxa"/>
            <w:vAlign w:val="bottom"/>
            <w:tcBorders>
              <w:bottom w:val="single" w:sz="8" w:color="F2F2F2"/>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720" w:type="dxa"/>
            <w:vAlign w:val="bottom"/>
            <w:tcBorders>
              <w:top w:val="single" w:sz="8" w:color="7F7F7F"/>
              <w:bottom w:val="single" w:sz="8" w:color="7F7F7F"/>
            </w:tcBorders>
          </w:tcPr>
          <w:p>
            <w:pPr>
              <w:jc w:val="right"/>
              <w:ind w:right="18"/>
              <w:spacing w:after="0"/>
              <w:rPr>
                <w:sz w:val="20"/>
                <w:szCs w:val="20"/>
                <w:color w:val="auto"/>
              </w:rPr>
            </w:pPr>
            <w:r>
              <w:rPr>
                <w:rFonts w:ascii="Arial" w:cs="Arial" w:eastAsia="Arial" w:hAnsi="Arial"/>
                <w:sz w:val="12"/>
                <w:szCs w:val="12"/>
                <w:color w:val="auto"/>
              </w:rPr>
              <w:t>01/03/23</w:t>
            </w:r>
          </w:p>
        </w:tc>
        <w:tc>
          <w:tcPr>
            <w:tcW w:w="100" w:type="dxa"/>
            <w:vAlign w:val="bottom"/>
            <w:tcBorders>
              <w:top w:val="single" w:sz="8" w:color="7F7F7F"/>
              <w:bottom w:val="single" w:sz="8" w:color="7F7F7F"/>
            </w:tcBorders>
          </w:tcPr>
          <w:p>
            <w:pPr>
              <w:spacing w:after="0"/>
              <w:rPr>
                <w:sz w:val="16"/>
                <w:szCs w:val="16"/>
                <w:color w:val="auto"/>
              </w:rPr>
            </w:pPr>
          </w:p>
        </w:tc>
        <w:tc>
          <w:tcPr>
            <w:tcW w:w="700" w:type="dxa"/>
            <w:vAlign w:val="bottom"/>
            <w:tcBorders>
              <w:top w:val="single" w:sz="8" w:color="7F7F7F"/>
              <w:bottom w:val="single" w:sz="8" w:color="7F7F7F"/>
            </w:tcBorders>
          </w:tcPr>
          <w:p>
            <w:pPr>
              <w:spacing w:after="0"/>
              <w:rPr>
                <w:sz w:val="16"/>
                <w:szCs w:val="16"/>
                <w:color w:val="auto"/>
              </w:rPr>
            </w:pPr>
          </w:p>
        </w:tc>
        <w:tc>
          <w:tcPr>
            <w:tcW w:w="80" w:type="dxa"/>
            <w:vAlign w:val="bottom"/>
            <w:tcBorders>
              <w:top w:val="single" w:sz="8" w:color="7F7F7F"/>
              <w:bottom w:val="single" w:sz="8" w:color="7F7F7F"/>
            </w:tcBorders>
          </w:tcPr>
          <w:p>
            <w:pPr>
              <w:spacing w:after="0"/>
              <w:rPr>
                <w:sz w:val="16"/>
                <w:szCs w:val="16"/>
                <w:color w:val="auto"/>
              </w:rPr>
            </w:pPr>
          </w:p>
        </w:tc>
        <w:tc>
          <w:tcPr>
            <w:tcW w:w="100" w:type="dxa"/>
            <w:vAlign w:val="bottom"/>
            <w:tcBorders>
              <w:top w:val="single" w:sz="8" w:color="7F7F7F"/>
              <w:bottom w:val="single" w:sz="8" w:color="7F7F7F"/>
            </w:tcBorders>
          </w:tcPr>
          <w:p>
            <w:pPr>
              <w:spacing w:after="0"/>
              <w:rPr>
                <w:sz w:val="16"/>
                <w:szCs w:val="16"/>
                <w:color w:val="auto"/>
              </w:rPr>
            </w:pPr>
          </w:p>
        </w:tc>
        <w:tc>
          <w:tcPr>
            <w:tcW w:w="860" w:type="dxa"/>
            <w:vAlign w:val="bottom"/>
            <w:tcBorders>
              <w:top w:val="single" w:sz="8" w:color="7F7F7F"/>
              <w:bottom w:val="single" w:sz="8" w:color="7F7F7F"/>
            </w:tcBorders>
          </w:tcPr>
          <w:p>
            <w:pPr>
              <w:spacing w:after="0"/>
              <w:rPr>
                <w:sz w:val="16"/>
                <w:szCs w:val="16"/>
                <w:color w:val="auto"/>
              </w:rPr>
            </w:pPr>
          </w:p>
        </w:tc>
        <w:tc>
          <w:tcPr>
            <w:tcW w:w="100" w:type="dxa"/>
            <w:vAlign w:val="bottom"/>
            <w:tcBorders>
              <w:top w:val="single" w:sz="8" w:color="7F7F7F"/>
              <w:bottom w:val="single" w:sz="8" w:color="7F7F7F"/>
            </w:tcBorders>
          </w:tcPr>
          <w:p>
            <w:pPr>
              <w:spacing w:after="0"/>
              <w:rPr>
                <w:sz w:val="16"/>
                <w:szCs w:val="16"/>
                <w:color w:val="auto"/>
              </w:rPr>
            </w:pPr>
          </w:p>
        </w:tc>
        <w:tc>
          <w:tcPr>
            <w:tcW w:w="80" w:type="dxa"/>
            <w:vAlign w:val="bottom"/>
            <w:tcBorders>
              <w:top w:val="single" w:sz="8" w:color="7F7F7F"/>
              <w:bottom w:val="single" w:sz="8" w:color="7F7F7F"/>
            </w:tcBorders>
          </w:tcPr>
          <w:p>
            <w:pPr>
              <w:spacing w:after="0"/>
              <w:rPr>
                <w:sz w:val="16"/>
                <w:szCs w:val="16"/>
                <w:color w:val="auto"/>
              </w:rPr>
            </w:pPr>
          </w:p>
        </w:tc>
        <w:tc>
          <w:tcPr>
            <w:tcW w:w="100" w:type="dxa"/>
            <w:vAlign w:val="bottom"/>
            <w:tcBorders>
              <w:top w:val="single" w:sz="8" w:color="7F7F7F"/>
              <w:bottom w:val="single" w:sz="8" w:color="7F7F7F"/>
            </w:tcBorders>
          </w:tcPr>
          <w:p>
            <w:pPr>
              <w:spacing w:after="0"/>
              <w:rPr>
                <w:sz w:val="16"/>
                <w:szCs w:val="16"/>
                <w:color w:val="auto"/>
              </w:rPr>
            </w:pPr>
          </w:p>
        </w:tc>
        <w:tc>
          <w:tcPr>
            <w:tcW w:w="420" w:type="dxa"/>
            <w:vAlign w:val="bottom"/>
            <w:tcBorders>
              <w:top w:val="single" w:sz="8" w:color="7F7F7F"/>
              <w:bottom w:val="single" w:sz="8" w:color="7F7F7F"/>
            </w:tcBorders>
          </w:tcPr>
          <w:p>
            <w:pPr>
              <w:spacing w:after="0"/>
              <w:rPr>
                <w:sz w:val="16"/>
                <w:szCs w:val="16"/>
                <w:color w:val="auto"/>
              </w:rPr>
            </w:pPr>
          </w:p>
        </w:tc>
        <w:tc>
          <w:tcPr>
            <w:tcW w:w="160" w:type="dxa"/>
            <w:vAlign w:val="bottom"/>
            <w:tcBorders>
              <w:top w:val="single" w:sz="8" w:color="7F7F7F"/>
              <w:bottom w:val="single" w:sz="8" w:color="7F7F7F"/>
            </w:tcBorders>
          </w:tcPr>
          <w:p>
            <w:pPr>
              <w:spacing w:after="0"/>
              <w:rPr>
                <w:sz w:val="16"/>
                <w:szCs w:val="16"/>
                <w:color w:val="auto"/>
              </w:rPr>
            </w:pPr>
          </w:p>
        </w:tc>
        <w:tc>
          <w:tcPr>
            <w:tcW w:w="900" w:type="dxa"/>
            <w:vAlign w:val="bottom"/>
            <w:tcBorders>
              <w:top w:val="single" w:sz="8" w:color="7F7F7F"/>
              <w:bottom w:val="single" w:sz="8" w:color="7F7F7F"/>
            </w:tcBorders>
          </w:tcPr>
          <w:p>
            <w:pPr>
              <w:spacing w:after="0"/>
              <w:rPr>
                <w:sz w:val="16"/>
                <w:szCs w:val="16"/>
                <w:color w:val="auto"/>
              </w:rPr>
            </w:pPr>
          </w:p>
        </w:tc>
        <w:tc>
          <w:tcPr>
            <w:tcW w:w="720" w:type="dxa"/>
            <w:vAlign w:val="bottom"/>
            <w:tcBorders>
              <w:top w:val="single" w:sz="8" w:color="7F7F7F"/>
              <w:bottom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2,045</w:t>
            </w:r>
          </w:p>
        </w:tc>
        <w:tc>
          <w:tcPr>
            <w:tcW w:w="180" w:type="dxa"/>
            <w:vAlign w:val="bottom"/>
            <w:tcBorders>
              <w:top w:val="single" w:sz="8" w:color="7F7F7F"/>
              <w:bottom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top w:val="single" w:sz="8" w:color="7F7F7F"/>
              <w:bottom w:val="single" w:sz="8" w:color="7F7F7F"/>
            </w:tcBorders>
            <w:gridSpan w:val="2"/>
          </w:tcPr>
          <w:p>
            <w:pPr>
              <w:ind w:left="180"/>
              <w:spacing w:after="0" w:line="194" w:lineRule="exact"/>
              <w:rPr>
                <w:sz w:val="20"/>
                <w:szCs w:val="20"/>
                <w:color w:val="auto"/>
              </w:rPr>
            </w:pPr>
            <w:r>
              <w:rPr>
                <w:rFonts w:ascii="Arial" w:cs="Arial" w:eastAsia="Arial" w:hAnsi="Arial"/>
                <w:sz w:val="12"/>
                <w:szCs w:val="12"/>
                <w:color w:val="auto"/>
                <w:w w:val="98"/>
              </w:rPr>
              <w:t>180,584</w:t>
            </w:r>
            <w:r>
              <w:rPr>
                <w:rFonts w:ascii="Arial" w:cs="Arial" w:eastAsia="Arial" w:hAnsi="Arial"/>
                <w:sz w:val="18"/>
                <w:szCs w:val="18"/>
                <w:color w:val="auto"/>
                <w:w w:val="98"/>
                <w:vertAlign w:val="superscript"/>
              </w:rPr>
              <w:t>(F)</w:t>
            </w:r>
          </w:p>
        </w:tc>
        <w:tc>
          <w:tcPr>
            <w:tcW w:w="20" w:type="dxa"/>
            <w:vAlign w:val="bottom"/>
            <w:tcBorders>
              <w:top w:val="single" w:sz="8" w:color="7F7F7F"/>
              <w:bottom w:val="single" w:sz="8" w:color="7F7F7F"/>
            </w:tcBorders>
          </w:tcPr>
          <w:p>
            <w:pPr>
              <w:spacing w:after="0"/>
              <w:rPr>
                <w:sz w:val="16"/>
                <w:szCs w:val="16"/>
                <w:color w:val="auto"/>
              </w:rPr>
            </w:pPr>
          </w:p>
        </w:tc>
        <w:tc>
          <w:tcPr>
            <w:tcW w:w="100" w:type="dxa"/>
            <w:vAlign w:val="bottom"/>
            <w:tcBorders>
              <w:top w:val="single" w:sz="8" w:color="7F7F7F"/>
              <w:bottom w:val="single" w:sz="8" w:color="7F7F7F"/>
            </w:tcBorders>
          </w:tcPr>
          <w:p>
            <w:pPr>
              <w:spacing w:after="0"/>
              <w:rPr>
                <w:sz w:val="16"/>
                <w:szCs w:val="16"/>
                <w:color w:val="auto"/>
              </w:rPr>
            </w:pPr>
          </w:p>
        </w:tc>
        <w:tc>
          <w:tcPr>
            <w:tcW w:w="700" w:type="dxa"/>
            <w:vAlign w:val="bottom"/>
            <w:tcBorders>
              <w:top w:val="single" w:sz="8" w:color="7F7F7F"/>
              <w:bottom w:val="single" w:sz="8" w:color="7F7F7F"/>
            </w:tcBorders>
          </w:tcPr>
          <w:p>
            <w:pPr>
              <w:spacing w:after="0"/>
              <w:rPr>
                <w:sz w:val="16"/>
                <w:szCs w:val="16"/>
                <w:color w:val="auto"/>
              </w:rPr>
            </w:pPr>
          </w:p>
        </w:tc>
        <w:tc>
          <w:tcPr>
            <w:tcW w:w="100" w:type="dxa"/>
            <w:vAlign w:val="bottom"/>
            <w:tcBorders>
              <w:top w:val="single" w:sz="8" w:color="7F7F7F"/>
              <w:bottom w:val="single" w:sz="8" w:color="7F7F7F"/>
            </w:tcBorders>
          </w:tcPr>
          <w:p>
            <w:pPr>
              <w:spacing w:after="0"/>
              <w:rPr>
                <w:sz w:val="16"/>
                <w:szCs w:val="16"/>
                <w:color w:val="auto"/>
              </w:rPr>
            </w:pPr>
          </w:p>
        </w:tc>
        <w:tc>
          <w:tcPr>
            <w:tcW w:w="100" w:type="dxa"/>
            <w:vAlign w:val="bottom"/>
            <w:tcBorders>
              <w:top w:val="single" w:sz="8" w:color="7F7F7F"/>
              <w:bottom w:val="single" w:sz="8" w:color="7F7F7F"/>
            </w:tcBorders>
          </w:tcPr>
          <w:p>
            <w:pPr>
              <w:spacing w:after="0"/>
              <w:rPr>
                <w:sz w:val="16"/>
                <w:szCs w:val="16"/>
                <w:color w:val="auto"/>
              </w:rPr>
            </w:pPr>
          </w:p>
        </w:tc>
        <w:tc>
          <w:tcPr>
            <w:tcW w:w="260" w:type="dxa"/>
            <w:vAlign w:val="bottom"/>
            <w:tcBorders>
              <w:top w:val="single" w:sz="8" w:color="7F7F7F"/>
              <w:bottom w:val="single" w:sz="8" w:color="7F7F7F"/>
            </w:tcBorders>
          </w:tcPr>
          <w:p>
            <w:pPr>
              <w:spacing w:after="0"/>
              <w:rPr>
                <w:sz w:val="16"/>
                <w:szCs w:val="16"/>
                <w:color w:val="auto"/>
              </w:rPr>
            </w:pPr>
          </w:p>
        </w:tc>
        <w:tc>
          <w:tcPr>
            <w:tcW w:w="460" w:type="dxa"/>
            <w:vAlign w:val="bottom"/>
            <w:tcBorders>
              <w:top w:val="single" w:sz="8" w:color="7F7F7F"/>
              <w:bottom w:val="single" w:sz="8" w:color="7F7F7F"/>
            </w:tcBorders>
          </w:tcPr>
          <w:p>
            <w:pPr>
              <w:spacing w:after="0"/>
              <w:rPr>
                <w:sz w:val="16"/>
                <w:szCs w:val="16"/>
                <w:color w:val="auto"/>
              </w:rPr>
            </w:pPr>
          </w:p>
        </w:tc>
        <w:tc>
          <w:tcPr>
            <w:tcW w:w="140" w:type="dxa"/>
            <w:vAlign w:val="bottom"/>
            <w:tcBorders>
              <w:top w:val="single" w:sz="8" w:color="7F7F7F"/>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720" w:type="dxa"/>
            <w:vAlign w:val="bottom"/>
            <w:tcBorders>
              <w:bottom w:val="single" w:sz="8" w:color="7F7F7F"/>
            </w:tcBorders>
            <w:shd w:val="clear" w:color="auto" w:fill="F2F2F2"/>
          </w:tcPr>
          <w:p>
            <w:pPr>
              <w:jc w:val="right"/>
              <w:ind w:right="18"/>
              <w:spacing w:after="0"/>
              <w:rPr>
                <w:sz w:val="20"/>
                <w:szCs w:val="20"/>
                <w:color w:val="auto"/>
              </w:rPr>
            </w:pPr>
            <w:r>
              <w:rPr>
                <w:rFonts w:ascii="Arial" w:cs="Arial" w:eastAsia="Arial" w:hAnsi="Arial"/>
                <w:sz w:val="12"/>
                <w:szCs w:val="12"/>
                <w:color w:val="auto"/>
              </w:rPr>
              <w:t>01/03/23</w:t>
            </w: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6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8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420" w:type="dxa"/>
            <w:vAlign w:val="bottom"/>
            <w:tcBorders>
              <w:bottom w:val="single" w:sz="8" w:color="7F7F7F"/>
            </w:tcBorders>
            <w:shd w:val="clear" w:color="auto" w:fill="F2F2F2"/>
          </w:tcPr>
          <w:p>
            <w:pPr>
              <w:spacing w:after="0"/>
              <w:rPr>
                <w:sz w:val="16"/>
                <w:szCs w:val="16"/>
                <w:color w:val="auto"/>
              </w:rPr>
            </w:pPr>
          </w:p>
        </w:tc>
        <w:tc>
          <w:tcPr>
            <w:tcW w:w="160" w:type="dxa"/>
            <w:vAlign w:val="bottom"/>
            <w:tcBorders>
              <w:bottom w:val="single" w:sz="8" w:color="7F7F7F"/>
            </w:tcBorders>
            <w:shd w:val="clear" w:color="auto" w:fill="F2F2F2"/>
          </w:tcPr>
          <w:p>
            <w:pPr>
              <w:spacing w:after="0"/>
              <w:rPr>
                <w:sz w:val="16"/>
                <w:szCs w:val="16"/>
                <w:color w:val="auto"/>
              </w:rPr>
            </w:pPr>
          </w:p>
        </w:tc>
        <w:tc>
          <w:tcPr>
            <w:tcW w:w="900" w:type="dxa"/>
            <w:vAlign w:val="bottom"/>
            <w:tcBorders>
              <w:bottom w:val="single" w:sz="8" w:color="7F7F7F"/>
            </w:tcBorders>
            <w:shd w:val="clear" w:color="auto" w:fill="F2F2F2"/>
          </w:tcPr>
          <w:p>
            <w:pPr>
              <w:spacing w:after="0"/>
              <w:rPr>
                <w:sz w:val="16"/>
                <w:szCs w:val="16"/>
                <w:color w:val="auto"/>
              </w:rPr>
            </w:pPr>
          </w:p>
        </w:tc>
        <w:tc>
          <w:tcPr>
            <w:tcW w:w="720" w:type="dxa"/>
            <w:vAlign w:val="bottom"/>
            <w:tcBorders>
              <w:bottom w:val="single" w:sz="8" w:color="7F7F7F"/>
            </w:tcBorders>
            <w:gridSpan w:val="2"/>
            <w:shd w:val="clear" w:color="auto" w:fill="F2F2F2"/>
          </w:tcPr>
          <w:p>
            <w:pPr>
              <w:jc w:val="right"/>
              <w:ind w:right="80"/>
              <w:spacing w:after="0"/>
              <w:rPr>
                <w:sz w:val="20"/>
                <w:szCs w:val="20"/>
                <w:color w:val="auto"/>
              </w:rPr>
            </w:pPr>
            <w:r>
              <w:rPr>
                <w:rFonts w:ascii="Arial" w:cs="Arial" w:eastAsia="Arial" w:hAnsi="Arial"/>
                <w:sz w:val="12"/>
                <w:szCs w:val="12"/>
                <w:color w:val="auto"/>
              </w:rPr>
              <w:t>2,856</w:t>
            </w:r>
          </w:p>
        </w:tc>
        <w:tc>
          <w:tcPr>
            <w:tcW w:w="180" w:type="dxa"/>
            <w:vAlign w:val="bottom"/>
            <w:tcBorders>
              <w:bottom w:val="single" w:sz="8" w:color="7F7F7F"/>
            </w:tcBorders>
            <w:gridSpan w:val="2"/>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7F7F7F"/>
            </w:tcBorders>
            <w:gridSpan w:val="2"/>
            <w:shd w:val="clear" w:color="auto" w:fill="F2F2F2"/>
          </w:tcPr>
          <w:p>
            <w:pPr>
              <w:ind w:left="180"/>
              <w:spacing w:after="0" w:line="194" w:lineRule="exact"/>
              <w:rPr>
                <w:sz w:val="20"/>
                <w:szCs w:val="20"/>
                <w:color w:val="auto"/>
              </w:rPr>
            </w:pPr>
            <w:r>
              <w:rPr>
                <w:rFonts w:ascii="Arial" w:cs="Arial" w:eastAsia="Arial" w:hAnsi="Arial"/>
                <w:sz w:val="12"/>
                <w:szCs w:val="12"/>
                <w:color w:val="auto"/>
                <w:w w:val="98"/>
              </w:rPr>
              <w:t>252,136</w:t>
            </w:r>
            <w:r>
              <w:rPr>
                <w:rFonts w:ascii="Arial" w:cs="Arial" w:eastAsia="Arial" w:hAnsi="Arial"/>
                <w:sz w:val="18"/>
                <w:szCs w:val="18"/>
                <w:color w:val="auto"/>
                <w:w w:val="98"/>
                <w:vertAlign w:val="superscript"/>
              </w:rPr>
              <w:t>(F)</w:t>
            </w:r>
          </w:p>
        </w:tc>
        <w:tc>
          <w:tcPr>
            <w:tcW w:w="2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7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100" w:type="dxa"/>
            <w:vAlign w:val="bottom"/>
            <w:tcBorders>
              <w:bottom w:val="single" w:sz="8" w:color="7F7F7F"/>
            </w:tcBorders>
            <w:shd w:val="clear" w:color="auto" w:fill="F2F2F2"/>
          </w:tcPr>
          <w:p>
            <w:pPr>
              <w:spacing w:after="0"/>
              <w:rPr>
                <w:sz w:val="16"/>
                <w:szCs w:val="16"/>
                <w:color w:val="auto"/>
              </w:rPr>
            </w:pPr>
          </w:p>
        </w:tc>
        <w:tc>
          <w:tcPr>
            <w:tcW w:w="260" w:type="dxa"/>
            <w:vAlign w:val="bottom"/>
            <w:tcBorders>
              <w:bottom w:val="single" w:sz="8" w:color="7F7F7F"/>
            </w:tcBorders>
            <w:shd w:val="clear" w:color="auto" w:fill="F2F2F2"/>
          </w:tcPr>
          <w:p>
            <w:pPr>
              <w:spacing w:after="0"/>
              <w:rPr>
                <w:sz w:val="16"/>
                <w:szCs w:val="16"/>
                <w:color w:val="auto"/>
              </w:rPr>
            </w:pPr>
          </w:p>
        </w:tc>
        <w:tc>
          <w:tcPr>
            <w:tcW w:w="460" w:type="dxa"/>
            <w:vAlign w:val="bottom"/>
            <w:tcBorders>
              <w:bottom w:val="single" w:sz="8" w:color="7F7F7F"/>
            </w:tcBorders>
            <w:shd w:val="clear" w:color="auto" w:fill="F2F2F2"/>
          </w:tcPr>
          <w:p>
            <w:pPr>
              <w:spacing w:after="0"/>
              <w:rPr>
                <w:sz w:val="16"/>
                <w:szCs w:val="16"/>
                <w:color w:val="auto"/>
              </w:rPr>
            </w:pPr>
          </w:p>
        </w:tc>
        <w:tc>
          <w:tcPr>
            <w:tcW w:w="140" w:type="dxa"/>
            <w:vAlign w:val="bottom"/>
            <w:tcBorders>
              <w:bottom w:val="single" w:sz="8" w:color="7F7F7F"/>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40" w:type="dxa"/>
            <w:vAlign w:val="bottom"/>
          </w:tcPr>
          <w:p>
            <w:pPr>
              <w:spacing w:after="0"/>
              <w:rPr>
                <w:sz w:val="16"/>
                <w:szCs w:val="16"/>
                <w:color w:val="auto"/>
              </w:rPr>
            </w:pPr>
          </w:p>
        </w:tc>
        <w:tc>
          <w:tcPr>
            <w:tcW w:w="720" w:type="dxa"/>
            <w:vAlign w:val="bottom"/>
            <w:tcBorders>
              <w:bottom w:val="single" w:sz="8" w:color="7F7F7F"/>
            </w:tcBorders>
          </w:tcPr>
          <w:p>
            <w:pPr>
              <w:jc w:val="right"/>
              <w:ind w:right="18"/>
              <w:spacing w:after="0"/>
              <w:rPr>
                <w:sz w:val="20"/>
                <w:szCs w:val="20"/>
                <w:color w:val="auto"/>
              </w:rPr>
            </w:pPr>
            <w:r>
              <w:rPr>
                <w:rFonts w:ascii="Arial" w:cs="Arial" w:eastAsia="Arial" w:hAnsi="Arial"/>
                <w:sz w:val="12"/>
                <w:szCs w:val="12"/>
                <w:color w:val="auto"/>
              </w:rPr>
              <w:t>01/03/23</w:t>
            </w:r>
          </w:p>
        </w:tc>
        <w:tc>
          <w:tcPr>
            <w:tcW w:w="100" w:type="dxa"/>
            <w:vAlign w:val="bottom"/>
            <w:tcBorders>
              <w:bottom w:val="single" w:sz="8" w:color="7F7F7F"/>
            </w:tcBorders>
          </w:tcPr>
          <w:p>
            <w:pPr>
              <w:spacing w:after="0"/>
              <w:rPr>
                <w:sz w:val="16"/>
                <w:szCs w:val="16"/>
                <w:color w:val="auto"/>
              </w:rPr>
            </w:pPr>
          </w:p>
        </w:tc>
        <w:tc>
          <w:tcPr>
            <w:tcW w:w="70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6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420" w:type="dxa"/>
            <w:vAlign w:val="bottom"/>
            <w:tcBorders>
              <w:bottom w:val="single" w:sz="8" w:color="7F7F7F"/>
            </w:tcBorders>
          </w:tcPr>
          <w:p>
            <w:pPr>
              <w:spacing w:after="0"/>
              <w:rPr>
                <w:sz w:val="16"/>
                <w:szCs w:val="16"/>
                <w:color w:val="auto"/>
              </w:rPr>
            </w:pPr>
          </w:p>
        </w:tc>
        <w:tc>
          <w:tcPr>
            <w:tcW w:w="160" w:type="dxa"/>
            <w:vAlign w:val="bottom"/>
            <w:tcBorders>
              <w:bottom w:val="single" w:sz="8" w:color="7F7F7F"/>
            </w:tcBorders>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720" w:type="dxa"/>
            <w:vAlign w:val="bottom"/>
            <w:tcBorders>
              <w:bottom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7F7F7F"/>
            </w:tcBorders>
          </w:tcPr>
          <w:p>
            <w:pPr>
              <w:spacing w:after="0"/>
              <w:rPr>
                <w:sz w:val="16"/>
                <w:szCs w:val="16"/>
                <w:color w:val="auto"/>
              </w:rPr>
            </w:pPr>
          </w:p>
        </w:tc>
        <w:tc>
          <w:tcPr>
            <w:tcW w:w="80" w:type="dxa"/>
            <w:vAlign w:val="bottom"/>
            <w:tcBorders>
              <w:bottom w:val="single" w:sz="8" w:color="7F7F7F"/>
            </w:tcBorders>
          </w:tcPr>
          <w:p>
            <w:pPr>
              <w:spacing w:after="0"/>
              <w:rPr>
                <w:sz w:val="16"/>
                <w:szCs w:val="16"/>
                <w:color w:val="auto"/>
              </w:rPr>
            </w:pPr>
          </w:p>
        </w:tc>
        <w:tc>
          <w:tcPr>
            <w:tcW w:w="780" w:type="dxa"/>
            <w:vAlign w:val="bottom"/>
            <w:tcBorders>
              <w:bottom w:val="single" w:sz="8" w:color="7F7F7F"/>
            </w:tcBorders>
            <w:gridSpan w:val="2"/>
          </w:tcPr>
          <w:p>
            <w:pPr>
              <w:jc w:val="center"/>
              <w:ind w:left="419"/>
              <w:spacing w:after="0" w:line="194" w:lineRule="exact"/>
              <w:rPr>
                <w:sz w:val="20"/>
                <w:szCs w:val="20"/>
                <w:color w:val="auto"/>
              </w:rPr>
            </w:pPr>
            <w:r>
              <w:rPr>
                <w:rFonts w:ascii="Arial" w:cs="Arial" w:eastAsia="Arial" w:hAnsi="Arial"/>
                <w:sz w:val="22"/>
                <w:szCs w:val="22"/>
                <w:color w:val="auto"/>
                <w:w w:val="93"/>
                <w:vertAlign w:val="subscript"/>
              </w:rPr>
              <w:t>—</w:t>
            </w:r>
            <w:r>
              <w:rPr>
                <w:rFonts w:ascii="Arial" w:cs="Arial" w:eastAsia="Arial" w:hAnsi="Arial"/>
                <w:sz w:val="9"/>
                <w:szCs w:val="9"/>
                <w:color w:val="auto"/>
                <w:w w:val="93"/>
              </w:rPr>
              <w:t>(G)</w:t>
            </w:r>
          </w:p>
        </w:tc>
        <w:tc>
          <w:tcPr>
            <w:tcW w:w="2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7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100" w:type="dxa"/>
            <w:vAlign w:val="bottom"/>
            <w:tcBorders>
              <w:bottom w:val="single" w:sz="8" w:color="7F7F7F"/>
            </w:tcBorders>
          </w:tcPr>
          <w:p>
            <w:pPr>
              <w:spacing w:after="0"/>
              <w:rPr>
                <w:sz w:val="16"/>
                <w:szCs w:val="16"/>
                <w:color w:val="auto"/>
              </w:rPr>
            </w:pPr>
          </w:p>
        </w:tc>
        <w:tc>
          <w:tcPr>
            <w:tcW w:w="260" w:type="dxa"/>
            <w:vAlign w:val="bottom"/>
            <w:tcBorders>
              <w:bottom w:val="single" w:sz="8" w:color="7F7F7F"/>
            </w:tcBorders>
          </w:tcPr>
          <w:p>
            <w:pPr>
              <w:spacing w:after="0"/>
              <w:rPr>
                <w:sz w:val="16"/>
                <w:szCs w:val="16"/>
                <w:color w:val="auto"/>
              </w:rPr>
            </w:pPr>
          </w:p>
        </w:tc>
        <w:tc>
          <w:tcPr>
            <w:tcW w:w="460" w:type="dxa"/>
            <w:vAlign w:val="bottom"/>
            <w:tcBorders>
              <w:bottom w:val="single" w:sz="8" w:color="7F7F7F"/>
            </w:tcBorders>
          </w:tcPr>
          <w:p>
            <w:pPr>
              <w:spacing w:after="0"/>
              <w:rPr>
                <w:sz w:val="16"/>
                <w:szCs w:val="16"/>
                <w:color w:val="auto"/>
              </w:rPr>
            </w:pPr>
          </w:p>
        </w:tc>
        <w:tc>
          <w:tcPr>
            <w:tcW w:w="14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040" w:type="dxa"/>
            <w:vAlign w:val="bottom"/>
          </w:tcPr>
          <w:p>
            <w:pPr>
              <w:spacing w:after="0"/>
              <w:rPr>
                <w:sz w:val="11"/>
                <w:szCs w:val="11"/>
                <w:color w:val="auto"/>
              </w:rPr>
            </w:pPr>
          </w:p>
        </w:tc>
        <w:tc>
          <w:tcPr>
            <w:tcW w:w="720" w:type="dxa"/>
            <w:vAlign w:val="bottom"/>
            <w:shd w:val="clear" w:color="auto" w:fill="F2F2F2"/>
          </w:tcPr>
          <w:p>
            <w:pPr>
              <w:jc w:val="right"/>
              <w:ind w:right="18"/>
              <w:spacing w:after="0" w:line="128" w:lineRule="exact"/>
              <w:rPr>
                <w:sz w:val="20"/>
                <w:szCs w:val="20"/>
                <w:color w:val="auto"/>
              </w:rPr>
            </w:pPr>
            <w:r>
              <w:rPr>
                <w:rFonts w:ascii="Arial" w:cs="Arial" w:eastAsia="Arial" w:hAnsi="Arial"/>
                <w:sz w:val="12"/>
                <w:szCs w:val="12"/>
                <w:color w:val="auto"/>
              </w:rPr>
              <w:t>01/03/23</w:t>
            </w:r>
          </w:p>
        </w:tc>
        <w:tc>
          <w:tcPr>
            <w:tcW w:w="1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86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2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900" w:type="dxa"/>
            <w:vAlign w:val="bottom"/>
            <w:shd w:val="clear" w:color="auto" w:fill="F2F2F2"/>
          </w:tcPr>
          <w:p>
            <w:pPr>
              <w:spacing w:after="0"/>
              <w:rPr>
                <w:sz w:val="11"/>
                <w:szCs w:val="11"/>
                <w:color w:val="auto"/>
              </w:rPr>
            </w:pPr>
          </w:p>
        </w:tc>
        <w:tc>
          <w:tcPr>
            <w:tcW w:w="64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160" w:type="dxa"/>
            <w:vAlign w:val="bottom"/>
            <w:shd w:val="clear" w:color="auto" w:fill="F2F2F2"/>
          </w:tcPr>
          <w:p>
            <w:pPr>
              <w:spacing w:after="0"/>
              <w:rPr>
                <w:sz w:val="11"/>
                <w:szCs w:val="11"/>
                <w:color w:val="auto"/>
              </w:rPr>
            </w:pPr>
          </w:p>
        </w:tc>
        <w:tc>
          <w:tcPr>
            <w:tcW w:w="2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800" w:type="dxa"/>
            <w:vAlign w:val="bottom"/>
            <w:gridSpan w:val="2"/>
            <w:shd w:val="clear" w:color="auto" w:fill="F2F2F2"/>
          </w:tcPr>
          <w:p>
            <w:pPr>
              <w:jc w:val="right"/>
              <w:ind w:right="100"/>
              <w:spacing w:after="0" w:line="128" w:lineRule="exact"/>
              <w:rPr>
                <w:sz w:val="20"/>
                <w:szCs w:val="20"/>
                <w:color w:val="auto"/>
              </w:rPr>
            </w:pPr>
            <w:r>
              <w:rPr>
                <w:rFonts w:ascii="Arial" w:cs="Arial" w:eastAsia="Arial" w:hAnsi="Arial"/>
                <w:sz w:val="12"/>
                <w:szCs w:val="12"/>
                <w:color w:val="auto"/>
              </w:rPr>
              <w:t>2,339</w:t>
            </w:r>
          </w:p>
        </w:tc>
        <w:tc>
          <w:tcPr>
            <w:tcW w:w="360" w:type="dxa"/>
            <w:vAlign w:val="bottom"/>
            <w:gridSpan w:val="2"/>
            <w:shd w:val="clear" w:color="auto" w:fill="F2F2F2"/>
          </w:tcPr>
          <w:p>
            <w:pPr>
              <w:jc w:val="right"/>
              <w:ind w:right="139"/>
              <w:spacing w:after="0" w:line="128" w:lineRule="exact"/>
              <w:rPr>
                <w:sz w:val="20"/>
                <w:szCs w:val="20"/>
                <w:color w:val="auto"/>
              </w:rPr>
            </w:pPr>
            <w:r>
              <w:rPr>
                <w:rFonts w:ascii="Arial" w:cs="Arial" w:eastAsia="Arial" w:hAnsi="Arial"/>
                <w:sz w:val="12"/>
                <w:szCs w:val="12"/>
                <w:color w:val="auto"/>
              </w:rPr>
              <w:t>$</w:t>
            </w:r>
          </w:p>
        </w:tc>
        <w:tc>
          <w:tcPr>
            <w:tcW w:w="600" w:type="dxa"/>
            <w:vAlign w:val="bottom"/>
            <w:gridSpan w:val="2"/>
            <w:shd w:val="clear" w:color="auto" w:fill="F2F2F2"/>
          </w:tcPr>
          <w:p>
            <w:pPr>
              <w:spacing w:after="0" w:line="127" w:lineRule="exact"/>
              <w:rPr>
                <w:sz w:val="20"/>
                <w:szCs w:val="20"/>
                <w:color w:val="auto"/>
              </w:rPr>
            </w:pPr>
            <w:r>
              <w:rPr>
                <w:rFonts w:ascii="Arial" w:cs="Arial" w:eastAsia="Arial" w:hAnsi="Arial"/>
                <w:sz w:val="10"/>
                <w:szCs w:val="10"/>
                <w:color w:val="auto"/>
              </w:rPr>
              <w:t>206,499</w:t>
            </w:r>
            <w:r>
              <w:rPr>
                <w:rFonts w:ascii="Arial" w:cs="Arial" w:eastAsia="Arial" w:hAnsi="Arial"/>
                <w:sz w:val="14"/>
                <w:szCs w:val="14"/>
                <w:color w:val="auto"/>
                <w:vertAlign w:val="superscript"/>
              </w:rPr>
              <w:t>(J)</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20" w:type="dxa"/>
            <w:vAlign w:val="bottom"/>
            <w:tcBorders>
              <w:top w:val="single" w:sz="8" w:color="F2F2F2"/>
            </w:tcBorders>
            <w:shd w:val="clear" w:color="auto" w:fill="F2F2F2"/>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700" w:type="dxa"/>
            <w:vAlign w:val="bottom"/>
            <w:tcBorders>
              <w:top w:val="single" w:sz="8" w:color="7F7F7F"/>
            </w:tcBorders>
            <w:shd w:val="clear" w:color="auto" w:fill="F2F2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860" w:type="dxa"/>
            <w:vAlign w:val="bottom"/>
            <w:tcBorders>
              <w:top w:val="single" w:sz="8" w:color="7F7F7F"/>
            </w:tcBorders>
            <w:shd w:val="clear" w:color="auto" w:fill="F2F2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F2F2F2"/>
            </w:tcBorders>
            <w:shd w:val="clear" w:color="auto" w:fill="F2F2F2"/>
          </w:tcPr>
          <w:p>
            <w:pPr>
              <w:spacing w:after="0" w:line="20" w:lineRule="exact"/>
              <w:rPr>
                <w:sz w:val="1"/>
                <w:szCs w:val="1"/>
                <w:color w:val="auto"/>
              </w:rPr>
            </w:pPr>
          </w:p>
        </w:tc>
        <w:tc>
          <w:tcPr>
            <w:tcW w:w="100" w:type="dxa"/>
            <w:vAlign w:val="bottom"/>
            <w:tcBorders>
              <w:top w:val="single" w:sz="8" w:color="7F7F7F"/>
            </w:tcBorders>
            <w:shd w:val="clear" w:color="auto" w:fill="F2F2F2"/>
          </w:tcPr>
          <w:p>
            <w:pPr>
              <w:spacing w:after="0" w:line="20" w:lineRule="exact"/>
              <w:rPr>
                <w:sz w:val="1"/>
                <w:szCs w:val="1"/>
                <w:color w:val="auto"/>
              </w:rPr>
            </w:pPr>
          </w:p>
        </w:tc>
        <w:tc>
          <w:tcPr>
            <w:tcW w:w="420" w:type="dxa"/>
            <w:vAlign w:val="bottom"/>
            <w:tcBorders>
              <w:top w:val="single" w:sz="8" w:color="7F7F7F"/>
            </w:tcBorders>
            <w:shd w:val="clear" w:color="auto" w:fill="F2F2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F2F2F2"/>
            </w:tcBorders>
            <w:shd w:val="clear" w:color="auto" w:fill="F2F2F2"/>
          </w:tcPr>
          <w:p>
            <w:pPr>
              <w:spacing w:after="0" w:line="20" w:lineRule="exact"/>
              <w:rPr>
                <w:sz w:val="1"/>
                <w:szCs w:val="1"/>
                <w:color w:val="auto"/>
              </w:rPr>
            </w:pPr>
          </w:p>
        </w:tc>
        <w:tc>
          <w:tcPr>
            <w:tcW w:w="640" w:type="dxa"/>
            <w:vAlign w:val="bottom"/>
            <w:tcBorders>
              <w:top w:val="single" w:sz="8" w:color="7F7F7F"/>
            </w:tcBorders>
            <w:shd w:val="clear" w:color="auto" w:fill="F2F2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80" w:type="dxa"/>
            <w:vAlign w:val="bottom"/>
            <w:tcBorders>
              <w:top w:val="single" w:sz="8" w:color="7F7F7F"/>
            </w:tcBorders>
            <w:shd w:val="clear" w:color="auto" w:fill="F2F2F2"/>
          </w:tcPr>
          <w:p>
            <w:pPr>
              <w:spacing w:after="0" w:line="20" w:lineRule="exact"/>
              <w:rPr>
                <w:sz w:val="1"/>
                <w:szCs w:val="1"/>
                <w:color w:val="auto"/>
              </w:rPr>
            </w:pPr>
          </w:p>
        </w:tc>
        <w:tc>
          <w:tcPr>
            <w:tcW w:w="620" w:type="dxa"/>
            <w:vAlign w:val="bottom"/>
            <w:tcBorders>
              <w:top w:val="single" w:sz="8" w:color="7F7F7F"/>
            </w:tcBorders>
            <w:shd w:val="clear" w:color="auto" w:fill="F2F2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700" w:type="dxa"/>
            <w:vAlign w:val="bottom"/>
            <w:tcBorders>
              <w:top w:val="single" w:sz="8" w:color="7F7F7F"/>
            </w:tcBorders>
            <w:shd w:val="clear" w:color="auto" w:fill="F2F2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F2F2F2"/>
            </w:tcBorders>
            <w:shd w:val="clear" w:color="auto" w:fill="F2F2F2"/>
          </w:tcPr>
          <w:p>
            <w:pPr>
              <w:spacing w:after="0" w:line="20" w:lineRule="exact"/>
              <w:rPr>
                <w:sz w:val="1"/>
                <w:szCs w:val="1"/>
                <w:color w:val="auto"/>
              </w:rPr>
            </w:pPr>
          </w:p>
        </w:tc>
        <w:tc>
          <w:tcPr>
            <w:tcW w:w="260" w:type="dxa"/>
            <w:vAlign w:val="bottom"/>
            <w:tcBorders>
              <w:top w:val="single" w:sz="8" w:color="7F7F7F"/>
            </w:tcBorders>
            <w:shd w:val="clear" w:color="auto" w:fill="F2F2F2"/>
          </w:tcPr>
          <w:p>
            <w:pPr>
              <w:spacing w:after="0" w:line="20" w:lineRule="exact"/>
              <w:rPr>
                <w:sz w:val="1"/>
                <w:szCs w:val="1"/>
                <w:color w:val="auto"/>
              </w:rPr>
            </w:pPr>
          </w:p>
        </w:tc>
        <w:tc>
          <w:tcPr>
            <w:tcW w:w="460" w:type="dxa"/>
            <w:vAlign w:val="bottom"/>
            <w:tcBorders>
              <w:top w:val="single" w:sz="8" w:color="7F7F7F"/>
            </w:tcBorders>
            <w:shd w:val="clear" w:color="auto" w:fill="F2F2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040" w:type="dxa"/>
            <w:vAlign w:val="bottom"/>
            <w:tcBorders>
              <w:bottom w:val="single" w:sz="8" w:color="7F7F7F"/>
            </w:tcBorders>
          </w:tcPr>
          <w:p>
            <w:pPr>
              <w:spacing w:after="0"/>
              <w:rPr>
                <w:sz w:val="22"/>
                <w:szCs w:val="22"/>
                <w:color w:val="auto"/>
              </w:rPr>
            </w:pPr>
          </w:p>
        </w:tc>
        <w:tc>
          <w:tcPr>
            <w:tcW w:w="720" w:type="dxa"/>
            <w:vAlign w:val="bottom"/>
            <w:tcBorders>
              <w:bottom w:val="single" w:sz="8" w:color="7F7F7F"/>
            </w:tcBorders>
          </w:tcPr>
          <w:p>
            <w:pPr>
              <w:spacing w:after="0"/>
              <w:rPr>
                <w:sz w:val="22"/>
                <w:szCs w:val="22"/>
                <w:color w:val="auto"/>
              </w:rPr>
            </w:pPr>
          </w:p>
        </w:tc>
        <w:tc>
          <w:tcPr>
            <w:tcW w:w="100" w:type="dxa"/>
            <w:vAlign w:val="bottom"/>
            <w:tcBorders>
              <w:bottom w:val="single" w:sz="8" w:color="7F7F7F"/>
            </w:tcBorders>
          </w:tcPr>
          <w:p>
            <w:pPr>
              <w:spacing w:after="0"/>
              <w:rPr>
                <w:sz w:val="22"/>
                <w:szCs w:val="22"/>
                <w:color w:val="auto"/>
              </w:rPr>
            </w:pPr>
          </w:p>
        </w:tc>
        <w:tc>
          <w:tcPr>
            <w:tcW w:w="7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12,971</w:t>
            </w:r>
          </w:p>
        </w:tc>
        <w:tc>
          <w:tcPr>
            <w:tcW w:w="80" w:type="dxa"/>
            <w:vAlign w:val="bottom"/>
            <w:tcBorders>
              <w:bottom w:val="single" w:sz="8" w:color="7F7F7F"/>
            </w:tcBorders>
          </w:tcPr>
          <w:p>
            <w:pPr>
              <w:spacing w:after="0"/>
              <w:rPr>
                <w:sz w:val="22"/>
                <w:szCs w:val="22"/>
                <w:color w:val="auto"/>
              </w:rPr>
            </w:pPr>
          </w:p>
        </w:tc>
        <w:tc>
          <w:tcPr>
            <w:tcW w:w="100" w:type="dxa"/>
            <w:vAlign w:val="bottom"/>
            <w:tcBorders>
              <w:bottom w:val="single" w:sz="8" w:color="7F7F7F"/>
            </w:tcBorders>
          </w:tcPr>
          <w:p>
            <w:pPr>
              <w:spacing w:after="0"/>
              <w:rPr>
                <w:sz w:val="22"/>
                <w:szCs w:val="22"/>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66,192</w:t>
            </w:r>
          </w:p>
        </w:tc>
        <w:tc>
          <w:tcPr>
            <w:tcW w:w="100" w:type="dxa"/>
            <w:vAlign w:val="bottom"/>
            <w:tcBorders>
              <w:bottom w:val="single" w:sz="8" w:color="7F7F7F"/>
            </w:tcBorders>
          </w:tcPr>
          <w:p>
            <w:pPr>
              <w:spacing w:after="0"/>
              <w:rPr>
                <w:sz w:val="22"/>
                <w:szCs w:val="22"/>
                <w:color w:val="auto"/>
              </w:rPr>
            </w:pPr>
          </w:p>
        </w:tc>
        <w:tc>
          <w:tcPr>
            <w:tcW w:w="80" w:type="dxa"/>
            <w:vAlign w:val="bottom"/>
            <w:tcBorders>
              <w:bottom w:val="single" w:sz="8" w:color="7F7F7F"/>
            </w:tcBorders>
          </w:tcPr>
          <w:p>
            <w:pPr>
              <w:spacing w:after="0"/>
              <w:rPr>
                <w:sz w:val="22"/>
                <w:szCs w:val="22"/>
                <w:color w:val="auto"/>
              </w:rPr>
            </w:pPr>
          </w:p>
        </w:tc>
        <w:tc>
          <w:tcPr>
            <w:tcW w:w="100" w:type="dxa"/>
            <w:vAlign w:val="bottom"/>
            <w:tcBorders>
              <w:bottom w:val="single" w:sz="8" w:color="7F7F7F"/>
            </w:tcBorders>
          </w:tcPr>
          <w:p>
            <w:pPr>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7F7F7F"/>
            </w:tcBorders>
            <w:gridSpan w:val="2"/>
          </w:tcPr>
          <w:p>
            <w:pPr>
              <w:ind w:left="40"/>
              <w:spacing w:after="0"/>
              <w:rPr>
                <w:sz w:val="20"/>
                <w:szCs w:val="20"/>
                <w:color w:val="auto"/>
              </w:rPr>
            </w:pPr>
            <w:r>
              <w:rPr>
                <w:rFonts w:ascii="Arial" w:cs="Arial" w:eastAsia="Arial" w:hAnsi="Arial"/>
                <w:sz w:val="12"/>
                <w:szCs w:val="12"/>
                <w:color w:val="auto"/>
                <w:w w:val="98"/>
              </w:rPr>
              <w:t>81.571</w:t>
            </w:r>
            <w:r>
              <w:rPr>
                <w:rFonts w:ascii="Arial" w:cs="Arial" w:eastAsia="Arial" w:hAnsi="Arial"/>
                <w:sz w:val="18"/>
                <w:szCs w:val="18"/>
                <w:color w:val="auto"/>
                <w:w w:val="98"/>
                <w:vertAlign w:val="superscript"/>
              </w:rPr>
              <w:t>(E)</w:t>
            </w:r>
          </w:p>
        </w:tc>
        <w:tc>
          <w:tcPr>
            <w:tcW w:w="900" w:type="dxa"/>
            <w:vAlign w:val="bottom"/>
            <w:tcBorders>
              <w:bottom w:val="single" w:sz="8" w:color="7F7F7F"/>
            </w:tcBorders>
          </w:tcPr>
          <w:p>
            <w:pPr>
              <w:spacing w:after="0"/>
              <w:rPr>
                <w:sz w:val="22"/>
                <w:szCs w:val="22"/>
                <w:color w:val="auto"/>
              </w:rPr>
            </w:pPr>
          </w:p>
        </w:tc>
        <w:tc>
          <w:tcPr>
            <w:tcW w:w="720" w:type="dxa"/>
            <w:vAlign w:val="bottom"/>
            <w:tcBorders>
              <w:bottom w:val="single" w:sz="8" w:color="7F7F7F"/>
            </w:tcBorders>
            <w:gridSpan w:val="2"/>
          </w:tcPr>
          <w:p>
            <w:pPr>
              <w:jc w:val="right"/>
              <w:ind w:right="80"/>
              <w:spacing w:after="0"/>
              <w:rPr>
                <w:sz w:val="20"/>
                <w:szCs w:val="20"/>
                <w:color w:val="auto"/>
              </w:rPr>
            </w:pPr>
            <w:r>
              <w:rPr>
                <w:rFonts w:ascii="Arial" w:cs="Arial" w:eastAsia="Arial" w:hAnsi="Arial"/>
                <w:sz w:val="12"/>
                <w:szCs w:val="12"/>
                <w:color w:val="auto"/>
              </w:rPr>
              <w:t>29,210</w:t>
            </w:r>
          </w:p>
        </w:tc>
        <w:tc>
          <w:tcPr>
            <w:tcW w:w="180" w:type="dxa"/>
            <w:vAlign w:val="bottom"/>
            <w:tcBorders>
              <w:bottom w:val="single" w:sz="8" w:color="7F7F7F"/>
            </w:tcBorders>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7F7F7F"/>
            </w:tcBorders>
            <w:gridSpan w:val="2"/>
          </w:tcPr>
          <w:p>
            <w:pPr>
              <w:jc w:val="right"/>
              <w:ind w:right="160"/>
              <w:spacing w:after="0"/>
              <w:rPr>
                <w:sz w:val="20"/>
                <w:szCs w:val="20"/>
                <w:color w:val="auto"/>
              </w:rPr>
            </w:pPr>
            <w:r>
              <w:rPr>
                <w:rFonts w:ascii="Arial" w:cs="Arial" w:eastAsia="Arial" w:hAnsi="Arial"/>
                <w:sz w:val="12"/>
                <w:szCs w:val="12"/>
                <w:color w:val="auto"/>
              </w:rPr>
              <w:t>2,578,983</w:t>
            </w:r>
          </w:p>
        </w:tc>
        <w:tc>
          <w:tcPr>
            <w:tcW w:w="920" w:type="dxa"/>
            <w:vAlign w:val="bottom"/>
            <w:tcBorders>
              <w:bottom w:val="single" w:sz="8" w:color="7F7F7F"/>
            </w:tcBorders>
            <w:gridSpan w:val="4"/>
          </w:tcPr>
          <w:p>
            <w:pPr>
              <w:jc w:val="right"/>
              <w:ind w:right="100"/>
              <w:spacing w:after="0"/>
              <w:rPr>
                <w:sz w:val="20"/>
                <w:szCs w:val="20"/>
                <w:color w:val="auto"/>
              </w:rPr>
            </w:pPr>
            <w:r>
              <w:rPr>
                <w:rFonts w:ascii="Arial" w:cs="Arial" w:eastAsia="Arial" w:hAnsi="Arial"/>
                <w:sz w:val="12"/>
                <w:szCs w:val="12"/>
                <w:color w:val="auto"/>
              </w:rPr>
              <w:t>2,339</w:t>
            </w:r>
          </w:p>
        </w:tc>
        <w:tc>
          <w:tcPr>
            <w:tcW w:w="360" w:type="dxa"/>
            <w:vAlign w:val="bottom"/>
            <w:tcBorders>
              <w:bottom w:val="single" w:sz="8" w:color="7F7F7F"/>
            </w:tcBorders>
            <w:gridSpan w:val="2"/>
          </w:tcPr>
          <w:p>
            <w:pPr>
              <w:jc w:val="right"/>
              <w:ind w:right="139"/>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206,499</w:t>
            </w:r>
          </w:p>
        </w:tc>
        <w:tc>
          <w:tcPr>
            <w:tcW w:w="140" w:type="dxa"/>
            <w:vAlign w:val="bottom"/>
            <w:tcBorders>
              <w:bottom w:val="single" w:sz="8" w:color="7F7F7F"/>
            </w:tcBorders>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3040" w:type="dxa"/>
            <w:vAlign w:val="bottom"/>
            <w:tcBorders>
              <w:bottom w:val="single" w:sz="8" w:color="7F7F7F"/>
            </w:tcBorders>
          </w:tcPr>
          <w:p>
            <w:pPr>
              <w:spacing w:after="0"/>
              <w:rPr>
                <w:sz w:val="13"/>
                <w:szCs w:val="13"/>
                <w:color w:val="auto"/>
              </w:rPr>
            </w:pPr>
          </w:p>
        </w:tc>
        <w:tc>
          <w:tcPr>
            <w:tcW w:w="720" w:type="dxa"/>
            <w:vAlign w:val="bottom"/>
            <w:tcBorders>
              <w:bottom w:val="single" w:sz="8" w:color="7F7F7F"/>
            </w:tcBorders>
          </w:tcPr>
          <w:p>
            <w:pPr>
              <w:spacing w:after="0"/>
              <w:rPr>
                <w:sz w:val="13"/>
                <w:szCs w:val="13"/>
                <w:color w:val="auto"/>
              </w:rPr>
            </w:pPr>
          </w:p>
        </w:tc>
        <w:tc>
          <w:tcPr>
            <w:tcW w:w="100" w:type="dxa"/>
            <w:vAlign w:val="bottom"/>
            <w:tcBorders>
              <w:bottom w:val="single" w:sz="8" w:color="7F7F7F"/>
            </w:tcBorders>
          </w:tcPr>
          <w:p>
            <w:pPr>
              <w:spacing w:after="0"/>
              <w:rPr>
                <w:sz w:val="13"/>
                <w:szCs w:val="13"/>
                <w:color w:val="auto"/>
              </w:rPr>
            </w:pPr>
          </w:p>
        </w:tc>
        <w:tc>
          <w:tcPr>
            <w:tcW w:w="700" w:type="dxa"/>
            <w:vAlign w:val="bottom"/>
            <w:tcBorders>
              <w:bottom w:val="single" w:sz="8" w:color="7F7F7F"/>
            </w:tcBorders>
          </w:tcPr>
          <w:p>
            <w:pPr>
              <w:spacing w:after="0"/>
              <w:rPr>
                <w:sz w:val="13"/>
                <w:szCs w:val="13"/>
                <w:color w:val="auto"/>
              </w:rPr>
            </w:pPr>
          </w:p>
        </w:tc>
        <w:tc>
          <w:tcPr>
            <w:tcW w:w="80" w:type="dxa"/>
            <w:vAlign w:val="bottom"/>
            <w:tcBorders>
              <w:bottom w:val="single" w:sz="8" w:color="7F7F7F"/>
            </w:tcBorders>
          </w:tcPr>
          <w:p>
            <w:pPr>
              <w:spacing w:after="0"/>
              <w:rPr>
                <w:sz w:val="13"/>
                <w:szCs w:val="13"/>
                <w:color w:val="auto"/>
              </w:rPr>
            </w:pPr>
          </w:p>
        </w:tc>
        <w:tc>
          <w:tcPr>
            <w:tcW w:w="100" w:type="dxa"/>
            <w:vAlign w:val="bottom"/>
            <w:tcBorders>
              <w:bottom w:val="single" w:sz="8" w:color="7F7F7F"/>
            </w:tcBorders>
          </w:tcPr>
          <w:p>
            <w:pPr>
              <w:spacing w:after="0"/>
              <w:rPr>
                <w:sz w:val="13"/>
                <w:szCs w:val="13"/>
                <w:color w:val="auto"/>
              </w:rPr>
            </w:pPr>
          </w:p>
        </w:tc>
        <w:tc>
          <w:tcPr>
            <w:tcW w:w="860" w:type="dxa"/>
            <w:vAlign w:val="bottom"/>
            <w:tcBorders>
              <w:bottom w:val="single" w:sz="8" w:color="7F7F7F"/>
            </w:tcBorders>
          </w:tcPr>
          <w:p>
            <w:pPr>
              <w:spacing w:after="0"/>
              <w:rPr>
                <w:sz w:val="13"/>
                <w:szCs w:val="13"/>
                <w:color w:val="auto"/>
              </w:rPr>
            </w:pPr>
          </w:p>
        </w:tc>
        <w:tc>
          <w:tcPr>
            <w:tcW w:w="100" w:type="dxa"/>
            <w:vAlign w:val="bottom"/>
            <w:tcBorders>
              <w:bottom w:val="single" w:sz="8" w:color="7F7F7F"/>
            </w:tcBorders>
          </w:tcPr>
          <w:p>
            <w:pPr>
              <w:spacing w:after="0"/>
              <w:rPr>
                <w:sz w:val="13"/>
                <w:szCs w:val="13"/>
                <w:color w:val="auto"/>
              </w:rPr>
            </w:pPr>
          </w:p>
        </w:tc>
        <w:tc>
          <w:tcPr>
            <w:tcW w:w="80" w:type="dxa"/>
            <w:vAlign w:val="bottom"/>
            <w:tcBorders>
              <w:bottom w:val="single" w:sz="8" w:color="7F7F7F"/>
            </w:tcBorders>
          </w:tcPr>
          <w:p>
            <w:pPr>
              <w:spacing w:after="0"/>
              <w:rPr>
                <w:sz w:val="13"/>
                <w:szCs w:val="13"/>
                <w:color w:val="auto"/>
              </w:rPr>
            </w:pPr>
          </w:p>
        </w:tc>
        <w:tc>
          <w:tcPr>
            <w:tcW w:w="100" w:type="dxa"/>
            <w:vAlign w:val="bottom"/>
            <w:tcBorders>
              <w:bottom w:val="single" w:sz="8" w:color="7F7F7F"/>
            </w:tcBorders>
          </w:tcPr>
          <w:p>
            <w:pPr>
              <w:spacing w:after="0"/>
              <w:rPr>
                <w:sz w:val="13"/>
                <w:szCs w:val="13"/>
                <w:color w:val="auto"/>
              </w:rPr>
            </w:pPr>
          </w:p>
        </w:tc>
        <w:tc>
          <w:tcPr>
            <w:tcW w:w="420" w:type="dxa"/>
            <w:vAlign w:val="bottom"/>
            <w:tcBorders>
              <w:bottom w:val="single" w:sz="8" w:color="7F7F7F"/>
            </w:tcBorders>
          </w:tcPr>
          <w:p>
            <w:pPr>
              <w:spacing w:after="0"/>
              <w:rPr>
                <w:sz w:val="13"/>
                <w:szCs w:val="13"/>
                <w:color w:val="auto"/>
              </w:rPr>
            </w:pPr>
          </w:p>
        </w:tc>
        <w:tc>
          <w:tcPr>
            <w:tcW w:w="160" w:type="dxa"/>
            <w:vAlign w:val="bottom"/>
            <w:tcBorders>
              <w:bottom w:val="single" w:sz="8" w:color="7F7F7F"/>
            </w:tcBorders>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80" w:type="dxa"/>
            <w:vAlign w:val="bottom"/>
            <w:tcBorders>
              <w:bottom w:val="single" w:sz="8" w:color="7F7F7F"/>
            </w:tcBorders>
          </w:tcPr>
          <w:p>
            <w:pPr>
              <w:spacing w:after="0"/>
              <w:rPr>
                <w:sz w:val="13"/>
                <w:szCs w:val="13"/>
                <w:color w:val="auto"/>
              </w:rPr>
            </w:pPr>
          </w:p>
        </w:tc>
        <w:tc>
          <w:tcPr>
            <w:tcW w:w="100" w:type="dxa"/>
            <w:vAlign w:val="bottom"/>
            <w:tcBorders>
              <w:bottom w:val="single" w:sz="8" w:color="7F7F7F"/>
            </w:tcBorders>
          </w:tcPr>
          <w:p>
            <w:pPr>
              <w:spacing w:after="0"/>
              <w:rPr>
                <w:sz w:val="13"/>
                <w:szCs w:val="13"/>
                <w:color w:val="auto"/>
              </w:rPr>
            </w:pPr>
          </w:p>
        </w:tc>
        <w:tc>
          <w:tcPr>
            <w:tcW w:w="80" w:type="dxa"/>
            <w:vAlign w:val="bottom"/>
            <w:tcBorders>
              <w:bottom w:val="single" w:sz="8" w:color="7F7F7F"/>
            </w:tcBorders>
          </w:tcPr>
          <w:p>
            <w:pPr>
              <w:spacing w:after="0"/>
              <w:rPr>
                <w:sz w:val="13"/>
                <w:szCs w:val="13"/>
                <w:color w:val="auto"/>
              </w:rPr>
            </w:pPr>
          </w:p>
        </w:tc>
        <w:tc>
          <w:tcPr>
            <w:tcW w:w="780" w:type="dxa"/>
            <w:vAlign w:val="bottom"/>
            <w:tcBorders>
              <w:bottom w:val="single" w:sz="8" w:color="7F7F7F"/>
            </w:tcBorders>
            <w:gridSpan w:val="2"/>
          </w:tcPr>
          <w:p>
            <w:pPr>
              <w:spacing w:after="0"/>
              <w:rPr>
                <w:sz w:val="13"/>
                <w:szCs w:val="13"/>
                <w:color w:val="auto"/>
              </w:rPr>
            </w:pPr>
          </w:p>
        </w:tc>
        <w:tc>
          <w:tcPr>
            <w:tcW w:w="1280" w:type="dxa"/>
            <w:vAlign w:val="bottom"/>
            <w:tcBorders>
              <w:bottom w:val="single" w:sz="8" w:color="7F7F7F"/>
            </w:tcBorders>
            <w:gridSpan w:val="6"/>
          </w:tcPr>
          <w:p>
            <w:pPr>
              <w:spacing w:after="0"/>
              <w:rPr>
                <w:sz w:val="13"/>
                <w:szCs w:val="13"/>
                <w:color w:val="auto"/>
              </w:rPr>
            </w:pPr>
          </w:p>
        </w:tc>
        <w:tc>
          <w:tcPr>
            <w:tcW w:w="600" w:type="dxa"/>
            <w:vAlign w:val="bottom"/>
            <w:tcBorders>
              <w:bottom w:val="single" w:sz="8" w:color="7F7F7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left="399"/>
              <w:spacing w:after="0"/>
              <w:rPr>
                <w:sz w:val="20"/>
                <w:szCs w:val="20"/>
                <w:color w:val="auto"/>
              </w:rPr>
            </w:pPr>
            <w:r>
              <w:rPr>
                <w:rFonts w:ascii="Arial" w:cs="Arial" w:eastAsia="Arial" w:hAnsi="Arial"/>
                <w:sz w:val="12"/>
                <w:szCs w:val="12"/>
                <w:color w:val="auto"/>
              </w:rPr>
              <w:t xml:space="preserve">    </w:t>
            </w:r>
          </w:p>
        </w:tc>
        <w:tc>
          <w:tcPr>
            <w:tcW w:w="1280" w:type="dxa"/>
            <w:vAlign w:val="bottom"/>
            <w:gridSpan w:val="6"/>
          </w:tcPr>
          <w:p>
            <w:pPr>
              <w:jc w:val="right"/>
              <w:spacing w:after="0"/>
              <w:rPr>
                <w:sz w:val="20"/>
                <w:szCs w:val="20"/>
                <w:color w:val="auto"/>
              </w:rPr>
            </w:pPr>
            <w:r>
              <w:rPr>
                <w:rFonts w:ascii="Arial" w:cs="Arial" w:eastAsia="Arial" w:hAnsi="Arial"/>
                <w:sz w:val="12"/>
                <w:szCs w:val="12"/>
                <w:color w:val="auto"/>
                <w:w w:val="96"/>
              </w:rPr>
              <w:t>2026 Proxy Statement </w:t>
            </w:r>
          </w:p>
        </w:tc>
        <w:tc>
          <w:tcPr>
            <w:tcW w:w="600" w:type="dxa"/>
            <w:vAlign w:val="bottom"/>
            <w:gridSpan w:val="2"/>
          </w:tcPr>
          <w:p>
            <w:pPr>
              <w:ind w:left="80"/>
              <w:spacing w:after="0"/>
              <w:rPr>
                <w:sz w:val="20"/>
                <w:szCs w:val="20"/>
                <w:color w:val="auto"/>
              </w:rPr>
            </w:pPr>
            <w:r>
              <w:rPr>
                <w:rFonts w:ascii="Arial" w:cs="Arial" w:eastAsia="Arial" w:hAnsi="Arial"/>
                <w:sz w:val="12"/>
                <w:szCs w:val="12"/>
                <w:color w:val="auto"/>
                <w:w w:val="95"/>
              </w:rPr>
              <w:t>         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-6478905</wp:posOffset>
            </wp:positionV>
            <wp:extent cx="110426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104265"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-6801485</wp:posOffset>
            </wp:positionV>
            <wp:extent cx="448373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483735" cy="8255"/>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-7183755</wp:posOffset>
            </wp:positionV>
            <wp:extent cx="22586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25869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-118110</wp:posOffset>
            </wp:positionV>
            <wp:extent cx="739140" cy="144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60" w:type="dxa"/>
        <w:tblCellMar>
          <w:top w:w="0" w:type="dxa"/>
          <w:left w:w="0" w:type="dxa"/>
          <w:bottom w:w="0" w:type="dxa"/>
          <w:right w:w="0" w:type="dxa"/>
        </w:tblCellMar>
      </w:tblPr>
      <w:tr>
        <w:trPr>
          <w:trHeight w:val="147"/>
        </w:trPr>
        <w:tc>
          <w:tcPr>
            <w:tcW w:w="2340" w:type="dxa"/>
            <w:vAlign w:val="bottom"/>
          </w:tcPr>
          <w:p>
            <w:pPr>
              <w:spacing w:after="0"/>
              <w:rPr>
                <w:sz w:val="20"/>
                <w:szCs w:val="20"/>
                <w:color w:val="auto"/>
              </w:rPr>
            </w:pPr>
            <w:r>
              <w:rPr>
                <w:rFonts w:ascii="Arial" w:cs="Arial" w:eastAsia="Arial" w:hAnsi="Arial"/>
                <w:sz w:val="11"/>
                <w:szCs w:val="11"/>
                <w:b w:val="1"/>
                <w:bCs w:val="1"/>
                <w:color w:val="7F7F7F"/>
              </w:rPr>
              <w:t>Executive Compensation</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340" w:type="dxa"/>
            <w:vAlign w:val="bottom"/>
            <w:shd w:val="clear" w:color="auto" w:fill="005CB9"/>
          </w:tcPr>
          <w:p>
            <w:pPr>
              <w:spacing w:after="0"/>
              <w:rPr>
                <w:sz w:val="17"/>
                <w:szCs w:val="17"/>
                <w:color w:val="auto"/>
              </w:rPr>
            </w:pPr>
          </w:p>
        </w:tc>
        <w:tc>
          <w:tcPr>
            <w:tcW w:w="200" w:type="dxa"/>
            <w:vAlign w:val="bottom"/>
            <w:shd w:val="clear" w:color="auto" w:fill="005CB9"/>
          </w:tcPr>
          <w:p>
            <w:pPr>
              <w:spacing w:after="0"/>
              <w:rPr>
                <w:sz w:val="17"/>
                <w:szCs w:val="17"/>
                <w:color w:val="auto"/>
              </w:rPr>
            </w:pPr>
          </w:p>
        </w:tc>
        <w:tc>
          <w:tcPr>
            <w:tcW w:w="40" w:type="dxa"/>
            <w:vAlign w:val="bottom"/>
            <w:shd w:val="clear" w:color="auto" w:fill="005CB9"/>
          </w:tcPr>
          <w:p>
            <w:pPr>
              <w:spacing w:after="0"/>
              <w:rPr>
                <w:sz w:val="17"/>
                <w:szCs w:val="17"/>
                <w:color w:val="auto"/>
              </w:rPr>
            </w:pPr>
          </w:p>
        </w:tc>
        <w:tc>
          <w:tcPr>
            <w:tcW w:w="580" w:type="dxa"/>
            <w:vAlign w:val="bottom"/>
            <w:shd w:val="clear" w:color="auto" w:fill="005CB9"/>
          </w:tcPr>
          <w:p>
            <w:pPr>
              <w:spacing w:after="0"/>
              <w:rPr>
                <w:sz w:val="17"/>
                <w:szCs w:val="17"/>
                <w:color w:val="auto"/>
              </w:rPr>
            </w:pPr>
          </w:p>
        </w:tc>
        <w:tc>
          <w:tcPr>
            <w:tcW w:w="200" w:type="dxa"/>
            <w:vAlign w:val="bottom"/>
            <w:shd w:val="clear" w:color="auto" w:fill="005CB9"/>
          </w:tcPr>
          <w:p>
            <w:pPr>
              <w:spacing w:after="0"/>
              <w:rPr>
                <w:sz w:val="17"/>
                <w:szCs w:val="17"/>
                <w:color w:val="auto"/>
              </w:rPr>
            </w:pPr>
          </w:p>
        </w:tc>
        <w:tc>
          <w:tcPr>
            <w:tcW w:w="340" w:type="dxa"/>
            <w:vAlign w:val="bottom"/>
            <w:shd w:val="clear" w:color="auto" w:fill="005CB9"/>
          </w:tcPr>
          <w:p>
            <w:pPr>
              <w:spacing w:after="0"/>
              <w:rPr>
                <w:sz w:val="17"/>
                <w:szCs w:val="17"/>
                <w:color w:val="auto"/>
              </w:rPr>
            </w:pPr>
          </w:p>
        </w:tc>
        <w:tc>
          <w:tcPr>
            <w:tcW w:w="180" w:type="dxa"/>
            <w:vAlign w:val="bottom"/>
            <w:shd w:val="clear" w:color="auto" w:fill="005CB9"/>
          </w:tcPr>
          <w:p>
            <w:pPr>
              <w:spacing w:after="0"/>
              <w:rPr>
                <w:sz w:val="17"/>
                <w:szCs w:val="17"/>
                <w:color w:val="auto"/>
              </w:rPr>
            </w:pPr>
          </w:p>
        </w:tc>
        <w:tc>
          <w:tcPr>
            <w:tcW w:w="320" w:type="dxa"/>
            <w:vAlign w:val="bottom"/>
            <w:shd w:val="clear" w:color="auto" w:fill="005CB9"/>
          </w:tcPr>
          <w:p>
            <w:pPr>
              <w:spacing w:after="0"/>
              <w:rPr>
                <w:sz w:val="17"/>
                <w:szCs w:val="17"/>
                <w:color w:val="auto"/>
              </w:rPr>
            </w:pPr>
          </w:p>
        </w:tc>
        <w:tc>
          <w:tcPr>
            <w:tcW w:w="200" w:type="dxa"/>
            <w:vAlign w:val="bottom"/>
            <w:shd w:val="clear" w:color="auto" w:fill="005CB9"/>
          </w:tcPr>
          <w:p>
            <w:pPr>
              <w:spacing w:after="0"/>
              <w:rPr>
                <w:sz w:val="17"/>
                <w:szCs w:val="17"/>
                <w:color w:val="auto"/>
              </w:rPr>
            </w:pPr>
          </w:p>
        </w:tc>
        <w:tc>
          <w:tcPr>
            <w:tcW w:w="400" w:type="dxa"/>
            <w:vAlign w:val="bottom"/>
            <w:shd w:val="clear" w:color="auto" w:fill="005CB9"/>
          </w:tcPr>
          <w:p>
            <w:pPr>
              <w:spacing w:after="0"/>
              <w:rPr>
                <w:sz w:val="17"/>
                <w:szCs w:val="17"/>
                <w:color w:val="auto"/>
              </w:rPr>
            </w:pPr>
          </w:p>
        </w:tc>
        <w:tc>
          <w:tcPr>
            <w:tcW w:w="180" w:type="dxa"/>
            <w:vAlign w:val="bottom"/>
            <w:shd w:val="clear" w:color="auto" w:fill="005CB9"/>
          </w:tcPr>
          <w:p>
            <w:pPr>
              <w:spacing w:after="0"/>
              <w:rPr>
                <w:sz w:val="17"/>
                <w:szCs w:val="17"/>
                <w:color w:val="auto"/>
              </w:rPr>
            </w:pPr>
          </w:p>
        </w:tc>
        <w:tc>
          <w:tcPr>
            <w:tcW w:w="400" w:type="dxa"/>
            <w:vAlign w:val="bottom"/>
            <w:shd w:val="clear" w:color="auto" w:fill="005CB9"/>
          </w:tcPr>
          <w:p>
            <w:pPr>
              <w:spacing w:after="0"/>
              <w:rPr>
                <w:sz w:val="17"/>
                <w:szCs w:val="17"/>
                <w:color w:val="auto"/>
              </w:rPr>
            </w:pPr>
          </w:p>
        </w:tc>
        <w:tc>
          <w:tcPr>
            <w:tcW w:w="200" w:type="dxa"/>
            <w:vAlign w:val="bottom"/>
            <w:shd w:val="clear" w:color="auto" w:fill="005CB9"/>
          </w:tcPr>
          <w:p>
            <w:pPr>
              <w:spacing w:after="0"/>
              <w:rPr>
                <w:sz w:val="17"/>
                <w:szCs w:val="17"/>
                <w:color w:val="auto"/>
              </w:rPr>
            </w:pPr>
          </w:p>
        </w:tc>
        <w:tc>
          <w:tcPr>
            <w:tcW w:w="240" w:type="dxa"/>
            <w:vAlign w:val="bottom"/>
            <w:shd w:val="clear" w:color="auto" w:fill="005CB9"/>
          </w:tcPr>
          <w:p>
            <w:pPr>
              <w:spacing w:after="0"/>
              <w:rPr>
                <w:sz w:val="17"/>
                <w:szCs w:val="17"/>
                <w:color w:val="auto"/>
              </w:rPr>
            </w:pPr>
          </w:p>
        </w:tc>
        <w:tc>
          <w:tcPr>
            <w:tcW w:w="220" w:type="dxa"/>
            <w:vAlign w:val="bottom"/>
            <w:shd w:val="clear" w:color="auto" w:fill="005CB9"/>
          </w:tcPr>
          <w:p>
            <w:pPr>
              <w:spacing w:after="0"/>
              <w:rPr>
                <w:sz w:val="17"/>
                <w:szCs w:val="17"/>
                <w:color w:val="auto"/>
              </w:rPr>
            </w:pPr>
          </w:p>
        </w:tc>
        <w:tc>
          <w:tcPr>
            <w:tcW w:w="240" w:type="dxa"/>
            <w:vAlign w:val="bottom"/>
            <w:shd w:val="clear" w:color="auto" w:fill="005CB9"/>
          </w:tcPr>
          <w:p>
            <w:pPr>
              <w:spacing w:after="0"/>
              <w:rPr>
                <w:sz w:val="17"/>
                <w:szCs w:val="17"/>
                <w:color w:val="auto"/>
              </w:rPr>
            </w:pPr>
          </w:p>
        </w:tc>
        <w:tc>
          <w:tcPr>
            <w:tcW w:w="200" w:type="dxa"/>
            <w:vAlign w:val="bottom"/>
            <w:shd w:val="clear" w:color="auto" w:fill="005CB9"/>
          </w:tcPr>
          <w:p>
            <w:pPr>
              <w:spacing w:after="0"/>
              <w:rPr>
                <w:sz w:val="17"/>
                <w:szCs w:val="17"/>
                <w:color w:val="auto"/>
              </w:rPr>
            </w:pPr>
          </w:p>
        </w:tc>
        <w:tc>
          <w:tcPr>
            <w:tcW w:w="300" w:type="dxa"/>
            <w:vAlign w:val="bottom"/>
            <w:shd w:val="clear" w:color="auto" w:fill="005CB9"/>
          </w:tcPr>
          <w:p>
            <w:pPr>
              <w:spacing w:after="0"/>
              <w:rPr>
                <w:sz w:val="17"/>
                <w:szCs w:val="17"/>
                <w:color w:val="auto"/>
              </w:rPr>
            </w:pPr>
          </w:p>
        </w:tc>
        <w:tc>
          <w:tcPr>
            <w:tcW w:w="560" w:type="dxa"/>
            <w:vAlign w:val="bottom"/>
            <w:shd w:val="clear" w:color="auto" w:fill="005CB9"/>
          </w:tcPr>
          <w:p>
            <w:pPr>
              <w:spacing w:after="0"/>
              <w:rPr>
                <w:sz w:val="17"/>
                <w:szCs w:val="17"/>
                <w:color w:val="auto"/>
              </w:rPr>
            </w:pPr>
          </w:p>
        </w:tc>
        <w:tc>
          <w:tcPr>
            <w:tcW w:w="180" w:type="dxa"/>
            <w:vAlign w:val="bottom"/>
            <w:shd w:val="clear" w:color="auto" w:fill="005CB9"/>
          </w:tcPr>
          <w:p>
            <w:pPr>
              <w:spacing w:after="0"/>
              <w:rPr>
                <w:sz w:val="17"/>
                <w:szCs w:val="17"/>
                <w:color w:val="auto"/>
              </w:rPr>
            </w:pPr>
          </w:p>
        </w:tc>
        <w:tc>
          <w:tcPr>
            <w:tcW w:w="420" w:type="dxa"/>
            <w:vAlign w:val="bottom"/>
            <w:shd w:val="clear" w:color="auto" w:fill="005CB9"/>
          </w:tcPr>
          <w:p>
            <w:pPr>
              <w:spacing w:after="0"/>
              <w:rPr>
                <w:sz w:val="17"/>
                <w:szCs w:val="17"/>
                <w:color w:val="auto"/>
              </w:rPr>
            </w:pPr>
          </w:p>
        </w:tc>
        <w:tc>
          <w:tcPr>
            <w:tcW w:w="40" w:type="dxa"/>
            <w:vAlign w:val="bottom"/>
            <w:shd w:val="clear" w:color="auto" w:fill="005CB9"/>
          </w:tcPr>
          <w:p>
            <w:pPr>
              <w:spacing w:after="0"/>
              <w:rPr>
                <w:sz w:val="17"/>
                <w:szCs w:val="17"/>
                <w:color w:val="auto"/>
              </w:rPr>
            </w:pPr>
          </w:p>
        </w:tc>
        <w:tc>
          <w:tcPr>
            <w:tcW w:w="200" w:type="dxa"/>
            <w:vAlign w:val="bottom"/>
            <w:shd w:val="clear" w:color="auto" w:fill="005CB9"/>
          </w:tcPr>
          <w:p>
            <w:pPr>
              <w:spacing w:after="0"/>
              <w:rPr>
                <w:sz w:val="17"/>
                <w:szCs w:val="17"/>
                <w:color w:val="auto"/>
              </w:rPr>
            </w:pPr>
          </w:p>
        </w:tc>
        <w:tc>
          <w:tcPr>
            <w:tcW w:w="40" w:type="dxa"/>
            <w:vAlign w:val="bottom"/>
            <w:shd w:val="clear" w:color="auto" w:fill="005CB9"/>
          </w:tcPr>
          <w:p>
            <w:pPr>
              <w:spacing w:after="0"/>
              <w:rPr>
                <w:sz w:val="17"/>
                <w:szCs w:val="17"/>
                <w:color w:val="auto"/>
              </w:rPr>
            </w:pPr>
          </w:p>
        </w:tc>
        <w:tc>
          <w:tcPr>
            <w:tcW w:w="80" w:type="dxa"/>
            <w:vAlign w:val="bottom"/>
            <w:shd w:val="clear" w:color="auto" w:fill="005CB9"/>
          </w:tcPr>
          <w:p>
            <w:pPr>
              <w:spacing w:after="0"/>
              <w:rPr>
                <w:sz w:val="17"/>
                <w:szCs w:val="17"/>
                <w:color w:val="auto"/>
              </w:rPr>
            </w:pPr>
          </w:p>
        </w:tc>
        <w:tc>
          <w:tcPr>
            <w:tcW w:w="1560" w:type="dxa"/>
            <w:vAlign w:val="bottom"/>
            <w:gridSpan w:val="6"/>
            <w:shd w:val="clear" w:color="auto" w:fill="005CB9"/>
          </w:tcPr>
          <w:p>
            <w:pPr>
              <w:jc w:val="right"/>
              <w:ind w:right="320"/>
              <w:spacing w:after="0"/>
              <w:rPr>
                <w:sz w:val="20"/>
                <w:szCs w:val="20"/>
                <w:color w:val="auto"/>
              </w:rPr>
            </w:pPr>
            <w:r>
              <w:rPr>
                <w:rFonts w:ascii="Arial" w:cs="Arial" w:eastAsia="Arial" w:hAnsi="Arial"/>
                <w:sz w:val="12"/>
                <w:szCs w:val="12"/>
                <w:b w:val="1"/>
                <w:bCs w:val="1"/>
                <w:color w:val="FFFFFF"/>
              </w:rPr>
              <w:t>Stock Awards</w:t>
            </w:r>
          </w:p>
        </w:tc>
        <w:tc>
          <w:tcPr>
            <w:tcW w:w="200" w:type="dxa"/>
            <w:vAlign w:val="bottom"/>
            <w:shd w:val="clear" w:color="auto" w:fill="005CB9"/>
          </w:tcPr>
          <w:p>
            <w:pPr>
              <w:spacing w:after="0"/>
              <w:rPr>
                <w:sz w:val="17"/>
                <w:szCs w:val="17"/>
                <w:color w:val="auto"/>
              </w:rPr>
            </w:pPr>
          </w:p>
        </w:tc>
        <w:tc>
          <w:tcPr>
            <w:tcW w:w="40" w:type="dxa"/>
            <w:vAlign w:val="bottom"/>
            <w:shd w:val="clear" w:color="auto" w:fill="005CB9"/>
          </w:tcPr>
          <w:p>
            <w:pPr>
              <w:spacing w:after="0"/>
              <w:rPr>
                <w:sz w:val="17"/>
                <w:szCs w:val="17"/>
                <w:color w:val="auto"/>
              </w:rPr>
            </w:pPr>
          </w:p>
        </w:tc>
        <w:tc>
          <w:tcPr>
            <w:tcW w:w="80" w:type="dxa"/>
            <w:vAlign w:val="bottom"/>
            <w:shd w:val="clear" w:color="auto" w:fill="005CB9"/>
          </w:tcPr>
          <w:p>
            <w:pPr>
              <w:spacing w:after="0"/>
              <w:rPr>
                <w:sz w:val="17"/>
                <w:szCs w:val="17"/>
                <w:color w:val="auto"/>
              </w:rPr>
            </w:pPr>
          </w:p>
        </w:tc>
        <w:tc>
          <w:tcPr>
            <w:tcW w:w="560" w:type="dxa"/>
            <w:vAlign w:val="bottom"/>
            <w:shd w:val="clear" w:color="auto" w:fill="005CB9"/>
          </w:tcPr>
          <w:p>
            <w:pPr>
              <w:spacing w:after="0"/>
              <w:rPr>
                <w:sz w:val="17"/>
                <w:szCs w:val="17"/>
                <w:color w:val="auto"/>
              </w:rPr>
            </w:pPr>
          </w:p>
        </w:tc>
        <w:tc>
          <w:tcPr>
            <w:tcW w:w="180" w:type="dxa"/>
            <w:vAlign w:val="bottom"/>
            <w:shd w:val="clear" w:color="auto" w:fill="005CB9"/>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34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 w:type="dxa"/>
            <w:vAlign w:val="bottom"/>
            <w:shd w:val="clear" w:color="auto" w:fill="005CB9"/>
          </w:tcPr>
          <w:p>
            <w:pPr>
              <w:spacing w:after="0"/>
              <w:rPr>
                <w:sz w:val="11"/>
                <w:szCs w:val="11"/>
                <w:color w:val="auto"/>
              </w:rPr>
            </w:pPr>
          </w:p>
        </w:tc>
        <w:tc>
          <w:tcPr>
            <w:tcW w:w="58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340" w:type="dxa"/>
            <w:vAlign w:val="bottom"/>
            <w:shd w:val="clear" w:color="auto" w:fill="005CB9"/>
          </w:tcPr>
          <w:p>
            <w:pPr>
              <w:spacing w:after="0"/>
              <w:rPr>
                <w:sz w:val="11"/>
                <w:szCs w:val="11"/>
                <w:color w:val="auto"/>
              </w:rPr>
            </w:pPr>
          </w:p>
        </w:tc>
        <w:tc>
          <w:tcPr>
            <w:tcW w:w="180" w:type="dxa"/>
            <w:vAlign w:val="bottom"/>
            <w:shd w:val="clear" w:color="auto" w:fill="005CB9"/>
          </w:tcPr>
          <w:p>
            <w:pPr>
              <w:spacing w:after="0"/>
              <w:rPr>
                <w:sz w:val="11"/>
                <w:szCs w:val="11"/>
                <w:color w:val="auto"/>
              </w:rPr>
            </w:pPr>
          </w:p>
        </w:tc>
        <w:tc>
          <w:tcPr>
            <w:tcW w:w="32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0" w:type="dxa"/>
            <w:vAlign w:val="bottom"/>
            <w:shd w:val="clear" w:color="auto" w:fill="005CB9"/>
          </w:tcPr>
          <w:p>
            <w:pPr>
              <w:spacing w:after="0"/>
              <w:rPr>
                <w:sz w:val="11"/>
                <w:szCs w:val="11"/>
                <w:color w:val="auto"/>
              </w:rPr>
            </w:pPr>
          </w:p>
        </w:tc>
        <w:tc>
          <w:tcPr>
            <w:tcW w:w="180" w:type="dxa"/>
            <w:vAlign w:val="bottom"/>
            <w:shd w:val="clear" w:color="auto" w:fill="005CB9"/>
          </w:tcPr>
          <w:p>
            <w:pPr>
              <w:spacing w:after="0"/>
              <w:rPr>
                <w:sz w:val="11"/>
                <w:szCs w:val="11"/>
                <w:color w:val="auto"/>
              </w:rPr>
            </w:pPr>
          </w:p>
        </w:tc>
        <w:tc>
          <w:tcPr>
            <w:tcW w:w="40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240" w:type="dxa"/>
            <w:vAlign w:val="bottom"/>
            <w:shd w:val="clear" w:color="auto" w:fill="005CB9"/>
          </w:tcPr>
          <w:p>
            <w:pPr>
              <w:spacing w:after="0"/>
              <w:rPr>
                <w:sz w:val="11"/>
                <w:szCs w:val="11"/>
                <w:color w:val="auto"/>
              </w:rPr>
            </w:pPr>
          </w:p>
        </w:tc>
        <w:tc>
          <w:tcPr>
            <w:tcW w:w="220" w:type="dxa"/>
            <w:vAlign w:val="bottom"/>
            <w:shd w:val="clear" w:color="auto" w:fill="005CB9"/>
          </w:tcPr>
          <w:p>
            <w:pPr>
              <w:spacing w:after="0"/>
              <w:rPr>
                <w:sz w:val="11"/>
                <w:szCs w:val="11"/>
                <w:color w:val="auto"/>
              </w:rPr>
            </w:pPr>
          </w:p>
        </w:tc>
        <w:tc>
          <w:tcPr>
            <w:tcW w:w="24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300" w:type="dxa"/>
            <w:vAlign w:val="bottom"/>
            <w:shd w:val="clear" w:color="auto" w:fill="005CB9"/>
          </w:tcPr>
          <w:p>
            <w:pPr>
              <w:spacing w:after="0"/>
              <w:rPr>
                <w:sz w:val="11"/>
                <w:szCs w:val="11"/>
                <w:color w:val="auto"/>
              </w:rPr>
            </w:pPr>
          </w:p>
        </w:tc>
        <w:tc>
          <w:tcPr>
            <w:tcW w:w="560" w:type="dxa"/>
            <w:vAlign w:val="bottom"/>
            <w:shd w:val="clear" w:color="auto" w:fill="005CB9"/>
          </w:tcPr>
          <w:p>
            <w:pPr>
              <w:spacing w:after="0"/>
              <w:rPr>
                <w:sz w:val="11"/>
                <w:szCs w:val="11"/>
                <w:color w:val="auto"/>
              </w:rPr>
            </w:pPr>
          </w:p>
        </w:tc>
        <w:tc>
          <w:tcPr>
            <w:tcW w:w="180" w:type="dxa"/>
            <w:vAlign w:val="bottom"/>
            <w:shd w:val="clear" w:color="auto" w:fill="005CB9"/>
          </w:tcPr>
          <w:p>
            <w:pPr>
              <w:spacing w:after="0"/>
              <w:rPr>
                <w:sz w:val="11"/>
                <w:szCs w:val="11"/>
                <w:color w:val="auto"/>
              </w:rPr>
            </w:pPr>
          </w:p>
        </w:tc>
        <w:tc>
          <w:tcPr>
            <w:tcW w:w="1520" w:type="dxa"/>
            <w:vAlign w:val="bottom"/>
            <w:gridSpan w:val="7"/>
            <w:shd w:val="clear" w:color="auto" w:fill="005CB9"/>
          </w:tcPr>
          <w:p>
            <w:pPr>
              <w:jc w:val="center"/>
              <w:ind w:right="160"/>
              <w:spacing w:after="0" w:line="129" w:lineRule="exact"/>
              <w:rPr>
                <w:sz w:val="20"/>
                <w:szCs w:val="20"/>
                <w:color w:val="auto"/>
              </w:rPr>
            </w:pPr>
            <w:r>
              <w:rPr>
                <w:rFonts w:ascii="Arial" w:cs="Arial" w:eastAsia="Arial" w:hAnsi="Arial"/>
                <w:sz w:val="12"/>
                <w:szCs w:val="12"/>
                <w:b w:val="1"/>
                <w:bCs w:val="1"/>
                <w:color w:val="FFFFFF"/>
              </w:rPr>
              <w:t>Equity Incentive</w:t>
            </w:r>
          </w:p>
        </w:tc>
        <w:tc>
          <w:tcPr>
            <w:tcW w:w="200" w:type="dxa"/>
            <w:vAlign w:val="bottom"/>
            <w:shd w:val="clear" w:color="auto" w:fill="005CB9"/>
          </w:tcPr>
          <w:p>
            <w:pPr>
              <w:spacing w:after="0"/>
              <w:rPr>
                <w:sz w:val="11"/>
                <w:szCs w:val="11"/>
                <w:color w:val="auto"/>
              </w:rPr>
            </w:pPr>
          </w:p>
        </w:tc>
        <w:tc>
          <w:tcPr>
            <w:tcW w:w="160" w:type="dxa"/>
            <w:vAlign w:val="bottom"/>
            <w:shd w:val="clear" w:color="auto" w:fill="005CB9"/>
          </w:tcPr>
          <w:p>
            <w:pPr>
              <w:spacing w:after="0"/>
              <w:rPr>
                <w:sz w:val="11"/>
                <w:szCs w:val="11"/>
                <w:color w:val="auto"/>
              </w:rPr>
            </w:pPr>
          </w:p>
        </w:tc>
        <w:tc>
          <w:tcPr>
            <w:tcW w:w="1520" w:type="dxa"/>
            <w:vAlign w:val="bottom"/>
            <w:gridSpan w:val="7"/>
            <w:vMerge w:val="restart"/>
            <w:shd w:val="clear" w:color="auto" w:fill="005CB9"/>
          </w:tcPr>
          <w:p>
            <w:pPr>
              <w:jc w:val="center"/>
              <w:ind w:right="160"/>
              <w:spacing w:after="0"/>
              <w:rPr>
                <w:sz w:val="20"/>
                <w:szCs w:val="20"/>
                <w:color w:val="auto"/>
              </w:rPr>
            </w:pPr>
            <w:r>
              <w:rPr>
                <w:rFonts w:ascii="Arial" w:cs="Arial" w:eastAsia="Arial" w:hAnsi="Arial"/>
                <w:sz w:val="12"/>
                <w:szCs w:val="12"/>
                <w:b w:val="1"/>
                <w:bCs w:val="1"/>
                <w:color w:val="FFFFFF"/>
              </w:rPr>
              <w:t>Other Stock Awards</w:t>
            </w:r>
          </w:p>
        </w:tc>
        <w:tc>
          <w:tcPr>
            <w:tcW w:w="0" w:type="dxa"/>
            <w:vAlign w:val="bottom"/>
          </w:tcPr>
          <w:p>
            <w:pPr>
              <w:spacing w:after="0"/>
              <w:rPr>
                <w:sz w:val="1"/>
                <w:szCs w:val="1"/>
                <w:color w:val="auto"/>
              </w:rPr>
            </w:pPr>
          </w:p>
        </w:tc>
      </w:tr>
      <w:tr>
        <w:trPr>
          <w:trHeight w:val="134"/>
        </w:trPr>
        <w:tc>
          <w:tcPr>
            <w:tcW w:w="234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 w:type="dxa"/>
            <w:vAlign w:val="bottom"/>
            <w:shd w:val="clear" w:color="auto" w:fill="005CB9"/>
          </w:tcPr>
          <w:p>
            <w:pPr>
              <w:spacing w:after="0"/>
              <w:rPr>
                <w:sz w:val="11"/>
                <w:szCs w:val="11"/>
                <w:color w:val="auto"/>
              </w:rPr>
            </w:pPr>
          </w:p>
        </w:tc>
        <w:tc>
          <w:tcPr>
            <w:tcW w:w="58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340" w:type="dxa"/>
            <w:vAlign w:val="bottom"/>
            <w:shd w:val="clear" w:color="auto" w:fill="005CB9"/>
          </w:tcPr>
          <w:p>
            <w:pPr>
              <w:spacing w:after="0"/>
              <w:rPr>
                <w:sz w:val="11"/>
                <w:szCs w:val="11"/>
                <w:color w:val="auto"/>
              </w:rPr>
            </w:pPr>
          </w:p>
        </w:tc>
        <w:tc>
          <w:tcPr>
            <w:tcW w:w="180" w:type="dxa"/>
            <w:vAlign w:val="bottom"/>
            <w:shd w:val="clear" w:color="auto" w:fill="005CB9"/>
          </w:tcPr>
          <w:p>
            <w:pPr>
              <w:spacing w:after="0"/>
              <w:rPr>
                <w:sz w:val="11"/>
                <w:szCs w:val="11"/>
                <w:color w:val="auto"/>
              </w:rPr>
            </w:pPr>
          </w:p>
        </w:tc>
        <w:tc>
          <w:tcPr>
            <w:tcW w:w="32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0" w:type="dxa"/>
            <w:vAlign w:val="bottom"/>
            <w:shd w:val="clear" w:color="auto" w:fill="005CB9"/>
          </w:tcPr>
          <w:p>
            <w:pPr>
              <w:spacing w:after="0"/>
              <w:rPr>
                <w:sz w:val="11"/>
                <w:szCs w:val="11"/>
                <w:color w:val="auto"/>
              </w:rPr>
            </w:pPr>
          </w:p>
        </w:tc>
        <w:tc>
          <w:tcPr>
            <w:tcW w:w="1480" w:type="dxa"/>
            <w:vAlign w:val="bottom"/>
            <w:gridSpan w:val="6"/>
            <w:vMerge w:val="restart"/>
            <w:shd w:val="clear" w:color="auto" w:fill="005CB9"/>
          </w:tcPr>
          <w:p>
            <w:pPr>
              <w:jc w:val="right"/>
              <w:ind w:right="580"/>
              <w:spacing w:after="0"/>
              <w:rPr>
                <w:sz w:val="20"/>
                <w:szCs w:val="20"/>
                <w:color w:val="auto"/>
              </w:rPr>
            </w:pPr>
            <w:r>
              <w:rPr>
                <w:rFonts w:ascii="Arial" w:cs="Arial" w:eastAsia="Arial" w:hAnsi="Arial"/>
                <w:sz w:val="12"/>
                <w:szCs w:val="12"/>
                <w:b w:val="1"/>
                <w:bCs w:val="1"/>
                <w:color w:val="FFFFFF"/>
              </w:rPr>
              <w:t>Option Awards</w:t>
            </w:r>
          </w:p>
        </w:tc>
        <w:tc>
          <w:tcPr>
            <w:tcW w:w="200" w:type="dxa"/>
            <w:vAlign w:val="bottom"/>
            <w:shd w:val="clear" w:color="auto" w:fill="005CB9"/>
          </w:tcPr>
          <w:p>
            <w:pPr>
              <w:spacing w:after="0"/>
              <w:rPr>
                <w:sz w:val="11"/>
                <w:szCs w:val="11"/>
                <w:color w:val="auto"/>
              </w:rPr>
            </w:pPr>
          </w:p>
        </w:tc>
        <w:tc>
          <w:tcPr>
            <w:tcW w:w="300" w:type="dxa"/>
            <w:vAlign w:val="bottom"/>
            <w:shd w:val="clear" w:color="auto" w:fill="005CB9"/>
          </w:tcPr>
          <w:p>
            <w:pPr>
              <w:spacing w:after="0"/>
              <w:rPr>
                <w:sz w:val="11"/>
                <w:szCs w:val="11"/>
                <w:color w:val="auto"/>
              </w:rPr>
            </w:pPr>
          </w:p>
        </w:tc>
        <w:tc>
          <w:tcPr>
            <w:tcW w:w="560" w:type="dxa"/>
            <w:vAlign w:val="bottom"/>
            <w:shd w:val="clear" w:color="auto" w:fill="005CB9"/>
          </w:tcPr>
          <w:p>
            <w:pPr>
              <w:spacing w:after="0"/>
              <w:rPr>
                <w:sz w:val="11"/>
                <w:szCs w:val="11"/>
                <w:color w:val="auto"/>
              </w:rPr>
            </w:pPr>
          </w:p>
        </w:tc>
        <w:tc>
          <w:tcPr>
            <w:tcW w:w="180" w:type="dxa"/>
            <w:vAlign w:val="bottom"/>
            <w:shd w:val="clear" w:color="auto" w:fill="005CB9"/>
          </w:tcPr>
          <w:p>
            <w:pPr>
              <w:spacing w:after="0"/>
              <w:rPr>
                <w:sz w:val="11"/>
                <w:szCs w:val="11"/>
                <w:color w:val="auto"/>
              </w:rPr>
            </w:pPr>
          </w:p>
        </w:tc>
        <w:tc>
          <w:tcPr>
            <w:tcW w:w="1520" w:type="dxa"/>
            <w:vAlign w:val="bottom"/>
            <w:gridSpan w:val="7"/>
            <w:shd w:val="clear" w:color="auto" w:fill="005CB9"/>
          </w:tcPr>
          <w:p>
            <w:pPr>
              <w:jc w:val="center"/>
              <w:ind w:right="180"/>
              <w:spacing w:after="0" w:line="134" w:lineRule="exact"/>
              <w:rPr>
                <w:sz w:val="20"/>
                <w:szCs w:val="20"/>
                <w:color w:val="auto"/>
              </w:rPr>
            </w:pPr>
            <w:r>
              <w:rPr>
                <w:rFonts w:ascii="Arial" w:cs="Arial" w:eastAsia="Arial" w:hAnsi="Arial"/>
                <w:sz w:val="12"/>
                <w:szCs w:val="12"/>
                <w:b w:val="1"/>
                <w:bCs w:val="1"/>
                <w:color w:val="FFFFFF"/>
              </w:rPr>
              <w:t>Plan Awards</w:t>
            </w:r>
          </w:p>
        </w:tc>
        <w:tc>
          <w:tcPr>
            <w:tcW w:w="200" w:type="dxa"/>
            <w:vAlign w:val="bottom"/>
            <w:shd w:val="clear" w:color="auto" w:fill="005CB9"/>
          </w:tcPr>
          <w:p>
            <w:pPr>
              <w:spacing w:after="0"/>
              <w:rPr>
                <w:sz w:val="11"/>
                <w:szCs w:val="11"/>
                <w:color w:val="auto"/>
              </w:rPr>
            </w:pPr>
          </w:p>
        </w:tc>
        <w:tc>
          <w:tcPr>
            <w:tcW w:w="160" w:type="dxa"/>
            <w:vAlign w:val="bottom"/>
            <w:shd w:val="clear" w:color="auto" w:fill="005CB9"/>
          </w:tcPr>
          <w:p>
            <w:pPr>
              <w:spacing w:after="0"/>
              <w:rPr>
                <w:sz w:val="11"/>
                <w:szCs w:val="11"/>
                <w:color w:val="auto"/>
              </w:rPr>
            </w:pPr>
          </w:p>
        </w:tc>
        <w:tc>
          <w:tcPr>
            <w:tcW w:w="1520" w:type="dxa"/>
            <w:vAlign w:val="bottom"/>
            <w:gridSpan w:val="7"/>
            <w:vMerge w:val="continue"/>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34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 w:type="dxa"/>
            <w:vAlign w:val="bottom"/>
            <w:shd w:val="clear" w:color="auto" w:fill="005CB9"/>
          </w:tcPr>
          <w:p>
            <w:pPr>
              <w:spacing w:after="0"/>
              <w:rPr>
                <w:sz w:val="11"/>
                <w:szCs w:val="11"/>
                <w:color w:val="auto"/>
              </w:rPr>
            </w:pPr>
          </w:p>
        </w:tc>
        <w:tc>
          <w:tcPr>
            <w:tcW w:w="58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340" w:type="dxa"/>
            <w:vAlign w:val="bottom"/>
            <w:shd w:val="clear" w:color="auto" w:fill="005CB9"/>
          </w:tcPr>
          <w:p>
            <w:pPr>
              <w:spacing w:after="0"/>
              <w:rPr>
                <w:sz w:val="11"/>
                <w:szCs w:val="11"/>
                <w:color w:val="auto"/>
              </w:rPr>
            </w:pPr>
          </w:p>
        </w:tc>
        <w:tc>
          <w:tcPr>
            <w:tcW w:w="180" w:type="dxa"/>
            <w:vAlign w:val="bottom"/>
            <w:shd w:val="clear" w:color="auto" w:fill="005CB9"/>
          </w:tcPr>
          <w:p>
            <w:pPr>
              <w:spacing w:after="0"/>
              <w:rPr>
                <w:sz w:val="11"/>
                <w:szCs w:val="11"/>
                <w:color w:val="auto"/>
              </w:rPr>
            </w:pPr>
          </w:p>
        </w:tc>
        <w:tc>
          <w:tcPr>
            <w:tcW w:w="32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0" w:type="dxa"/>
            <w:vAlign w:val="bottom"/>
            <w:shd w:val="clear" w:color="auto" w:fill="005CB9"/>
          </w:tcPr>
          <w:p>
            <w:pPr>
              <w:spacing w:after="0"/>
              <w:rPr>
                <w:sz w:val="11"/>
                <w:szCs w:val="11"/>
                <w:color w:val="auto"/>
              </w:rPr>
            </w:pPr>
          </w:p>
        </w:tc>
        <w:tc>
          <w:tcPr>
            <w:tcW w:w="1480" w:type="dxa"/>
            <w:vAlign w:val="bottom"/>
            <w:gridSpan w:val="6"/>
            <w:vMerge w:val="continue"/>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300" w:type="dxa"/>
            <w:vAlign w:val="bottom"/>
            <w:shd w:val="clear" w:color="auto" w:fill="005CB9"/>
          </w:tcPr>
          <w:p>
            <w:pPr>
              <w:spacing w:after="0"/>
              <w:rPr>
                <w:sz w:val="11"/>
                <w:szCs w:val="11"/>
                <w:color w:val="auto"/>
              </w:rPr>
            </w:pPr>
          </w:p>
        </w:tc>
        <w:tc>
          <w:tcPr>
            <w:tcW w:w="560" w:type="dxa"/>
            <w:vAlign w:val="bottom"/>
            <w:shd w:val="clear" w:color="auto" w:fill="005CB9"/>
          </w:tcPr>
          <w:p>
            <w:pPr>
              <w:spacing w:after="0"/>
              <w:rPr>
                <w:sz w:val="11"/>
                <w:szCs w:val="11"/>
                <w:color w:val="auto"/>
              </w:rPr>
            </w:pPr>
          </w:p>
        </w:tc>
        <w:tc>
          <w:tcPr>
            <w:tcW w:w="180" w:type="dxa"/>
            <w:vAlign w:val="bottom"/>
            <w:shd w:val="clear" w:color="auto" w:fill="005CB9"/>
          </w:tcPr>
          <w:p>
            <w:pPr>
              <w:spacing w:after="0"/>
              <w:rPr>
                <w:sz w:val="11"/>
                <w:szCs w:val="11"/>
                <w:color w:val="auto"/>
              </w:rPr>
            </w:pPr>
          </w:p>
        </w:tc>
        <w:tc>
          <w:tcPr>
            <w:tcW w:w="1520" w:type="dxa"/>
            <w:vAlign w:val="bottom"/>
            <w:gridSpan w:val="7"/>
            <w:shd w:val="clear" w:color="auto" w:fill="005CB9"/>
          </w:tcPr>
          <w:p>
            <w:pPr>
              <w:jc w:val="center"/>
              <w:ind w:right="180"/>
              <w:spacing w:after="0" w:line="134" w:lineRule="exact"/>
              <w:rPr>
                <w:sz w:val="20"/>
                <w:szCs w:val="20"/>
                <w:color w:val="auto"/>
              </w:rPr>
            </w:pPr>
            <w:r>
              <w:rPr>
                <w:rFonts w:ascii="Arial" w:cs="Arial" w:eastAsia="Arial" w:hAnsi="Arial"/>
                <w:sz w:val="12"/>
                <w:szCs w:val="12"/>
                <w:b w:val="1"/>
                <w:bCs w:val="1"/>
                <w:color w:val="FFFFFF"/>
              </w:rPr>
              <w:t>(Performance-Based</w:t>
            </w:r>
          </w:p>
        </w:tc>
        <w:tc>
          <w:tcPr>
            <w:tcW w:w="200" w:type="dxa"/>
            <w:vAlign w:val="bottom"/>
            <w:shd w:val="clear" w:color="auto" w:fill="005CB9"/>
          </w:tcPr>
          <w:p>
            <w:pPr>
              <w:spacing w:after="0"/>
              <w:rPr>
                <w:sz w:val="11"/>
                <w:szCs w:val="11"/>
                <w:color w:val="auto"/>
              </w:rPr>
            </w:pPr>
          </w:p>
        </w:tc>
        <w:tc>
          <w:tcPr>
            <w:tcW w:w="160" w:type="dxa"/>
            <w:vAlign w:val="bottom"/>
            <w:shd w:val="clear" w:color="auto" w:fill="005CB9"/>
          </w:tcPr>
          <w:p>
            <w:pPr>
              <w:spacing w:after="0"/>
              <w:rPr>
                <w:sz w:val="11"/>
                <w:szCs w:val="11"/>
                <w:color w:val="auto"/>
              </w:rPr>
            </w:pPr>
          </w:p>
        </w:tc>
        <w:tc>
          <w:tcPr>
            <w:tcW w:w="1520" w:type="dxa"/>
            <w:vAlign w:val="bottom"/>
            <w:gridSpan w:val="7"/>
            <w:shd w:val="clear" w:color="auto" w:fill="005CB9"/>
          </w:tcPr>
          <w:p>
            <w:pPr>
              <w:jc w:val="center"/>
              <w:ind w:right="180"/>
              <w:spacing w:after="0" w:line="134" w:lineRule="exact"/>
              <w:rPr>
                <w:sz w:val="20"/>
                <w:szCs w:val="20"/>
                <w:color w:val="auto"/>
              </w:rPr>
            </w:pPr>
            <w:r>
              <w:rPr>
                <w:rFonts w:ascii="Arial" w:cs="Arial" w:eastAsia="Arial" w:hAnsi="Arial"/>
                <w:sz w:val="12"/>
                <w:szCs w:val="12"/>
                <w:b w:val="1"/>
                <w:bCs w:val="1"/>
                <w:color w:val="FFFFFF"/>
              </w:rPr>
              <w:t>(Service-Based</w:t>
            </w:r>
          </w:p>
        </w:tc>
        <w:tc>
          <w:tcPr>
            <w:tcW w:w="0" w:type="dxa"/>
            <w:vAlign w:val="bottom"/>
          </w:tcPr>
          <w:p>
            <w:pPr>
              <w:spacing w:after="0"/>
              <w:rPr>
                <w:sz w:val="1"/>
                <w:szCs w:val="1"/>
                <w:color w:val="auto"/>
              </w:rPr>
            </w:pPr>
          </w:p>
        </w:tc>
      </w:tr>
      <w:tr>
        <w:trPr>
          <w:trHeight w:val="152"/>
        </w:trPr>
        <w:tc>
          <w:tcPr>
            <w:tcW w:w="234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40" w:type="dxa"/>
            <w:vAlign w:val="bottom"/>
            <w:shd w:val="clear" w:color="auto" w:fill="005CB9"/>
          </w:tcPr>
          <w:p>
            <w:pPr>
              <w:spacing w:after="0"/>
              <w:rPr>
                <w:sz w:val="13"/>
                <w:szCs w:val="13"/>
                <w:color w:val="auto"/>
              </w:rPr>
            </w:pPr>
          </w:p>
        </w:tc>
        <w:tc>
          <w:tcPr>
            <w:tcW w:w="58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340" w:type="dxa"/>
            <w:vAlign w:val="bottom"/>
            <w:shd w:val="clear" w:color="auto" w:fill="005CB9"/>
          </w:tcPr>
          <w:p>
            <w:pPr>
              <w:spacing w:after="0"/>
              <w:rPr>
                <w:sz w:val="13"/>
                <w:szCs w:val="13"/>
                <w:color w:val="auto"/>
              </w:rPr>
            </w:pPr>
          </w:p>
        </w:tc>
        <w:tc>
          <w:tcPr>
            <w:tcW w:w="180" w:type="dxa"/>
            <w:vAlign w:val="bottom"/>
            <w:shd w:val="clear" w:color="auto" w:fill="005CB9"/>
          </w:tcPr>
          <w:p>
            <w:pPr>
              <w:spacing w:after="0"/>
              <w:rPr>
                <w:sz w:val="13"/>
                <w:szCs w:val="13"/>
                <w:color w:val="auto"/>
              </w:rPr>
            </w:pPr>
          </w:p>
        </w:tc>
        <w:tc>
          <w:tcPr>
            <w:tcW w:w="32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1880" w:type="dxa"/>
            <w:vAlign w:val="bottom"/>
            <w:gridSpan w:val="7"/>
            <w:shd w:val="clear" w:color="auto" w:fill="005CB9"/>
          </w:tcPr>
          <w:p>
            <w:pPr>
              <w:jc w:val="right"/>
              <w:ind w:right="500"/>
              <w:spacing w:after="0" w:line="152" w:lineRule="exact"/>
              <w:rPr>
                <w:sz w:val="20"/>
                <w:szCs w:val="20"/>
                <w:color w:val="auto"/>
              </w:rPr>
            </w:pPr>
            <w:r>
              <w:rPr>
                <w:rFonts w:ascii="Arial" w:cs="Arial" w:eastAsia="Arial" w:hAnsi="Arial"/>
                <w:sz w:val="12"/>
                <w:szCs w:val="12"/>
                <w:b w:val="1"/>
                <w:bCs w:val="1"/>
                <w:color w:val="FFFFFF"/>
              </w:rPr>
              <w:t>(Stock Options)</w:t>
            </w:r>
            <w:r>
              <w:rPr>
                <w:rFonts w:ascii="Arial" w:cs="Arial" w:eastAsia="Arial" w:hAnsi="Arial"/>
                <w:sz w:val="17"/>
                <w:szCs w:val="17"/>
                <w:b w:val="1"/>
                <w:bCs w:val="1"/>
                <w:color w:val="FFFFFF"/>
                <w:vertAlign w:val="superscript"/>
              </w:rPr>
              <w:t>(A)</w:t>
            </w:r>
          </w:p>
        </w:tc>
        <w:tc>
          <w:tcPr>
            <w:tcW w:w="20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560" w:type="dxa"/>
            <w:vAlign w:val="bottom"/>
            <w:shd w:val="clear" w:color="auto" w:fill="005CB9"/>
          </w:tcPr>
          <w:p>
            <w:pPr>
              <w:spacing w:after="0"/>
              <w:rPr>
                <w:sz w:val="13"/>
                <w:szCs w:val="13"/>
                <w:color w:val="auto"/>
              </w:rPr>
            </w:pPr>
          </w:p>
        </w:tc>
        <w:tc>
          <w:tcPr>
            <w:tcW w:w="1700" w:type="dxa"/>
            <w:vAlign w:val="bottom"/>
            <w:gridSpan w:val="8"/>
            <w:shd w:val="clear" w:color="auto" w:fill="005CB9"/>
          </w:tcPr>
          <w:p>
            <w:pPr>
              <w:jc w:val="center"/>
              <w:spacing w:after="0" w:line="152" w:lineRule="exact"/>
              <w:rPr>
                <w:sz w:val="20"/>
                <w:szCs w:val="20"/>
                <w:color w:val="auto"/>
              </w:rPr>
            </w:pPr>
            <w:r>
              <w:rPr>
                <w:rFonts w:ascii="Arial" w:cs="Arial" w:eastAsia="Arial" w:hAnsi="Arial"/>
                <w:sz w:val="12"/>
                <w:szCs w:val="12"/>
                <w:b w:val="1"/>
                <w:bCs w:val="1"/>
                <w:color w:val="FFFFFF"/>
              </w:rPr>
              <w:t>Restricted Stock Units)</w:t>
            </w:r>
            <w:r>
              <w:rPr>
                <w:rFonts w:ascii="Arial" w:cs="Arial" w:eastAsia="Arial" w:hAnsi="Arial"/>
                <w:sz w:val="17"/>
                <w:szCs w:val="17"/>
                <w:b w:val="1"/>
                <w:bCs w:val="1"/>
                <w:color w:val="FFFFFF"/>
                <w:vertAlign w:val="superscript"/>
              </w:rPr>
              <w:t>(B)</w:t>
            </w:r>
          </w:p>
        </w:tc>
        <w:tc>
          <w:tcPr>
            <w:tcW w:w="200" w:type="dxa"/>
            <w:vAlign w:val="bottom"/>
            <w:shd w:val="clear" w:color="auto" w:fill="005CB9"/>
          </w:tcPr>
          <w:p>
            <w:pPr>
              <w:spacing w:after="0"/>
              <w:rPr>
                <w:sz w:val="13"/>
                <w:szCs w:val="13"/>
                <w:color w:val="auto"/>
              </w:rPr>
            </w:pPr>
          </w:p>
        </w:tc>
        <w:tc>
          <w:tcPr>
            <w:tcW w:w="1680" w:type="dxa"/>
            <w:vAlign w:val="bottom"/>
            <w:gridSpan w:val="8"/>
            <w:shd w:val="clear" w:color="auto" w:fill="005CB9"/>
          </w:tcPr>
          <w:p>
            <w:pPr>
              <w:jc w:val="center"/>
              <w:ind w:right="20"/>
              <w:spacing w:after="0" w:line="152" w:lineRule="exact"/>
              <w:rPr>
                <w:sz w:val="20"/>
                <w:szCs w:val="20"/>
                <w:color w:val="auto"/>
              </w:rPr>
            </w:pPr>
            <w:r>
              <w:rPr>
                <w:rFonts w:ascii="Arial" w:cs="Arial" w:eastAsia="Arial" w:hAnsi="Arial"/>
                <w:sz w:val="12"/>
                <w:szCs w:val="12"/>
                <w:b w:val="1"/>
                <w:bCs w:val="1"/>
                <w:color w:val="FFFFFF"/>
              </w:rPr>
              <w:t>Restricted Stock Units)</w:t>
            </w:r>
            <w:r>
              <w:rPr>
                <w:rFonts w:ascii="Arial" w:cs="Arial" w:eastAsia="Arial" w:hAnsi="Arial"/>
                <w:sz w:val="17"/>
                <w:szCs w:val="17"/>
                <w:b w:val="1"/>
                <w:bCs w:val="1"/>
                <w:color w:val="FFFFFF"/>
                <w:vertAlign w:val="superscript"/>
              </w:rPr>
              <w:t>(C)</w:t>
            </w:r>
          </w:p>
        </w:tc>
        <w:tc>
          <w:tcPr>
            <w:tcW w:w="0" w:type="dxa"/>
            <w:vAlign w:val="bottom"/>
          </w:tcPr>
          <w:p>
            <w:pPr>
              <w:spacing w:after="0"/>
              <w:rPr>
                <w:sz w:val="1"/>
                <w:szCs w:val="1"/>
                <w:color w:val="auto"/>
              </w:rPr>
            </w:pPr>
          </w:p>
        </w:tc>
      </w:tr>
      <w:tr>
        <w:trPr>
          <w:trHeight w:val="160"/>
        </w:trPr>
        <w:tc>
          <w:tcPr>
            <w:tcW w:w="234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40" w:type="dxa"/>
            <w:vAlign w:val="bottom"/>
            <w:shd w:val="clear" w:color="auto" w:fill="005CB9"/>
          </w:tcPr>
          <w:p>
            <w:pPr>
              <w:spacing w:after="0"/>
              <w:rPr>
                <w:sz w:val="13"/>
                <w:szCs w:val="13"/>
                <w:color w:val="auto"/>
              </w:rPr>
            </w:pPr>
          </w:p>
        </w:tc>
        <w:tc>
          <w:tcPr>
            <w:tcW w:w="58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340" w:type="dxa"/>
            <w:vAlign w:val="bottom"/>
            <w:shd w:val="clear" w:color="auto" w:fill="005CB9"/>
          </w:tcPr>
          <w:p>
            <w:pPr>
              <w:spacing w:after="0"/>
              <w:rPr>
                <w:sz w:val="13"/>
                <w:szCs w:val="13"/>
                <w:color w:val="auto"/>
              </w:rPr>
            </w:pPr>
          </w:p>
        </w:tc>
        <w:tc>
          <w:tcPr>
            <w:tcW w:w="1680" w:type="dxa"/>
            <w:vAlign w:val="bottom"/>
            <w:gridSpan w:val="6"/>
            <w:shd w:val="clear" w:color="auto" w:fill="005CB9"/>
          </w:tcPr>
          <w:p>
            <w:pPr>
              <w:jc w:val="center"/>
              <w:ind w:right="320"/>
              <w:spacing w:after="0"/>
              <w:rPr>
                <w:sz w:val="20"/>
                <w:szCs w:val="20"/>
                <w:color w:val="auto"/>
              </w:rPr>
            </w:pPr>
            <w:r>
              <w:rPr>
                <w:rFonts w:ascii="Arial" w:cs="Arial" w:eastAsia="Arial" w:hAnsi="Arial"/>
                <w:sz w:val="12"/>
                <w:szCs w:val="12"/>
                <w:b w:val="1"/>
                <w:bCs w:val="1"/>
                <w:color w:val="FFFFFF"/>
              </w:rPr>
              <w:t>Number of Shares</w:t>
            </w:r>
          </w:p>
        </w:tc>
        <w:tc>
          <w:tcPr>
            <w:tcW w:w="200" w:type="dxa"/>
            <w:vAlign w:val="bottom"/>
            <w:shd w:val="clear" w:color="auto" w:fill="005CB9"/>
          </w:tcPr>
          <w:p>
            <w:pPr>
              <w:spacing w:after="0"/>
              <w:rPr>
                <w:sz w:val="13"/>
                <w:szCs w:val="13"/>
                <w:color w:val="auto"/>
              </w:rPr>
            </w:pPr>
          </w:p>
        </w:tc>
        <w:tc>
          <w:tcPr>
            <w:tcW w:w="240" w:type="dxa"/>
            <w:vAlign w:val="bottom"/>
            <w:shd w:val="clear" w:color="auto" w:fill="005CB9"/>
          </w:tcPr>
          <w:p>
            <w:pPr>
              <w:spacing w:after="0"/>
              <w:rPr>
                <w:sz w:val="13"/>
                <w:szCs w:val="13"/>
                <w:color w:val="auto"/>
              </w:rPr>
            </w:pPr>
          </w:p>
        </w:tc>
        <w:tc>
          <w:tcPr>
            <w:tcW w:w="220" w:type="dxa"/>
            <w:vAlign w:val="bottom"/>
            <w:shd w:val="clear" w:color="auto" w:fill="005CB9"/>
          </w:tcPr>
          <w:p>
            <w:pPr>
              <w:spacing w:after="0"/>
              <w:rPr>
                <w:sz w:val="13"/>
                <w:szCs w:val="13"/>
                <w:color w:val="auto"/>
              </w:rPr>
            </w:pPr>
          </w:p>
        </w:tc>
        <w:tc>
          <w:tcPr>
            <w:tcW w:w="240" w:type="dxa"/>
            <w:vAlign w:val="bottom"/>
            <w:shd w:val="clear" w:color="auto" w:fill="005CB9"/>
          </w:tcPr>
          <w:p>
            <w:pPr>
              <w:spacing w:after="0"/>
              <w:rPr>
                <w:sz w:val="13"/>
                <w:szCs w:val="13"/>
                <w:color w:val="auto"/>
              </w:rPr>
            </w:pPr>
          </w:p>
        </w:tc>
        <w:tc>
          <w:tcPr>
            <w:tcW w:w="200" w:type="dxa"/>
            <w:vAlign w:val="bottom"/>
            <w:shd w:val="clear" w:color="auto" w:fill="005CB9"/>
          </w:tcPr>
          <w:p>
            <w:pPr>
              <w:spacing w:after="0"/>
              <w:rPr>
                <w:sz w:val="13"/>
                <w:szCs w:val="13"/>
                <w:color w:val="auto"/>
              </w:rPr>
            </w:pPr>
          </w:p>
        </w:tc>
        <w:tc>
          <w:tcPr>
            <w:tcW w:w="300" w:type="dxa"/>
            <w:vAlign w:val="bottom"/>
            <w:shd w:val="clear" w:color="auto" w:fill="005CB9"/>
          </w:tcPr>
          <w:p>
            <w:pPr>
              <w:spacing w:after="0"/>
              <w:rPr>
                <w:sz w:val="13"/>
                <w:szCs w:val="13"/>
                <w:color w:val="auto"/>
              </w:rPr>
            </w:pPr>
          </w:p>
        </w:tc>
        <w:tc>
          <w:tcPr>
            <w:tcW w:w="560" w:type="dxa"/>
            <w:vAlign w:val="bottom"/>
            <w:shd w:val="clear" w:color="auto" w:fill="005CB9"/>
          </w:tcPr>
          <w:p>
            <w:pPr>
              <w:spacing w:after="0"/>
              <w:rPr>
                <w:sz w:val="13"/>
                <w:szCs w:val="13"/>
                <w:color w:val="auto"/>
              </w:rPr>
            </w:pPr>
          </w:p>
        </w:tc>
        <w:tc>
          <w:tcPr>
            <w:tcW w:w="640" w:type="dxa"/>
            <w:vAlign w:val="bottom"/>
            <w:gridSpan w:val="3"/>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Number of</w:t>
            </w:r>
          </w:p>
        </w:tc>
        <w:tc>
          <w:tcPr>
            <w:tcW w:w="200" w:type="dxa"/>
            <w:vAlign w:val="bottom"/>
            <w:shd w:val="clear" w:color="auto" w:fill="005CB9"/>
          </w:tcPr>
          <w:p>
            <w:pPr>
              <w:spacing w:after="0"/>
              <w:rPr>
                <w:sz w:val="13"/>
                <w:szCs w:val="13"/>
                <w:color w:val="auto"/>
              </w:rPr>
            </w:pPr>
          </w:p>
        </w:tc>
        <w:tc>
          <w:tcPr>
            <w:tcW w:w="40" w:type="dxa"/>
            <w:vAlign w:val="bottom"/>
            <w:shd w:val="clear" w:color="auto" w:fill="005CB9"/>
          </w:tcPr>
          <w:p>
            <w:pPr>
              <w:spacing w:after="0"/>
              <w:rPr>
                <w:sz w:val="13"/>
                <w:szCs w:val="13"/>
                <w:color w:val="auto"/>
              </w:rPr>
            </w:pPr>
          </w:p>
        </w:tc>
        <w:tc>
          <w:tcPr>
            <w:tcW w:w="80" w:type="dxa"/>
            <w:vAlign w:val="bottom"/>
            <w:shd w:val="clear" w:color="auto" w:fill="005CB9"/>
          </w:tcPr>
          <w:p>
            <w:pPr>
              <w:spacing w:after="0"/>
              <w:rPr>
                <w:sz w:val="13"/>
                <w:szCs w:val="13"/>
                <w:color w:val="auto"/>
              </w:rPr>
            </w:pPr>
          </w:p>
        </w:tc>
        <w:tc>
          <w:tcPr>
            <w:tcW w:w="740" w:type="dxa"/>
            <w:vAlign w:val="bottom"/>
            <w:gridSpan w:val="2"/>
            <w:shd w:val="clear" w:color="auto" w:fill="005CB9"/>
          </w:tcPr>
          <w:p>
            <w:pPr>
              <w:jc w:val="center"/>
              <w:ind w:right="140"/>
              <w:spacing w:after="0"/>
              <w:rPr>
                <w:sz w:val="20"/>
                <w:szCs w:val="20"/>
                <w:color w:val="auto"/>
              </w:rPr>
            </w:pPr>
            <w:r>
              <w:rPr>
                <w:rFonts w:ascii="Arial" w:cs="Arial" w:eastAsia="Arial" w:hAnsi="Arial"/>
                <w:sz w:val="12"/>
                <w:szCs w:val="12"/>
                <w:b w:val="1"/>
                <w:bCs w:val="1"/>
                <w:color w:val="FFFFFF"/>
              </w:rPr>
              <w:t>Market</w:t>
            </w:r>
          </w:p>
        </w:tc>
        <w:tc>
          <w:tcPr>
            <w:tcW w:w="200" w:type="dxa"/>
            <w:vAlign w:val="bottom"/>
            <w:shd w:val="clear" w:color="auto" w:fill="005CB9"/>
          </w:tcPr>
          <w:p>
            <w:pPr>
              <w:spacing w:after="0"/>
              <w:rPr>
                <w:sz w:val="13"/>
                <w:szCs w:val="13"/>
                <w:color w:val="auto"/>
              </w:rPr>
            </w:pPr>
          </w:p>
        </w:tc>
        <w:tc>
          <w:tcPr>
            <w:tcW w:w="620" w:type="dxa"/>
            <w:vAlign w:val="bottom"/>
            <w:gridSpan w:val="3"/>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Number of</w:t>
            </w:r>
          </w:p>
        </w:tc>
        <w:tc>
          <w:tcPr>
            <w:tcW w:w="200" w:type="dxa"/>
            <w:vAlign w:val="bottom"/>
            <w:shd w:val="clear" w:color="auto" w:fill="005CB9"/>
          </w:tcPr>
          <w:p>
            <w:pPr>
              <w:spacing w:after="0"/>
              <w:rPr>
                <w:sz w:val="13"/>
                <w:szCs w:val="13"/>
                <w:color w:val="auto"/>
              </w:rPr>
            </w:pPr>
          </w:p>
        </w:tc>
        <w:tc>
          <w:tcPr>
            <w:tcW w:w="40" w:type="dxa"/>
            <w:vAlign w:val="bottom"/>
            <w:shd w:val="clear" w:color="auto" w:fill="005CB9"/>
          </w:tcPr>
          <w:p>
            <w:pPr>
              <w:spacing w:after="0"/>
              <w:rPr>
                <w:sz w:val="13"/>
                <w:szCs w:val="13"/>
                <w:color w:val="auto"/>
              </w:rPr>
            </w:pPr>
          </w:p>
        </w:tc>
        <w:tc>
          <w:tcPr>
            <w:tcW w:w="80" w:type="dxa"/>
            <w:vAlign w:val="bottom"/>
            <w:shd w:val="clear" w:color="auto" w:fill="005CB9"/>
          </w:tcPr>
          <w:p>
            <w:pPr>
              <w:spacing w:after="0"/>
              <w:rPr>
                <w:sz w:val="13"/>
                <w:szCs w:val="13"/>
                <w:color w:val="auto"/>
              </w:rPr>
            </w:pPr>
          </w:p>
        </w:tc>
        <w:tc>
          <w:tcPr>
            <w:tcW w:w="740" w:type="dxa"/>
            <w:vAlign w:val="bottom"/>
            <w:gridSpan w:val="2"/>
            <w:shd w:val="clear" w:color="auto" w:fill="005CB9"/>
          </w:tcPr>
          <w:p>
            <w:pPr>
              <w:ind w:left="120"/>
              <w:spacing w:after="0"/>
              <w:rPr>
                <w:sz w:val="20"/>
                <w:szCs w:val="20"/>
                <w:color w:val="auto"/>
              </w:rPr>
            </w:pPr>
            <w:r>
              <w:rPr>
                <w:rFonts w:ascii="Arial" w:cs="Arial" w:eastAsia="Arial" w:hAnsi="Arial"/>
                <w:sz w:val="12"/>
                <w:szCs w:val="12"/>
                <w:b w:val="1"/>
                <w:bCs w:val="1"/>
                <w:color w:val="FFFFFF"/>
              </w:rPr>
              <w:t>Market</w:t>
            </w:r>
          </w:p>
        </w:tc>
        <w:tc>
          <w:tcPr>
            <w:tcW w:w="0" w:type="dxa"/>
            <w:vAlign w:val="bottom"/>
          </w:tcPr>
          <w:p>
            <w:pPr>
              <w:spacing w:after="0"/>
              <w:rPr>
                <w:sz w:val="1"/>
                <w:szCs w:val="1"/>
                <w:color w:val="auto"/>
              </w:rPr>
            </w:pPr>
          </w:p>
        </w:tc>
      </w:tr>
      <w:tr>
        <w:trPr>
          <w:trHeight w:val="134"/>
        </w:trPr>
        <w:tc>
          <w:tcPr>
            <w:tcW w:w="234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 w:type="dxa"/>
            <w:vAlign w:val="bottom"/>
            <w:shd w:val="clear" w:color="auto" w:fill="005CB9"/>
          </w:tcPr>
          <w:p>
            <w:pPr>
              <w:spacing w:after="0"/>
              <w:rPr>
                <w:sz w:val="11"/>
                <w:szCs w:val="11"/>
                <w:color w:val="auto"/>
              </w:rPr>
            </w:pPr>
          </w:p>
        </w:tc>
        <w:tc>
          <w:tcPr>
            <w:tcW w:w="58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340" w:type="dxa"/>
            <w:vAlign w:val="bottom"/>
            <w:shd w:val="clear" w:color="auto" w:fill="005CB9"/>
          </w:tcPr>
          <w:p>
            <w:pPr>
              <w:spacing w:after="0"/>
              <w:rPr>
                <w:sz w:val="11"/>
                <w:szCs w:val="11"/>
                <w:color w:val="auto"/>
              </w:rPr>
            </w:pPr>
          </w:p>
        </w:tc>
        <w:tc>
          <w:tcPr>
            <w:tcW w:w="180" w:type="dxa"/>
            <w:vAlign w:val="bottom"/>
            <w:shd w:val="clear" w:color="auto" w:fill="005CB9"/>
          </w:tcPr>
          <w:p>
            <w:pPr>
              <w:spacing w:after="0"/>
              <w:rPr>
                <w:sz w:val="11"/>
                <w:szCs w:val="11"/>
                <w:color w:val="auto"/>
              </w:rPr>
            </w:pPr>
          </w:p>
        </w:tc>
        <w:tc>
          <w:tcPr>
            <w:tcW w:w="1500" w:type="dxa"/>
            <w:vAlign w:val="bottom"/>
            <w:gridSpan w:val="5"/>
            <w:shd w:val="clear" w:color="auto" w:fill="005CB9"/>
          </w:tcPr>
          <w:p>
            <w:pPr>
              <w:jc w:val="center"/>
              <w:ind w:right="520"/>
              <w:spacing w:after="0" w:line="134" w:lineRule="exact"/>
              <w:rPr>
                <w:sz w:val="20"/>
                <w:szCs w:val="20"/>
                <w:color w:val="auto"/>
              </w:rPr>
            </w:pPr>
            <w:r>
              <w:rPr>
                <w:rFonts w:ascii="Arial" w:cs="Arial" w:eastAsia="Arial" w:hAnsi="Arial"/>
                <w:sz w:val="12"/>
                <w:szCs w:val="12"/>
                <w:b w:val="1"/>
                <w:bCs w:val="1"/>
                <w:color w:val="FFFFFF"/>
              </w:rPr>
              <w:t>Underlying</w:t>
            </w:r>
          </w:p>
        </w:tc>
        <w:tc>
          <w:tcPr>
            <w:tcW w:w="200" w:type="dxa"/>
            <w:vAlign w:val="bottom"/>
            <w:shd w:val="clear" w:color="auto" w:fill="005CB9"/>
          </w:tcPr>
          <w:p>
            <w:pPr>
              <w:spacing w:after="0"/>
              <w:rPr>
                <w:sz w:val="11"/>
                <w:szCs w:val="11"/>
                <w:color w:val="auto"/>
              </w:rPr>
            </w:pPr>
          </w:p>
        </w:tc>
        <w:tc>
          <w:tcPr>
            <w:tcW w:w="240" w:type="dxa"/>
            <w:vAlign w:val="bottom"/>
            <w:shd w:val="clear" w:color="auto" w:fill="005CB9"/>
          </w:tcPr>
          <w:p>
            <w:pPr>
              <w:spacing w:after="0"/>
              <w:rPr>
                <w:sz w:val="11"/>
                <w:szCs w:val="11"/>
                <w:color w:val="auto"/>
              </w:rPr>
            </w:pPr>
          </w:p>
        </w:tc>
        <w:tc>
          <w:tcPr>
            <w:tcW w:w="220" w:type="dxa"/>
            <w:vAlign w:val="bottom"/>
            <w:shd w:val="clear" w:color="auto" w:fill="005CB9"/>
          </w:tcPr>
          <w:p>
            <w:pPr>
              <w:spacing w:after="0"/>
              <w:rPr>
                <w:sz w:val="11"/>
                <w:szCs w:val="11"/>
                <w:color w:val="auto"/>
              </w:rPr>
            </w:pPr>
          </w:p>
        </w:tc>
        <w:tc>
          <w:tcPr>
            <w:tcW w:w="24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300" w:type="dxa"/>
            <w:vAlign w:val="bottom"/>
            <w:shd w:val="clear" w:color="auto" w:fill="005CB9"/>
          </w:tcPr>
          <w:p>
            <w:pPr>
              <w:spacing w:after="0"/>
              <w:rPr>
                <w:sz w:val="11"/>
                <w:szCs w:val="11"/>
                <w:color w:val="auto"/>
              </w:rPr>
            </w:pPr>
          </w:p>
        </w:tc>
        <w:tc>
          <w:tcPr>
            <w:tcW w:w="560" w:type="dxa"/>
            <w:vAlign w:val="bottom"/>
            <w:shd w:val="clear" w:color="auto" w:fill="005CB9"/>
          </w:tcPr>
          <w:p>
            <w:pPr>
              <w:spacing w:after="0"/>
              <w:rPr>
                <w:sz w:val="11"/>
                <w:szCs w:val="11"/>
                <w:color w:val="auto"/>
              </w:rPr>
            </w:pPr>
          </w:p>
        </w:tc>
        <w:tc>
          <w:tcPr>
            <w:tcW w:w="640" w:type="dxa"/>
            <w:vAlign w:val="bottom"/>
            <w:gridSpan w:val="3"/>
            <w:vMerge w:val="continue"/>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 w:type="dxa"/>
            <w:vAlign w:val="bottom"/>
            <w:shd w:val="clear" w:color="auto" w:fill="005CB9"/>
          </w:tcPr>
          <w:p>
            <w:pPr>
              <w:spacing w:after="0"/>
              <w:rPr>
                <w:sz w:val="11"/>
                <w:szCs w:val="11"/>
                <w:color w:val="auto"/>
              </w:rPr>
            </w:pPr>
          </w:p>
        </w:tc>
        <w:tc>
          <w:tcPr>
            <w:tcW w:w="80" w:type="dxa"/>
            <w:vAlign w:val="bottom"/>
            <w:shd w:val="clear" w:color="auto" w:fill="005CB9"/>
          </w:tcPr>
          <w:p>
            <w:pPr>
              <w:spacing w:after="0"/>
              <w:rPr>
                <w:sz w:val="11"/>
                <w:szCs w:val="11"/>
                <w:color w:val="auto"/>
              </w:rPr>
            </w:pPr>
          </w:p>
        </w:tc>
        <w:tc>
          <w:tcPr>
            <w:tcW w:w="740" w:type="dxa"/>
            <w:vAlign w:val="bottom"/>
            <w:gridSpan w:val="2"/>
            <w:shd w:val="clear" w:color="auto" w:fill="005CB9"/>
          </w:tcPr>
          <w:p>
            <w:pPr>
              <w:jc w:val="center"/>
              <w:ind w:right="140"/>
              <w:spacing w:after="0" w:line="134" w:lineRule="exact"/>
              <w:rPr>
                <w:sz w:val="20"/>
                <w:szCs w:val="20"/>
                <w:color w:val="auto"/>
              </w:rPr>
            </w:pPr>
            <w:r>
              <w:rPr>
                <w:rFonts w:ascii="Arial" w:cs="Arial" w:eastAsia="Arial" w:hAnsi="Arial"/>
                <w:sz w:val="12"/>
                <w:szCs w:val="12"/>
                <w:b w:val="1"/>
                <w:bCs w:val="1"/>
                <w:color w:val="FFFFFF"/>
              </w:rPr>
              <w:t>Value of</w:t>
            </w:r>
          </w:p>
        </w:tc>
        <w:tc>
          <w:tcPr>
            <w:tcW w:w="200" w:type="dxa"/>
            <w:vAlign w:val="bottom"/>
            <w:shd w:val="clear" w:color="auto" w:fill="005CB9"/>
          </w:tcPr>
          <w:p>
            <w:pPr>
              <w:spacing w:after="0"/>
              <w:rPr>
                <w:sz w:val="11"/>
                <w:szCs w:val="11"/>
                <w:color w:val="auto"/>
              </w:rPr>
            </w:pPr>
          </w:p>
        </w:tc>
        <w:tc>
          <w:tcPr>
            <w:tcW w:w="620" w:type="dxa"/>
            <w:vAlign w:val="bottom"/>
            <w:gridSpan w:val="3"/>
            <w:vMerge w:val="continue"/>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 w:type="dxa"/>
            <w:vAlign w:val="bottom"/>
            <w:shd w:val="clear" w:color="auto" w:fill="005CB9"/>
          </w:tcPr>
          <w:p>
            <w:pPr>
              <w:spacing w:after="0"/>
              <w:rPr>
                <w:sz w:val="11"/>
                <w:szCs w:val="11"/>
                <w:color w:val="auto"/>
              </w:rPr>
            </w:pPr>
          </w:p>
        </w:tc>
        <w:tc>
          <w:tcPr>
            <w:tcW w:w="80" w:type="dxa"/>
            <w:vAlign w:val="bottom"/>
            <w:shd w:val="clear" w:color="auto" w:fill="005CB9"/>
          </w:tcPr>
          <w:p>
            <w:pPr>
              <w:spacing w:after="0"/>
              <w:rPr>
                <w:sz w:val="11"/>
                <w:szCs w:val="11"/>
                <w:color w:val="auto"/>
              </w:rPr>
            </w:pPr>
          </w:p>
        </w:tc>
        <w:tc>
          <w:tcPr>
            <w:tcW w:w="740" w:type="dxa"/>
            <w:vAlign w:val="bottom"/>
            <w:gridSpan w:val="2"/>
            <w:shd w:val="clear" w:color="auto" w:fill="005CB9"/>
          </w:tcPr>
          <w:p>
            <w:pPr>
              <w:jc w:val="center"/>
              <w:ind w:right="100"/>
              <w:spacing w:after="0" w:line="134" w:lineRule="exact"/>
              <w:rPr>
                <w:sz w:val="20"/>
                <w:szCs w:val="20"/>
                <w:color w:val="auto"/>
              </w:rPr>
            </w:pPr>
            <w:r>
              <w:rPr>
                <w:rFonts w:ascii="Arial" w:cs="Arial" w:eastAsia="Arial" w:hAnsi="Arial"/>
                <w:sz w:val="12"/>
                <w:szCs w:val="12"/>
                <w:b w:val="1"/>
                <w:bCs w:val="1"/>
                <w:color w:val="FFFFFF"/>
              </w:rPr>
              <w:t>Value of</w:t>
            </w:r>
          </w:p>
        </w:tc>
        <w:tc>
          <w:tcPr>
            <w:tcW w:w="0" w:type="dxa"/>
            <w:vAlign w:val="bottom"/>
          </w:tcPr>
          <w:p>
            <w:pPr>
              <w:spacing w:after="0"/>
              <w:rPr>
                <w:sz w:val="1"/>
                <w:szCs w:val="1"/>
                <w:color w:val="auto"/>
              </w:rPr>
            </w:pPr>
          </w:p>
        </w:tc>
      </w:tr>
      <w:tr>
        <w:trPr>
          <w:trHeight w:val="134"/>
        </w:trPr>
        <w:tc>
          <w:tcPr>
            <w:tcW w:w="234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40" w:type="dxa"/>
            <w:vAlign w:val="bottom"/>
            <w:shd w:val="clear" w:color="auto" w:fill="005CB9"/>
          </w:tcPr>
          <w:p>
            <w:pPr>
              <w:spacing w:after="0"/>
              <w:rPr>
                <w:sz w:val="11"/>
                <w:szCs w:val="11"/>
                <w:color w:val="auto"/>
              </w:rPr>
            </w:pPr>
          </w:p>
        </w:tc>
        <w:tc>
          <w:tcPr>
            <w:tcW w:w="580" w:type="dxa"/>
            <w:vAlign w:val="bottom"/>
            <w:vMerge w:val="restart"/>
            <w:shd w:val="clear" w:color="auto" w:fill="005CB9"/>
          </w:tcPr>
          <w:p>
            <w:pPr>
              <w:jc w:val="right"/>
              <w:ind w:right="78"/>
              <w:spacing w:after="0"/>
              <w:rPr>
                <w:sz w:val="20"/>
                <w:szCs w:val="20"/>
                <w:color w:val="auto"/>
              </w:rPr>
            </w:pPr>
            <w:r>
              <w:rPr>
                <w:rFonts w:ascii="Arial" w:cs="Arial" w:eastAsia="Arial" w:hAnsi="Arial"/>
                <w:sz w:val="12"/>
                <w:szCs w:val="12"/>
                <w:b w:val="1"/>
                <w:bCs w:val="1"/>
                <w:color w:val="FFFFFF"/>
              </w:rPr>
              <w:t>Grant</w:t>
            </w:r>
          </w:p>
        </w:tc>
        <w:tc>
          <w:tcPr>
            <w:tcW w:w="200" w:type="dxa"/>
            <w:vAlign w:val="bottom"/>
            <w:shd w:val="clear" w:color="auto" w:fill="005CB9"/>
          </w:tcPr>
          <w:p>
            <w:pPr>
              <w:spacing w:after="0"/>
              <w:rPr>
                <w:sz w:val="11"/>
                <w:szCs w:val="11"/>
                <w:color w:val="auto"/>
              </w:rPr>
            </w:pPr>
          </w:p>
        </w:tc>
        <w:tc>
          <w:tcPr>
            <w:tcW w:w="340" w:type="dxa"/>
            <w:vAlign w:val="bottom"/>
            <w:shd w:val="clear" w:color="auto" w:fill="005CB9"/>
          </w:tcPr>
          <w:p>
            <w:pPr>
              <w:spacing w:after="0"/>
              <w:rPr>
                <w:sz w:val="11"/>
                <w:szCs w:val="11"/>
                <w:color w:val="auto"/>
              </w:rPr>
            </w:pPr>
          </w:p>
        </w:tc>
        <w:tc>
          <w:tcPr>
            <w:tcW w:w="1680" w:type="dxa"/>
            <w:vAlign w:val="bottom"/>
            <w:gridSpan w:val="6"/>
            <w:shd w:val="clear" w:color="auto" w:fill="005CB9"/>
          </w:tcPr>
          <w:p>
            <w:pPr>
              <w:ind w:left="60"/>
              <w:spacing w:after="0" w:line="134" w:lineRule="exact"/>
              <w:rPr>
                <w:sz w:val="20"/>
                <w:szCs w:val="20"/>
                <w:color w:val="auto"/>
              </w:rPr>
            </w:pPr>
            <w:r>
              <w:rPr>
                <w:rFonts w:ascii="Arial" w:cs="Arial" w:eastAsia="Arial" w:hAnsi="Arial"/>
                <w:sz w:val="12"/>
                <w:szCs w:val="12"/>
                <w:b w:val="1"/>
                <w:bCs w:val="1"/>
                <w:color w:val="FFFFFF"/>
              </w:rPr>
              <w:t>Unexercised Options</w:t>
            </w:r>
          </w:p>
        </w:tc>
        <w:tc>
          <w:tcPr>
            <w:tcW w:w="200" w:type="dxa"/>
            <w:vAlign w:val="bottom"/>
            <w:shd w:val="clear" w:color="auto" w:fill="005CB9"/>
          </w:tcPr>
          <w:p>
            <w:pPr>
              <w:spacing w:after="0"/>
              <w:rPr>
                <w:sz w:val="11"/>
                <w:szCs w:val="11"/>
                <w:color w:val="auto"/>
              </w:rPr>
            </w:pPr>
          </w:p>
        </w:tc>
        <w:tc>
          <w:tcPr>
            <w:tcW w:w="240" w:type="dxa"/>
            <w:vAlign w:val="bottom"/>
            <w:shd w:val="clear" w:color="auto" w:fill="005CB9"/>
          </w:tcPr>
          <w:p>
            <w:pPr>
              <w:spacing w:after="0"/>
              <w:rPr>
                <w:sz w:val="11"/>
                <w:szCs w:val="11"/>
                <w:color w:val="auto"/>
              </w:rPr>
            </w:pPr>
          </w:p>
        </w:tc>
        <w:tc>
          <w:tcPr>
            <w:tcW w:w="220" w:type="dxa"/>
            <w:vAlign w:val="bottom"/>
            <w:shd w:val="clear" w:color="auto" w:fill="005CB9"/>
          </w:tcPr>
          <w:p>
            <w:pPr>
              <w:spacing w:after="0"/>
              <w:rPr>
                <w:sz w:val="11"/>
                <w:szCs w:val="11"/>
                <w:color w:val="auto"/>
              </w:rPr>
            </w:pPr>
          </w:p>
        </w:tc>
        <w:tc>
          <w:tcPr>
            <w:tcW w:w="240" w:type="dxa"/>
            <w:vAlign w:val="bottom"/>
            <w:shd w:val="clear" w:color="auto" w:fill="005CB9"/>
          </w:tcPr>
          <w:p>
            <w:pPr>
              <w:spacing w:after="0"/>
              <w:rPr>
                <w:sz w:val="11"/>
                <w:szCs w:val="11"/>
                <w:color w:val="auto"/>
              </w:rPr>
            </w:pPr>
          </w:p>
        </w:tc>
        <w:tc>
          <w:tcPr>
            <w:tcW w:w="200" w:type="dxa"/>
            <w:vAlign w:val="bottom"/>
            <w:shd w:val="clear" w:color="auto" w:fill="005CB9"/>
          </w:tcPr>
          <w:p>
            <w:pPr>
              <w:spacing w:after="0"/>
              <w:rPr>
                <w:sz w:val="11"/>
                <w:szCs w:val="11"/>
                <w:color w:val="auto"/>
              </w:rPr>
            </w:pPr>
          </w:p>
        </w:tc>
        <w:tc>
          <w:tcPr>
            <w:tcW w:w="300" w:type="dxa"/>
            <w:vAlign w:val="bottom"/>
            <w:shd w:val="clear" w:color="auto" w:fill="005CB9"/>
          </w:tcPr>
          <w:p>
            <w:pPr>
              <w:spacing w:after="0"/>
              <w:rPr>
                <w:sz w:val="11"/>
                <w:szCs w:val="11"/>
                <w:color w:val="auto"/>
              </w:rPr>
            </w:pPr>
          </w:p>
        </w:tc>
        <w:tc>
          <w:tcPr>
            <w:tcW w:w="560" w:type="dxa"/>
            <w:vAlign w:val="bottom"/>
            <w:shd w:val="clear" w:color="auto" w:fill="005CB9"/>
          </w:tcPr>
          <w:p>
            <w:pPr>
              <w:spacing w:after="0"/>
              <w:rPr>
                <w:sz w:val="11"/>
                <w:szCs w:val="11"/>
                <w:color w:val="auto"/>
              </w:rPr>
            </w:pPr>
          </w:p>
        </w:tc>
        <w:tc>
          <w:tcPr>
            <w:tcW w:w="640" w:type="dxa"/>
            <w:vAlign w:val="bottom"/>
            <w:gridSpan w:val="3"/>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Unearned/</w:t>
            </w:r>
          </w:p>
        </w:tc>
        <w:tc>
          <w:tcPr>
            <w:tcW w:w="200" w:type="dxa"/>
            <w:vAlign w:val="bottom"/>
            <w:shd w:val="clear" w:color="auto" w:fill="005CB9"/>
          </w:tcPr>
          <w:p>
            <w:pPr>
              <w:spacing w:after="0"/>
              <w:rPr>
                <w:sz w:val="11"/>
                <w:szCs w:val="11"/>
                <w:color w:val="auto"/>
              </w:rPr>
            </w:pPr>
          </w:p>
        </w:tc>
        <w:tc>
          <w:tcPr>
            <w:tcW w:w="40" w:type="dxa"/>
            <w:vAlign w:val="bottom"/>
            <w:shd w:val="clear" w:color="auto" w:fill="005CB9"/>
          </w:tcPr>
          <w:p>
            <w:pPr>
              <w:spacing w:after="0"/>
              <w:rPr>
                <w:sz w:val="11"/>
                <w:szCs w:val="11"/>
                <w:color w:val="auto"/>
              </w:rPr>
            </w:pPr>
          </w:p>
        </w:tc>
        <w:tc>
          <w:tcPr>
            <w:tcW w:w="80" w:type="dxa"/>
            <w:vAlign w:val="bottom"/>
            <w:shd w:val="clear" w:color="auto" w:fill="005CB9"/>
          </w:tcPr>
          <w:p>
            <w:pPr>
              <w:spacing w:after="0"/>
              <w:rPr>
                <w:sz w:val="11"/>
                <w:szCs w:val="11"/>
                <w:color w:val="auto"/>
              </w:rPr>
            </w:pPr>
          </w:p>
        </w:tc>
        <w:tc>
          <w:tcPr>
            <w:tcW w:w="740" w:type="dxa"/>
            <w:vAlign w:val="bottom"/>
            <w:gridSpan w:val="2"/>
            <w:shd w:val="clear" w:color="auto" w:fill="005CB9"/>
          </w:tcPr>
          <w:p>
            <w:pPr>
              <w:jc w:val="center"/>
              <w:ind w:right="120"/>
              <w:spacing w:after="0" w:line="134" w:lineRule="exact"/>
              <w:rPr>
                <w:sz w:val="20"/>
                <w:szCs w:val="20"/>
                <w:color w:val="auto"/>
              </w:rPr>
            </w:pPr>
            <w:r>
              <w:rPr>
                <w:rFonts w:ascii="Arial" w:cs="Arial" w:eastAsia="Arial" w:hAnsi="Arial"/>
                <w:sz w:val="12"/>
                <w:szCs w:val="12"/>
                <w:b w:val="1"/>
                <w:bCs w:val="1"/>
                <w:color w:val="FFFFFF"/>
              </w:rPr>
              <w:t>Unearned/</w:t>
            </w:r>
          </w:p>
        </w:tc>
        <w:tc>
          <w:tcPr>
            <w:tcW w:w="200" w:type="dxa"/>
            <w:vAlign w:val="bottom"/>
            <w:shd w:val="clear" w:color="auto" w:fill="005CB9"/>
          </w:tcPr>
          <w:p>
            <w:pPr>
              <w:spacing w:after="0"/>
              <w:rPr>
                <w:sz w:val="11"/>
                <w:szCs w:val="11"/>
                <w:color w:val="auto"/>
              </w:rPr>
            </w:pPr>
          </w:p>
        </w:tc>
        <w:tc>
          <w:tcPr>
            <w:tcW w:w="620" w:type="dxa"/>
            <w:vAlign w:val="bottom"/>
            <w:gridSpan w:val="3"/>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Unearned/</w:t>
            </w:r>
          </w:p>
        </w:tc>
        <w:tc>
          <w:tcPr>
            <w:tcW w:w="200" w:type="dxa"/>
            <w:vAlign w:val="bottom"/>
            <w:shd w:val="clear" w:color="auto" w:fill="005CB9"/>
          </w:tcPr>
          <w:p>
            <w:pPr>
              <w:spacing w:after="0"/>
              <w:rPr>
                <w:sz w:val="11"/>
                <w:szCs w:val="11"/>
                <w:color w:val="auto"/>
              </w:rPr>
            </w:pPr>
          </w:p>
        </w:tc>
        <w:tc>
          <w:tcPr>
            <w:tcW w:w="40" w:type="dxa"/>
            <w:vAlign w:val="bottom"/>
            <w:shd w:val="clear" w:color="auto" w:fill="005CB9"/>
          </w:tcPr>
          <w:p>
            <w:pPr>
              <w:spacing w:after="0"/>
              <w:rPr>
                <w:sz w:val="11"/>
                <w:szCs w:val="11"/>
                <w:color w:val="auto"/>
              </w:rPr>
            </w:pPr>
          </w:p>
        </w:tc>
        <w:tc>
          <w:tcPr>
            <w:tcW w:w="80" w:type="dxa"/>
            <w:vAlign w:val="bottom"/>
            <w:shd w:val="clear" w:color="auto" w:fill="005CB9"/>
          </w:tcPr>
          <w:p>
            <w:pPr>
              <w:spacing w:after="0"/>
              <w:rPr>
                <w:sz w:val="11"/>
                <w:szCs w:val="11"/>
                <w:color w:val="auto"/>
              </w:rPr>
            </w:pPr>
          </w:p>
        </w:tc>
        <w:tc>
          <w:tcPr>
            <w:tcW w:w="740" w:type="dxa"/>
            <w:vAlign w:val="bottom"/>
            <w:gridSpan w:val="2"/>
            <w:shd w:val="clear" w:color="auto" w:fill="005CB9"/>
          </w:tcPr>
          <w:p>
            <w:pPr>
              <w:jc w:val="center"/>
              <w:ind w:right="120"/>
              <w:spacing w:after="0" w:line="134" w:lineRule="exact"/>
              <w:rPr>
                <w:sz w:val="20"/>
                <w:szCs w:val="20"/>
                <w:color w:val="auto"/>
              </w:rPr>
            </w:pPr>
            <w:r>
              <w:rPr>
                <w:rFonts w:ascii="Arial" w:cs="Arial" w:eastAsia="Arial" w:hAnsi="Arial"/>
                <w:sz w:val="12"/>
                <w:szCs w:val="12"/>
                <w:b w:val="1"/>
                <w:bCs w:val="1"/>
                <w:color w:val="FFFFFF"/>
              </w:rPr>
              <w:t>Unearned/</w:t>
            </w:r>
          </w:p>
        </w:tc>
        <w:tc>
          <w:tcPr>
            <w:tcW w:w="0" w:type="dxa"/>
            <w:vAlign w:val="bottom"/>
          </w:tcPr>
          <w:p>
            <w:pPr>
              <w:spacing w:after="0"/>
              <w:rPr>
                <w:sz w:val="1"/>
                <w:szCs w:val="1"/>
                <w:color w:val="auto"/>
              </w:rPr>
            </w:pPr>
          </w:p>
        </w:tc>
      </w:tr>
      <w:tr>
        <w:trPr>
          <w:trHeight w:val="94"/>
        </w:trPr>
        <w:tc>
          <w:tcPr>
            <w:tcW w:w="2340" w:type="dxa"/>
            <w:vAlign w:val="bottom"/>
            <w:shd w:val="clear" w:color="auto" w:fill="005CB9"/>
          </w:tcPr>
          <w:p>
            <w:pPr>
              <w:spacing w:after="0"/>
              <w:rPr>
                <w:sz w:val="8"/>
                <w:szCs w:val="8"/>
                <w:color w:val="auto"/>
              </w:rPr>
            </w:pPr>
          </w:p>
        </w:tc>
        <w:tc>
          <w:tcPr>
            <w:tcW w:w="200" w:type="dxa"/>
            <w:vAlign w:val="bottom"/>
            <w:shd w:val="clear" w:color="auto" w:fill="005CB9"/>
          </w:tcPr>
          <w:p>
            <w:pPr>
              <w:spacing w:after="0"/>
              <w:rPr>
                <w:sz w:val="8"/>
                <w:szCs w:val="8"/>
                <w:color w:val="auto"/>
              </w:rPr>
            </w:pPr>
          </w:p>
        </w:tc>
        <w:tc>
          <w:tcPr>
            <w:tcW w:w="40" w:type="dxa"/>
            <w:vAlign w:val="bottom"/>
            <w:shd w:val="clear" w:color="auto" w:fill="005CB9"/>
          </w:tcPr>
          <w:p>
            <w:pPr>
              <w:spacing w:after="0"/>
              <w:rPr>
                <w:sz w:val="8"/>
                <w:szCs w:val="8"/>
                <w:color w:val="auto"/>
              </w:rPr>
            </w:pPr>
          </w:p>
        </w:tc>
        <w:tc>
          <w:tcPr>
            <w:tcW w:w="580" w:type="dxa"/>
            <w:vAlign w:val="bottom"/>
            <w:vMerge w:val="continue"/>
            <w:shd w:val="clear" w:color="auto" w:fill="005CB9"/>
          </w:tcPr>
          <w:p>
            <w:pPr>
              <w:spacing w:after="0"/>
              <w:rPr>
                <w:sz w:val="8"/>
                <w:szCs w:val="8"/>
                <w:color w:val="auto"/>
              </w:rPr>
            </w:pPr>
          </w:p>
        </w:tc>
        <w:tc>
          <w:tcPr>
            <w:tcW w:w="200" w:type="dxa"/>
            <w:vAlign w:val="bottom"/>
            <w:shd w:val="clear" w:color="auto" w:fill="005CB9"/>
          </w:tcPr>
          <w:p>
            <w:pPr>
              <w:spacing w:after="0"/>
              <w:rPr>
                <w:sz w:val="8"/>
                <w:szCs w:val="8"/>
                <w:color w:val="auto"/>
              </w:rPr>
            </w:pPr>
          </w:p>
        </w:tc>
        <w:tc>
          <w:tcPr>
            <w:tcW w:w="840" w:type="dxa"/>
            <w:vAlign w:val="bottom"/>
            <w:gridSpan w:val="3"/>
            <w:vMerge w:val="restart"/>
            <w:shd w:val="clear" w:color="auto" w:fill="005CB9"/>
          </w:tcPr>
          <w:p>
            <w:pPr>
              <w:ind w:left="80"/>
              <w:spacing w:after="0"/>
              <w:rPr>
                <w:sz w:val="20"/>
                <w:szCs w:val="20"/>
                <w:color w:val="auto"/>
              </w:rPr>
            </w:pPr>
            <w:r>
              <w:rPr>
                <w:rFonts w:ascii="Arial" w:cs="Arial" w:eastAsia="Arial" w:hAnsi="Arial"/>
                <w:sz w:val="12"/>
                <w:szCs w:val="12"/>
                <w:b w:val="1"/>
                <w:bCs w:val="1"/>
                <w:color w:val="FFFFFF"/>
              </w:rPr>
              <w:t>Exercisable</w:t>
            </w:r>
          </w:p>
        </w:tc>
        <w:tc>
          <w:tcPr>
            <w:tcW w:w="200" w:type="dxa"/>
            <w:vAlign w:val="bottom"/>
            <w:shd w:val="clear" w:color="auto" w:fill="005CB9"/>
          </w:tcPr>
          <w:p>
            <w:pPr>
              <w:spacing w:after="0"/>
              <w:rPr>
                <w:sz w:val="8"/>
                <w:szCs w:val="8"/>
                <w:color w:val="auto"/>
              </w:rPr>
            </w:pPr>
          </w:p>
        </w:tc>
        <w:tc>
          <w:tcPr>
            <w:tcW w:w="980" w:type="dxa"/>
            <w:vAlign w:val="bottom"/>
            <w:gridSpan w:val="3"/>
            <w:vMerge w:val="restart"/>
            <w:shd w:val="clear" w:color="auto" w:fill="005CB9"/>
          </w:tcPr>
          <w:p>
            <w:pPr>
              <w:ind w:left="80"/>
              <w:spacing w:after="0"/>
              <w:rPr>
                <w:sz w:val="20"/>
                <w:szCs w:val="20"/>
                <w:color w:val="auto"/>
              </w:rPr>
            </w:pPr>
            <w:r>
              <w:rPr>
                <w:rFonts w:ascii="Arial" w:cs="Arial" w:eastAsia="Arial" w:hAnsi="Arial"/>
                <w:sz w:val="12"/>
                <w:szCs w:val="12"/>
                <w:b w:val="1"/>
                <w:bCs w:val="1"/>
                <w:color w:val="FFFFFF"/>
              </w:rPr>
              <w:t>Unexercisable</w:t>
            </w:r>
          </w:p>
        </w:tc>
        <w:tc>
          <w:tcPr>
            <w:tcW w:w="200" w:type="dxa"/>
            <w:vAlign w:val="bottom"/>
            <w:shd w:val="clear" w:color="auto" w:fill="005CB9"/>
          </w:tcPr>
          <w:p>
            <w:pPr>
              <w:spacing w:after="0"/>
              <w:rPr>
                <w:sz w:val="8"/>
                <w:szCs w:val="8"/>
                <w:color w:val="auto"/>
              </w:rPr>
            </w:pPr>
          </w:p>
        </w:tc>
        <w:tc>
          <w:tcPr>
            <w:tcW w:w="700" w:type="dxa"/>
            <w:vAlign w:val="bottom"/>
            <w:gridSpan w:val="3"/>
            <w:shd w:val="clear" w:color="auto" w:fill="005CB9"/>
          </w:tcPr>
          <w:p>
            <w:pPr>
              <w:jc w:val="right"/>
              <w:ind w:right="100"/>
              <w:spacing w:after="0" w:line="94" w:lineRule="exact"/>
              <w:rPr>
                <w:sz w:val="20"/>
                <w:szCs w:val="20"/>
                <w:color w:val="auto"/>
              </w:rPr>
            </w:pPr>
            <w:r>
              <w:rPr>
                <w:rFonts w:ascii="Arial" w:cs="Arial" w:eastAsia="Arial" w:hAnsi="Arial"/>
                <w:sz w:val="10"/>
                <w:szCs w:val="10"/>
                <w:b w:val="1"/>
                <w:bCs w:val="1"/>
                <w:color w:val="FFFFFF"/>
              </w:rPr>
              <w:t>Exercise</w:t>
            </w:r>
          </w:p>
        </w:tc>
        <w:tc>
          <w:tcPr>
            <w:tcW w:w="200" w:type="dxa"/>
            <w:vAlign w:val="bottom"/>
            <w:shd w:val="clear" w:color="auto" w:fill="005CB9"/>
          </w:tcPr>
          <w:p>
            <w:pPr>
              <w:spacing w:after="0"/>
              <w:rPr>
                <w:sz w:val="8"/>
                <w:szCs w:val="8"/>
                <w:color w:val="auto"/>
              </w:rPr>
            </w:pPr>
          </w:p>
        </w:tc>
        <w:tc>
          <w:tcPr>
            <w:tcW w:w="860" w:type="dxa"/>
            <w:vAlign w:val="bottom"/>
            <w:gridSpan w:val="2"/>
            <w:shd w:val="clear" w:color="auto" w:fill="005CB9"/>
          </w:tcPr>
          <w:p>
            <w:pPr>
              <w:jc w:val="center"/>
              <w:ind w:right="200"/>
              <w:spacing w:after="0" w:line="94" w:lineRule="exact"/>
              <w:rPr>
                <w:sz w:val="20"/>
                <w:szCs w:val="20"/>
                <w:color w:val="auto"/>
              </w:rPr>
            </w:pPr>
            <w:r>
              <w:rPr>
                <w:rFonts w:ascii="Arial" w:cs="Arial" w:eastAsia="Arial" w:hAnsi="Arial"/>
                <w:sz w:val="10"/>
                <w:szCs w:val="10"/>
                <w:b w:val="1"/>
                <w:bCs w:val="1"/>
                <w:color w:val="FFFFFF"/>
              </w:rPr>
              <w:t>Expiration</w:t>
            </w:r>
          </w:p>
        </w:tc>
        <w:tc>
          <w:tcPr>
            <w:tcW w:w="640" w:type="dxa"/>
            <w:vAlign w:val="bottom"/>
            <w:gridSpan w:val="3"/>
            <w:shd w:val="clear" w:color="auto" w:fill="005CB9"/>
          </w:tcPr>
          <w:p>
            <w:pPr>
              <w:jc w:val="center"/>
              <w:spacing w:after="0" w:line="94" w:lineRule="exact"/>
              <w:rPr>
                <w:sz w:val="20"/>
                <w:szCs w:val="20"/>
                <w:color w:val="auto"/>
              </w:rPr>
            </w:pPr>
            <w:r>
              <w:rPr>
                <w:rFonts w:ascii="Arial" w:cs="Arial" w:eastAsia="Arial" w:hAnsi="Arial"/>
                <w:sz w:val="10"/>
                <w:szCs w:val="10"/>
                <w:b w:val="1"/>
                <w:bCs w:val="1"/>
                <w:color w:val="FFFFFF"/>
              </w:rPr>
              <w:t>Unvested</w:t>
            </w:r>
          </w:p>
        </w:tc>
        <w:tc>
          <w:tcPr>
            <w:tcW w:w="200" w:type="dxa"/>
            <w:vAlign w:val="bottom"/>
            <w:shd w:val="clear" w:color="auto" w:fill="005CB9"/>
          </w:tcPr>
          <w:p>
            <w:pPr>
              <w:spacing w:after="0"/>
              <w:rPr>
                <w:sz w:val="8"/>
                <w:szCs w:val="8"/>
                <w:color w:val="auto"/>
              </w:rPr>
            </w:pPr>
          </w:p>
        </w:tc>
        <w:tc>
          <w:tcPr>
            <w:tcW w:w="40" w:type="dxa"/>
            <w:vAlign w:val="bottom"/>
            <w:shd w:val="clear" w:color="auto" w:fill="005CB9"/>
          </w:tcPr>
          <w:p>
            <w:pPr>
              <w:spacing w:after="0"/>
              <w:rPr>
                <w:sz w:val="8"/>
                <w:szCs w:val="8"/>
                <w:color w:val="auto"/>
              </w:rPr>
            </w:pPr>
          </w:p>
        </w:tc>
        <w:tc>
          <w:tcPr>
            <w:tcW w:w="80" w:type="dxa"/>
            <w:vAlign w:val="bottom"/>
            <w:shd w:val="clear" w:color="auto" w:fill="005CB9"/>
          </w:tcPr>
          <w:p>
            <w:pPr>
              <w:spacing w:after="0"/>
              <w:rPr>
                <w:sz w:val="8"/>
                <w:szCs w:val="8"/>
                <w:color w:val="auto"/>
              </w:rPr>
            </w:pPr>
          </w:p>
        </w:tc>
        <w:tc>
          <w:tcPr>
            <w:tcW w:w="740" w:type="dxa"/>
            <w:vAlign w:val="bottom"/>
            <w:gridSpan w:val="2"/>
            <w:shd w:val="clear" w:color="auto" w:fill="005CB9"/>
          </w:tcPr>
          <w:p>
            <w:pPr>
              <w:jc w:val="center"/>
              <w:ind w:right="140"/>
              <w:spacing w:after="0" w:line="94" w:lineRule="exact"/>
              <w:rPr>
                <w:sz w:val="20"/>
                <w:szCs w:val="20"/>
                <w:color w:val="auto"/>
              </w:rPr>
            </w:pPr>
            <w:r>
              <w:rPr>
                <w:rFonts w:ascii="Arial" w:cs="Arial" w:eastAsia="Arial" w:hAnsi="Arial"/>
                <w:sz w:val="10"/>
                <w:szCs w:val="10"/>
                <w:b w:val="1"/>
                <w:bCs w:val="1"/>
                <w:color w:val="FFFFFF"/>
              </w:rPr>
              <w:t>Unvested</w:t>
            </w:r>
          </w:p>
        </w:tc>
        <w:tc>
          <w:tcPr>
            <w:tcW w:w="200" w:type="dxa"/>
            <w:vAlign w:val="bottom"/>
            <w:shd w:val="clear" w:color="auto" w:fill="005CB9"/>
          </w:tcPr>
          <w:p>
            <w:pPr>
              <w:spacing w:after="0"/>
              <w:rPr>
                <w:sz w:val="8"/>
                <w:szCs w:val="8"/>
                <w:color w:val="auto"/>
              </w:rPr>
            </w:pPr>
          </w:p>
        </w:tc>
        <w:tc>
          <w:tcPr>
            <w:tcW w:w="620" w:type="dxa"/>
            <w:vAlign w:val="bottom"/>
            <w:gridSpan w:val="3"/>
            <w:shd w:val="clear" w:color="auto" w:fill="005CB9"/>
          </w:tcPr>
          <w:p>
            <w:pPr>
              <w:jc w:val="center"/>
              <w:spacing w:after="0" w:line="94" w:lineRule="exact"/>
              <w:rPr>
                <w:sz w:val="20"/>
                <w:szCs w:val="20"/>
                <w:color w:val="auto"/>
              </w:rPr>
            </w:pPr>
            <w:r>
              <w:rPr>
                <w:rFonts w:ascii="Arial" w:cs="Arial" w:eastAsia="Arial" w:hAnsi="Arial"/>
                <w:sz w:val="10"/>
                <w:szCs w:val="10"/>
                <w:b w:val="1"/>
                <w:bCs w:val="1"/>
                <w:color w:val="FFFFFF"/>
              </w:rPr>
              <w:t>Unvested</w:t>
            </w:r>
          </w:p>
        </w:tc>
        <w:tc>
          <w:tcPr>
            <w:tcW w:w="200" w:type="dxa"/>
            <w:vAlign w:val="bottom"/>
            <w:shd w:val="clear" w:color="auto" w:fill="005CB9"/>
          </w:tcPr>
          <w:p>
            <w:pPr>
              <w:spacing w:after="0"/>
              <w:rPr>
                <w:sz w:val="8"/>
                <w:szCs w:val="8"/>
                <w:color w:val="auto"/>
              </w:rPr>
            </w:pPr>
          </w:p>
        </w:tc>
        <w:tc>
          <w:tcPr>
            <w:tcW w:w="40" w:type="dxa"/>
            <w:vAlign w:val="bottom"/>
            <w:shd w:val="clear" w:color="auto" w:fill="005CB9"/>
          </w:tcPr>
          <w:p>
            <w:pPr>
              <w:spacing w:after="0"/>
              <w:rPr>
                <w:sz w:val="8"/>
                <w:szCs w:val="8"/>
                <w:color w:val="auto"/>
              </w:rPr>
            </w:pPr>
          </w:p>
        </w:tc>
        <w:tc>
          <w:tcPr>
            <w:tcW w:w="80" w:type="dxa"/>
            <w:vAlign w:val="bottom"/>
            <w:shd w:val="clear" w:color="auto" w:fill="005CB9"/>
          </w:tcPr>
          <w:p>
            <w:pPr>
              <w:spacing w:after="0"/>
              <w:rPr>
                <w:sz w:val="8"/>
                <w:szCs w:val="8"/>
                <w:color w:val="auto"/>
              </w:rPr>
            </w:pPr>
          </w:p>
        </w:tc>
        <w:tc>
          <w:tcPr>
            <w:tcW w:w="740" w:type="dxa"/>
            <w:vAlign w:val="bottom"/>
            <w:gridSpan w:val="2"/>
            <w:shd w:val="clear" w:color="auto" w:fill="005CB9"/>
          </w:tcPr>
          <w:p>
            <w:pPr>
              <w:jc w:val="center"/>
              <w:ind w:right="100"/>
              <w:spacing w:after="0" w:line="94" w:lineRule="exact"/>
              <w:rPr>
                <w:sz w:val="20"/>
                <w:szCs w:val="20"/>
                <w:color w:val="auto"/>
              </w:rPr>
            </w:pPr>
            <w:r>
              <w:rPr>
                <w:rFonts w:ascii="Arial" w:cs="Arial" w:eastAsia="Arial" w:hAnsi="Arial"/>
                <w:sz w:val="10"/>
                <w:szCs w:val="10"/>
                <w:b w:val="1"/>
                <w:bCs w:val="1"/>
                <w:color w:val="FFFFFF"/>
              </w:rPr>
              <w:t>Unvested</w:t>
            </w:r>
          </w:p>
        </w:tc>
        <w:tc>
          <w:tcPr>
            <w:tcW w:w="0" w:type="dxa"/>
            <w:vAlign w:val="bottom"/>
          </w:tcPr>
          <w:p>
            <w:pPr>
              <w:spacing w:after="0"/>
              <w:rPr>
                <w:sz w:val="1"/>
                <w:szCs w:val="1"/>
                <w:color w:val="auto"/>
              </w:rPr>
            </w:pPr>
          </w:p>
        </w:tc>
      </w:tr>
      <w:tr>
        <w:trPr>
          <w:trHeight w:val="187"/>
        </w:trPr>
        <w:tc>
          <w:tcPr>
            <w:tcW w:w="2340" w:type="dxa"/>
            <w:vAlign w:val="bottom"/>
            <w:shd w:val="clear" w:color="auto" w:fill="005CB9"/>
          </w:tcPr>
          <w:p>
            <w:pPr>
              <w:spacing w:after="0"/>
              <w:rPr>
                <w:sz w:val="16"/>
                <w:szCs w:val="16"/>
                <w:color w:val="auto"/>
              </w:rPr>
            </w:pPr>
          </w:p>
        </w:tc>
        <w:tc>
          <w:tcPr>
            <w:tcW w:w="200" w:type="dxa"/>
            <w:vAlign w:val="bottom"/>
            <w:shd w:val="clear" w:color="auto" w:fill="005CB9"/>
          </w:tcPr>
          <w:p>
            <w:pPr>
              <w:spacing w:after="0"/>
              <w:rPr>
                <w:sz w:val="16"/>
                <w:szCs w:val="16"/>
                <w:color w:val="auto"/>
              </w:rPr>
            </w:pPr>
          </w:p>
        </w:tc>
        <w:tc>
          <w:tcPr>
            <w:tcW w:w="40" w:type="dxa"/>
            <w:vAlign w:val="bottom"/>
            <w:shd w:val="clear" w:color="auto" w:fill="005CB9"/>
          </w:tcPr>
          <w:p>
            <w:pPr>
              <w:spacing w:after="0"/>
              <w:rPr>
                <w:sz w:val="16"/>
                <w:szCs w:val="16"/>
                <w:color w:val="auto"/>
              </w:rPr>
            </w:pPr>
          </w:p>
        </w:tc>
        <w:tc>
          <w:tcPr>
            <w:tcW w:w="580" w:type="dxa"/>
            <w:vAlign w:val="bottom"/>
            <w:shd w:val="clear" w:color="auto" w:fill="005CB9"/>
          </w:tcPr>
          <w:p>
            <w:pPr>
              <w:jc w:val="right"/>
              <w:ind w:right="98"/>
              <w:spacing w:after="0"/>
              <w:rPr>
                <w:sz w:val="20"/>
                <w:szCs w:val="20"/>
                <w:color w:val="auto"/>
              </w:rPr>
            </w:pPr>
            <w:r>
              <w:rPr>
                <w:rFonts w:ascii="Arial" w:cs="Arial" w:eastAsia="Arial" w:hAnsi="Arial"/>
                <w:sz w:val="12"/>
                <w:szCs w:val="12"/>
                <w:b w:val="1"/>
                <w:bCs w:val="1"/>
                <w:color w:val="FFFFFF"/>
              </w:rPr>
              <w:t>Date</w:t>
            </w:r>
          </w:p>
        </w:tc>
        <w:tc>
          <w:tcPr>
            <w:tcW w:w="200" w:type="dxa"/>
            <w:vAlign w:val="bottom"/>
            <w:shd w:val="clear" w:color="auto" w:fill="005CB9"/>
          </w:tcPr>
          <w:p>
            <w:pPr>
              <w:spacing w:after="0"/>
              <w:rPr>
                <w:sz w:val="16"/>
                <w:szCs w:val="16"/>
                <w:color w:val="auto"/>
              </w:rPr>
            </w:pPr>
          </w:p>
        </w:tc>
        <w:tc>
          <w:tcPr>
            <w:tcW w:w="840" w:type="dxa"/>
            <w:vAlign w:val="bottom"/>
            <w:gridSpan w:val="3"/>
            <w:vMerge w:val="continue"/>
            <w:shd w:val="clear" w:color="auto" w:fill="005CB9"/>
          </w:tcPr>
          <w:p>
            <w:pPr>
              <w:spacing w:after="0"/>
              <w:rPr>
                <w:sz w:val="16"/>
                <w:szCs w:val="16"/>
                <w:color w:val="auto"/>
              </w:rPr>
            </w:pPr>
          </w:p>
        </w:tc>
        <w:tc>
          <w:tcPr>
            <w:tcW w:w="200" w:type="dxa"/>
            <w:vAlign w:val="bottom"/>
            <w:shd w:val="clear" w:color="auto" w:fill="005CB9"/>
          </w:tcPr>
          <w:p>
            <w:pPr>
              <w:spacing w:after="0"/>
              <w:rPr>
                <w:sz w:val="16"/>
                <w:szCs w:val="16"/>
                <w:color w:val="auto"/>
              </w:rPr>
            </w:pPr>
          </w:p>
        </w:tc>
        <w:tc>
          <w:tcPr>
            <w:tcW w:w="980" w:type="dxa"/>
            <w:vAlign w:val="bottom"/>
            <w:gridSpan w:val="3"/>
            <w:vMerge w:val="continue"/>
            <w:shd w:val="clear" w:color="auto" w:fill="005CB9"/>
          </w:tcPr>
          <w:p>
            <w:pPr>
              <w:spacing w:after="0"/>
              <w:rPr>
                <w:sz w:val="16"/>
                <w:szCs w:val="16"/>
                <w:color w:val="auto"/>
              </w:rPr>
            </w:pPr>
          </w:p>
        </w:tc>
        <w:tc>
          <w:tcPr>
            <w:tcW w:w="200" w:type="dxa"/>
            <w:vAlign w:val="bottom"/>
            <w:shd w:val="clear" w:color="auto" w:fill="005CB9"/>
          </w:tcPr>
          <w:p>
            <w:pPr>
              <w:spacing w:after="0"/>
              <w:rPr>
                <w:sz w:val="16"/>
                <w:szCs w:val="16"/>
                <w:color w:val="auto"/>
              </w:rPr>
            </w:pPr>
          </w:p>
        </w:tc>
        <w:tc>
          <w:tcPr>
            <w:tcW w:w="700" w:type="dxa"/>
            <w:vAlign w:val="bottom"/>
            <w:gridSpan w:val="3"/>
            <w:shd w:val="clear" w:color="auto" w:fill="005CB9"/>
          </w:tcPr>
          <w:p>
            <w:pPr>
              <w:jc w:val="right"/>
              <w:ind w:right="200"/>
              <w:spacing w:after="0"/>
              <w:rPr>
                <w:sz w:val="20"/>
                <w:szCs w:val="20"/>
                <w:color w:val="auto"/>
              </w:rPr>
            </w:pPr>
            <w:r>
              <w:rPr>
                <w:rFonts w:ascii="Arial" w:cs="Arial" w:eastAsia="Arial" w:hAnsi="Arial"/>
                <w:sz w:val="12"/>
                <w:szCs w:val="12"/>
                <w:b w:val="1"/>
                <w:bCs w:val="1"/>
                <w:color w:val="FFFFFF"/>
              </w:rPr>
              <w:t>Price</w:t>
            </w:r>
          </w:p>
        </w:tc>
        <w:tc>
          <w:tcPr>
            <w:tcW w:w="200" w:type="dxa"/>
            <w:vAlign w:val="bottom"/>
            <w:shd w:val="clear" w:color="auto" w:fill="005CB9"/>
          </w:tcPr>
          <w:p>
            <w:pPr>
              <w:spacing w:after="0"/>
              <w:rPr>
                <w:sz w:val="16"/>
                <w:szCs w:val="16"/>
                <w:color w:val="auto"/>
              </w:rPr>
            </w:pPr>
          </w:p>
        </w:tc>
        <w:tc>
          <w:tcPr>
            <w:tcW w:w="860" w:type="dxa"/>
            <w:vAlign w:val="bottom"/>
            <w:gridSpan w:val="2"/>
            <w:shd w:val="clear" w:color="auto" w:fill="005CB9"/>
          </w:tcPr>
          <w:p>
            <w:pPr>
              <w:jc w:val="center"/>
              <w:ind w:right="180"/>
              <w:spacing w:after="0"/>
              <w:rPr>
                <w:sz w:val="20"/>
                <w:szCs w:val="20"/>
                <w:color w:val="auto"/>
              </w:rPr>
            </w:pPr>
            <w:r>
              <w:rPr>
                <w:rFonts w:ascii="Arial" w:cs="Arial" w:eastAsia="Arial" w:hAnsi="Arial"/>
                <w:sz w:val="12"/>
                <w:szCs w:val="12"/>
                <w:b w:val="1"/>
                <w:bCs w:val="1"/>
                <w:color w:val="FFFFFF"/>
              </w:rPr>
              <w:t>Date</w:t>
            </w:r>
          </w:p>
        </w:tc>
        <w:tc>
          <w:tcPr>
            <w:tcW w:w="640" w:type="dxa"/>
            <w:vAlign w:val="bottom"/>
            <w:gridSpan w:val="3"/>
            <w:shd w:val="clear" w:color="auto" w:fill="005CB9"/>
          </w:tcPr>
          <w:p>
            <w:pPr>
              <w:jc w:val="center"/>
              <w:spacing w:after="0" w:line="174" w:lineRule="exact"/>
              <w:rPr>
                <w:sz w:val="20"/>
                <w:szCs w:val="20"/>
                <w:color w:val="auto"/>
              </w:rPr>
            </w:pPr>
            <w:r>
              <w:rPr>
                <w:rFonts w:ascii="Arial" w:cs="Arial" w:eastAsia="Arial" w:hAnsi="Arial"/>
                <w:sz w:val="12"/>
                <w:szCs w:val="12"/>
                <w:b w:val="1"/>
                <w:bCs w:val="1"/>
                <w:color w:val="FFFFFF"/>
                <w:w w:val="95"/>
              </w:rPr>
              <w:t>Shares</w:t>
            </w:r>
            <w:r>
              <w:rPr>
                <w:rFonts w:ascii="Arial" w:cs="Arial" w:eastAsia="Arial" w:hAnsi="Arial"/>
                <w:sz w:val="18"/>
                <w:szCs w:val="18"/>
                <w:b w:val="1"/>
                <w:bCs w:val="1"/>
                <w:color w:val="FFFFFF"/>
                <w:w w:val="95"/>
                <w:vertAlign w:val="superscript"/>
              </w:rPr>
              <w:t>(D)</w:t>
            </w:r>
          </w:p>
        </w:tc>
        <w:tc>
          <w:tcPr>
            <w:tcW w:w="200" w:type="dxa"/>
            <w:vAlign w:val="bottom"/>
            <w:shd w:val="clear" w:color="auto" w:fill="005CB9"/>
          </w:tcPr>
          <w:p>
            <w:pPr>
              <w:spacing w:after="0"/>
              <w:rPr>
                <w:sz w:val="16"/>
                <w:szCs w:val="16"/>
                <w:color w:val="auto"/>
              </w:rPr>
            </w:pPr>
          </w:p>
        </w:tc>
        <w:tc>
          <w:tcPr>
            <w:tcW w:w="40" w:type="dxa"/>
            <w:vAlign w:val="bottom"/>
            <w:shd w:val="clear" w:color="auto" w:fill="005CB9"/>
          </w:tcPr>
          <w:p>
            <w:pPr>
              <w:spacing w:after="0"/>
              <w:rPr>
                <w:sz w:val="16"/>
                <w:szCs w:val="16"/>
                <w:color w:val="auto"/>
              </w:rPr>
            </w:pPr>
          </w:p>
        </w:tc>
        <w:tc>
          <w:tcPr>
            <w:tcW w:w="80" w:type="dxa"/>
            <w:vAlign w:val="bottom"/>
            <w:shd w:val="clear" w:color="auto" w:fill="005CB9"/>
          </w:tcPr>
          <w:p>
            <w:pPr>
              <w:spacing w:after="0"/>
              <w:rPr>
                <w:sz w:val="16"/>
                <w:szCs w:val="16"/>
                <w:color w:val="auto"/>
              </w:rPr>
            </w:pPr>
          </w:p>
        </w:tc>
        <w:tc>
          <w:tcPr>
            <w:tcW w:w="740" w:type="dxa"/>
            <w:vAlign w:val="bottom"/>
            <w:gridSpan w:val="2"/>
            <w:shd w:val="clear" w:color="auto" w:fill="005CB9"/>
          </w:tcPr>
          <w:p>
            <w:pPr>
              <w:jc w:val="center"/>
              <w:ind w:right="120"/>
              <w:spacing w:after="0"/>
              <w:rPr>
                <w:sz w:val="20"/>
                <w:szCs w:val="20"/>
                <w:color w:val="auto"/>
              </w:rPr>
            </w:pPr>
            <w:r>
              <w:rPr>
                <w:rFonts w:ascii="Arial" w:cs="Arial" w:eastAsia="Arial" w:hAnsi="Arial"/>
                <w:sz w:val="12"/>
                <w:szCs w:val="12"/>
                <w:b w:val="1"/>
                <w:bCs w:val="1"/>
                <w:color w:val="FFFFFF"/>
              </w:rPr>
              <w:t>Shares</w:t>
            </w:r>
          </w:p>
        </w:tc>
        <w:tc>
          <w:tcPr>
            <w:tcW w:w="200" w:type="dxa"/>
            <w:vAlign w:val="bottom"/>
            <w:shd w:val="clear" w:color="auto" w:fill="005CB9"/>
          </w:tcPr>
          <w:p>
            <w:pPr>
              <w:spacing w:after="0"/>
              <w:rPr>
                <w:sz w:val="16"/>
                <w:szCs w:val="16"/>
                <w:color w:val="auto"/>
              </w:rPr>
            </w:pPr>
          </w:p>
        </w:tc>
        <w:tc>
          <w:tcPr>
            <w:tcW w:w="620" w:type="dxa"/>
            <w:vAlign w:val="bottom"/>
            <w:gridSpan w:val="3"/>
            <w:shd w:val="clear" w:color="auto" w:fill="005CB9"/>
          </w:tcPr>
          <w:p>
            <w:pPr>
              <w:jc w:val="center"/>
              <w:spacing w:after="0" w:line="174" w:lineRule="exact"/>
              <w:rPr>
                <w:sz w:val="20"/>
                <w:szCs w:val="20"/>
                <w:color w:val="auto"/>
              </w:rPr>
            </w:pPr>
            <w:r>
              <w:rPr>
                <w:rFonts w:ascii="Arial" w:cs="Arial" w:eastAsia="Arial" w:hAnsi="Arial"/>
                <w:sz w:val="12"/>
                <w:szCs w:val="12"/>
                <w:b w:val="1"/>
                <w:bCs w:val="1"/>
                <w:color w:val="FFFFFF"/>
                <w:w w:val="95"/>
              </w:rPr>
              <w:t>Shares</w:t>
            </w:r>
            <w:r>
              <w:rPr>
                <w:rFonts w:ascii="Arial" w:cs="Arial" w:eastAsia="Arial" w:hAnsi="Arial"/>
                <w:sz w:val="18"/>
                <w:szCs w:val="18"/>
                <w:b w:val="1"/>
                <w:bCs w:val="1"/>
                <w:color w:val="FFFFFF"/>
                <w:w w:val="95"/>
                <w:vertAlign w:val="superscript"/>
              </w:rPr>
              <w:t>(D)</w:t>
            </w:r>
          </w:p>
        </w:tc>
        <w:tc>
          <w:tcPr>
            <w:tcW w:w="200" w:type="dxa"/>
            <w:vAlign w:val="bottom"/>
            <w:shd w:val="clear" w:color="auto" w:fill="005CB9"/>
          </w:tcPr>
          <w:p>
            <w:pPr>
              <w:spacing w:after="0"/>
              <w:rPr>
                <w:sz w:val="16"/>
                <w:szCs w:val="16"/>
                <w:color w:val="auto"/>
              </w:rPr>
            </w:pPr>
          </w:p>
        </w:tc>
        <w:tc>
          <w:tcPr>
            <w:tcW w:w="40" w:type="dxa"/>
            <w:vAlign w:val="bottom"/>
            <w:shd w:val="clear" w:color="auto" w:fill="005CB9"/>
          </w:tcPr>
          <w:p>
            <w:pPr>
              <w:spacing w:after="0"/>
              <w:rPr>
                <w:sz w:val="16"/>
                <w:szCs w:val="16"/>
                <w:color w:val="auto"/>
              </w:rPr>
            </w:pPr>
          </w:p>
        </w:tc>
        <w:tc>
          <w:tcPr>
            <w:tcW w:w="80" w:type="dxa"/>
            <w:vAlign w:val="bottom"/>
            <w:shd w:val="clear" w:color="auto" w:fill="005CB9"/>
          </w:tcPr>
          <w:p>
            <w:pPr>
              <w:spacing w:after="0"/>
              <w:rPr>
                <w:sz w:val="16"/>
                <w:szCs w:val="16"/>
                <w:color w:val="auto"/>
              </w:rPr>
            </w:pPr>
          </w:p>
        </w:tc>
        <w:tc>
          <w:tcPr>
            <w:tcW w:w="740" w:type="dxa"/>
            <w:vAlign w:val="bottom"/>
            <w:gridSpan w:val="2"/>
            <w:shd w:val="clear" w:color="auto" w:fill="005CB9"/>
          </w:tcPr>
          <w:p>
            <w:pPr>
              <w:ind w:left="100"/>
              <w:spacing w:after="0"/>
              <w:rPr>
                <w:sz w:val="20"/>
                <w:szCs w:val="20"/>
                <w:color w:val="auto"/>
              </w:rPr>
            </w:pPr>
            <w:r>
              <w:rPr>
                <w:rFonts w:ascii="Arial" w:cs="Arial" w:eastAsia="Arial" w:hAnsi="Arial"/>
                <w:sz w:val="12"/>
                <w:szCs w:val="12"/>
                <w:b w:val="1"/>
                <w:bCs w:val="1"/>
                <w:color w:val="FFFFFF"/>
              </w:rPr>
              <w:t>Shares</w:t>
            </w:r>
          </w:p>
        </w:tc>
        <w:tc>
          <w:tcPr>
            <w:tcW w:w="0" w:type="dxa"/>
            <w:vAlign w:val="bottom"/>
          </w:tcPr>
          <w:p>
            <w:pPr>
              <w:spacing w:after="0"/>
              <w:rPr>
                <w:sz w:val="1"/>
                <w:szCs w:val="1"/>
                <w:color w:val="auto"/>
              </w:rPr>
            </w:pPr>
          </w:p>
        </w:tc>
      </w:tr>
      <w:tr>
        <w:trPr>
          <w:trHeight w:val="272"/>
        </w:trPr>
        <w:tc>
          <w:tcPr>
            <w:tcW w:w="2340" w:type="dxa"/>
            <w:vAlign w:val="bottom"/>
          </w:tcPr>
          <w:p>
            <w:pPr>
              <w:ind w:left="80"/>
              <w:spacing w:after="0"/>
              <w:rPr>
                <w:sz w:val="20"/>
                <w:szCs w:val="20"/>
                <w:color w:val="auto"/>
              </w:rPr>
            </w:pPr>
            <w:r>
              <w:rPr>
                <w:rFonts w:ascii="Arial" w:cs="Arial" w:eastAsia="Arial" w:hAnsi="Arial"/>
                <w:sz w:val="12"/>
                <w:szCs w:val="12"/>
                <w:b w:val="1"/>
                <w:bCs w:val="1"/>
                <w:color w:val="auto"/>
              </w:rPr>
              <w:t>Caroline A. Winn</w:t>
            </w:r>
          </w:p>
        </w:tc>
        <w:tc>
          <w:tcPr>
            <w:tcW w:w="820" w:type="dxa"/>
            <w:vAlign w:val="bottom"/>
            <w:tcBorders>
              <w:bottom w:val="single" w:sz="8" w:color="F2F2F2"/>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01/02/25</w:t>
            </w:r>
          </w:p>
        </w:tc>
        <w:tc>
          <w:tcPr>
            <w:tcW w:w="200" w:type="dxa"/>
            <w:vAlign w:val="bottom"/>
            <w:tcBorders>
              <w:bottom w:val="single" w:sz="8" w:color="F2F2F2"/>
            </w:tcBorders>
            <w:shd w:val="clear" w:color="auto" w:fill="F2F2F2"/>
          </w:tcPr>
          <w:p>
            <w:pPr>
              <w:spacing w:after="0"/>
              <w:rPr>
                <w:sz w:val="23"/>
                <w:szCs w:val="23"/>
                <w:color w:val="auto"/>
              </w:rPr>
            </w:pPr>
          </w:p>
        </w:tc>
        <w:tc>
          <w:tcPr>
            <w:tcW w:w="340" w:type="dxa"/>
            <w:vAlign w:val="bottom"/>
            <w:tcBorders>
              <w:bottom w:val="single" w:sz="8" w:color="F2F2F2"/>
            </w:tcBorders>
            <w:shd w:val="clear" w:color="auto" w:fill="F2F2F2"/>
          </w:tcPr>
          <w:p>
            <w:pPr>
              <w:spacing w:after="0"/>
              <w:rPr>
                <w:sz w:val="23"/>
                <w:szCs w:val="23"/>
                <w:color w:val="auto"/>
              </w:rPr>
            </w:pPr>
          </w:p>
        </w:tc>
        <w:tc>
          <w:tcPr>
            <w:tcW w:w="180" w:type="dxa"/>
            <w:vAlign w:val="bottom"/>
            <w:tcBorders>
              <w:bottom w:val="single" w:sz="8" w:color="F2F2F2"/>
            </w:tcBorders>
            <w:shd w:val="clear" w:color="auto" w:fill="F2F2F2"/>
          </w:tcPr>
          <w:p>
            <w:pPr>
              <w:spacing w:after="0"/>
              <w:rPr>
                <w:sz w:val="23"/>
                <w:szCs w:val="23"/>
                <w:color w:val="auto"/>
              </w:rPr>
            </w:pPr>
          </w:p>
        </w:tc>
        <w:tc>
          <w:tcPr>
            <w:tcW w:w="320" w:type="dxa"/>
            <w:vAlign w:val="bottom"/>
            <w:tcBorders>
              <w:bottom w:val="single" w:sz="8" w:color="F2F2F2"/>
            </w:tcBorders>
            <w:shd w:val="clear" w:color="auto" w:fill="F2F2F2"/>
          </w:tcPr>
          <w:p>
            <w:pPr>
              <w:spacing w:after="0"/>
              <w:rPr>
                <w:sz w:val="23"/>
                <w:szCs w:val="23"/>
                <w:color w:val="auto"/>
              </w:rPr>
            </w:pPr>
          </w:p>
        </w:tc>
        <w:tc>
          <w:tcPr>
            <w:tcW w:w="200" w:type="dxa"/>
            <w:vAlign w:val="bottom"/>
            <w:tcBorders>
              <w:bottom w:val="single" w:sz="8" w:color="F2F2F2"/>
            </w:tcBorders>
            <w:shd w:val="clear" w:color="auto" w:fill="F2F2F2"/>
          </w:tcPr>
          <w:p>
            <w:pPr>
              <w:spacing w:after="0"/>
              <w:rPr>
                <w:sz w:val="23"/>
                <w:szCs w:val="23"/>
                <w:color w:val="auto"/>
              </w:rPr>
            </w:pPr>
          </w:p>
        </w:tc>
        <w:tc>
          <w:tcPr>
            <w:tcW w:w="400" w:type="dxa"/>
            <w:vAlign w:val="bottom"/>
            <w:tcBorders>
              <w:bottom w:val="single" w:sz="8" w:color="F2F2F2"/>
            </w:tcBorders>
            <w:shd w:val="clear" w:color="auto" w:fill="F2F2F2"/>
          </w:tcPr>
          <w:p>
            <w:pPr>
              <w:spacing w:after="0"/>
              <w:rPr>
                <w:sz w:val="23"/>
                <w:szCs w:val="23"/>
                <w:color w:val="auto"/>
              </w:rPr>
            </w:pPr>
          </w:p>
        </w:tc>
        <w:tc>
          <w:tcPr>
            <w:tcW w:w="180" w:type="dxa"/>
            <w:vAlign w:val="bottom"/>
            <w:tcBorders>
              <w:bottom w:val="single" w:sz="8" w:color="F2F2F2"/>
            </w:tcBorders>
            <w:shd w:val="clear" w:color="auto" w:fill="F2F2F2"/>
          </w:tcPr>
          <w:p>
            <w:pPr>
              <w:spacing w:after="0"/>
              <w:rPr>
                <w:sz w:val="23"/>
                <w:szCs w:val="23"/>
                <w:color w:val="auto"/>
              </w:rPr>
            </w:pPr>
          </w:p>
        </w:tc>
        <w:tc>
          <w:tcPr>
            <w:tcW w:w="400" w:type="dxa"/>
            <w:vAlign w:val="bottom"/>
            <w:tcBorders>
              <w:bottom w:val="single" w:sz="8" w:color="F2F2F2"/>
            </w:tcBorders>
            <w:shd w:val="clear" w:color="auto" w:fill="F2F2F2"/>
          </w:tcPr>
          <w:p>
            <w:pPr>
              <w:spacing w:after="0"/>
              <w:rPr>
                <w:sz w:val="23"/>
                <w:szCs w:val="23"/>
                <w:color w:val="auto"/>
              </w:rPr>
            </w:pPr>
          </w:p>
        </w:tc>
        <w:tc>
          <w:tcPr>
            <w:tcW w:w="200" w:type="dxa"/>
            <w:vAlign w:val="bottom"/>
            <w:tcBorders>
              <w:bottom w:val="single" w:sz="8" w:color="F2F2F2"/>
            </w:tcBorders>
            <w:shd w:val="clear" w:color="auto" w:fill="F2F2F2"/>
          </w:tcPr>
          <w:p>
            <w:pPr>
              <w:spacing w:after="0"/>
              <w:rPr>
                <w:sz w:val="23"/>
                <w:szCs w:val="23"/>
                <w:color w:val="auto"/>
              </w:rPr>
            </w:pPr>
          </w:p>
        </w:tc>
        <w:tc>
          <w:tcPr>
            <w:tcW w:w="240" w:type="dxa"/>
            <w:vAlign w:val="bottom"/>
            <w:tcBorders>
              <w:bottom w:val="single" w:sz="8" w:color="F2F2F2"/>
            </w:tcBorders>
            <w:shd w:val="clear" w:color="auto" w:fill="F2F2F2"/>
          </w:tcPr>
          <w:p>
            <w:pPr>
              <w:spacing w:after="0"/>
              <w:rPr>
                <w:sz w:val="23"/>
                <w:szCs w:val="23"/>
                <w:color w:val="auto"/>
              </w:rPr>
            </w:pPr>
          </w:p>
        </w:tc>
        <w:tc>
          <w:tcPr>
            <w:tcW w:w="220" w:type="dxa"/>
            <w:vAlign w:val="bottom"/>
            <w:tcBorders>
              <w:bottom w:val="single" w:sz="8" w:color="F2F2F2"/>
            </w:tcBorders>
            <w:shd w:val="clear" w:color="auto" w:fill="F2F2F2"/>
          </w:tcPr>
          <w:p>
            <w:pPr>
              <w:spacing w:after="0"/>
              <w:rPr>
                <w:sz w:val="23"/>
                <w:szCs w:val="23"/>
                <w:color w:val="auto"/>
              </w:rPr>
            </w:pPr>
          </w:p>
        </w:tc>
        <w:tc>
          <w:tcPr>
            <w:tcW w:w="240" w:type="dxa"/>
            <w:vAlign w:val="bottom"/>
            <w:tcBorders>
              <w:bottom w:val="single" w:sz="8" w:color="F2F2F2"/>
            </w:tcBorders>
            <w:shd w:val="clear" w:color="auto" w:fill="F2F2F2"/>
          </w:tcPr>
          <w:p>
            <w:pPr>
              <w:spacing w:after="0"/>
              <w:rPr>
                <w:sz w:val="23"/>
                <w:szCs w:val="23"/>
                <w:color w:val="auto"/>
              </w:rPr>
            </w:pPr>
          </w:p>
        </w:tc>
        <w:tc>
          <w:tcPr>
            <w:tcW w:w="200" w:type="dxa"/>
            <w:vAlign w:val="bottom"/>
            <w:tcBorders>
              <w:bottom w:val="single" w:sz="8" w:color="F2F2F2"/>
            </w:tcBorders>
            <w:shd w:val="clear" w:color="auto" w:fill="F2F2F2"/>
          </w:tcPr>
          <w:p>
            <w:pPr>
              <w:spacing w:after="0"/>
              <w:rPr>
                <w:sz w:val="23"/>
                <w:szCs w:val="23"/>
                <w:color w:val="auto"/>
              </w:rPr>
            </w:pPr>
          </w:p>
        </w:tc>
        <w:tc>
          <w:tcPr>
            <w:tcW w:w="300" w:type="dxa"/>
            <w:vAlign w:val="bottom"/>
            <w:tcBorders>
              <w:bottom w:val="single" w:sz="8" w:color="F2F2F2"/>
            </w:tcBorders>
            <w:shd w:val="clear" w:color="auto" w:fill="F2F2F2"/>
          </w:tcPr>
          <w:p>
            <w:pPr>
              <w:spacing w:after="0"/>
              <w:rPr>
                <w:sz w:val="23"/>
                <w:szCs w:val="23"/>
                <w:color w:val="auto"/>
              </w:rPr>
            </w:pPr>
          </w:p>
        </w:tc>
        <w:tc>
          <w:tcPr>
            <w:tcW w:w="560" w:type="dxa"/>
            <w:vAlign w:val="bottom"/>
            <w:tcBorders>
              <w:bottom w:val="single" w:sz="8" w:color="F2F2F2"/>
            </w:tcBorders>
            <w:shd w:val="clear" w:color="auto" w:fill="F2F2F2"/>
          </w:tcPr>
          <w:p>
            <w:pPr>
              <w:spacing w:after="0"/>
              <w:rPr>
                <w:sz w:val="23"/>
                <w:szCs w:val="23"/>
                <w:color w:val="auto"/>
              </w:rPr>
            </w:pPr>
          </w:p>
        </w:tc>
        <w:tc>
          <w:tcPr>
            <w:tcW w:w="180" w:type="dxa"/>
            <w:vAlign w:val="bottom"/>
            <w:tcBorders>
              <w:bottom w:val="single" w:sz="8" w:color="F2F2F2"/>
            </w:tcBorders>
            <w:shd w:val="clear" w:color="auto" w:fill="F2F2F2"/>
          </w:tcPr>
          <w:p>
            <w:pPr>
              <w:spacing w:after="0"/>
              <w:rPr>
                <w:sz w:val="23"/>
                <w:szCs w:val="23"/>
                <w:color w:val="auto"/>
              </w:rPr>
            </w:pPr>
          </w:p>
        </w:tc>
        <w:tc>
          <w:tcPr>
            <w:tcW w:w="460" w:type="dxa"/>
            <w:vAlign w:val="bottom"/>
            <w:tcBorders>
              <w:bottom w:val="single" w:sz="8" w:color="F2F2F2"/>
            </w:tcBorders>
            <w:gridSpan w:val="2"/>
            <w:shd w:val="clear" w:color="auto" w:fill="F2F2F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F2F2F2"/>
            </w:tcBorders>
            <w:shd w:val="clear" w:color="auto" w:fill="F2F2F2"/>
          </w:tcPr>
          <w:p>
            <w:pPr>
              <w:spacing w:after="0"/>
              <w:rPr>
                <w:sz w:val="23"/>
                <w:szCs w:val="23"/>
                <w:color w:val="auto"/>
              </w:rPr>
            </w:pPr>
          </w:p>
        </w:tc>
        <w:tc>
          <w:tcPr>
            <w:tcW w:w="40" w:type="dxa"/>
            <w:vAlign w:val="bottom"/>
            <w:tcBorders>
              <w:bottom w:val="single" w:sz="8" w:color="F2F2F2"/>
            </w:tcBorders>
            <w:shd w:val="clear" w:color="auto" w:fill="F2F2F2"/>
          </w:tcPr>
          <w:p>
            <w:pPr>
              <w:spacing w:after="0"/>
              <w:rPr>
                <w:sz w:val="23"/>
                <w:szCs w:val="23"/>
                <w:color w:val="auto"/>
              </w:rPr>
            </w:pPr>
          </w:p>
        </w:tc>
        <w:tc>
          <w:tcPr>
            <w:tcW w:w="80" w:type="dxa"/>
            <w:vAlign w:val="bottom"/>
            <w:tcBorders>
              <w:bottom w:val="single" w:sz="8" w:color="F2F2F2"/>
            </w:tcBorders>
            <w:shd w:val="clear" w:color="auto" w:fill="F2F2F2"/>
          </w:tcPr>
          <w:p>
            <w:pPr>
              <w:spacing w:after="0"/>
              <w:rPr>
                <w:sz w:val="23"/>
                <w:szCs w:val="23"/>
                <w:color w:val="auto"/>
              </w:rPr>
            </w:pPr>
          </w:p>
        </w:tc>
        <w:tc>
          <w:tcPr>
            <w:tcW w:w="740" w:type="dxa"/>
            <w:vAlign w:val="bottom"/>
            <w:tcBorders>
              <w:bottom w:val="single" w:sz="8" w:color="F2F2F2"/>
            </w:tcBorders>
            <w:gridSpan w:val="2"/>
            <w:shd w:val="clear" w:color="auto" w:fill="F2F2F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F2F2F2"/>
            </w:tcBorders>
            <w:shd w:val="clear" w:color="auto" w:fill="F2F2F2"/>
          </w:tcPr>
          <w:p>
            <w:pPr>
              <w:spacing w:after="0"/>
              <w:rPr>
                <w:sz w:val="23"/>
                <w:szCs w:val="23"/>
                <w:color w:val="auto"/>
              </w:rPr>
            </w:pPr>
          </w:p>
        </w:tc>
        <w:tc>
          <w:tcPr>
            <w:tcW w:w="160" w:type="dxa"/>
            <w:vAlign w:val="bottom"/>
            <w:tcBorders>
              <w:bottom w:val="single" w:sz="8" w:color="F2F2F2"/>
            </w:tcBorders>
            <w:shd w:val="clear" w:color="auto" w:fill="F2F2F2"/>
          </w:tcPr>
          <w:p>
            <w:pPr>
              <w:spacing w:after="0"/>
              <w:rPr>
                <w:sz w:val="23"/>
                <w:szCs w:val="23"/>
                <w:color w:val="auto"/>
              </w:rPr>
            </w:pPr>
          </w:p>
        </w:tc>
        <w:tc>
          <w:tcPr>
            <w:tcW w:w="420" w:type="dxa"/>
            <w:vAlign w:val="bottom"/>
            <w:tcBorders>
              <w:bottom w:val="single" w:sz="8" w:color="F2F2F2"/>
            </w:tcBorders>
            <w:shd w:val="clear" w:color="auto" w:fill="F2F2F2"/>
          </w:tcPr>
          <w:p>
            <w:pPr>
              <w:spacing w:after="0"/>
              <w:rPr>
                <w:sz w:val="23"/>
                <w:szCs w:val="23"/>
                <w:color w:val="auto"/>
              </w:rPr>
            </w:pPr>
          </w:p>
        </w:tc>
        <w:tc>
          <w:tcPr>
            <w:tcW w:w="40" w:type="dxa"/>
            <w:vAlign w:val="bottom"/>
            <w:tcBorders>
              <w:bottom w:val="single" w:sz="8" w:color="F2F2F2"/>
            </w:tcBorders>
            <w:shd w:val="clear" w:color="auto" w:fill="F2F2F2"/>
          </w:tcPr>
          <w:p>
            <w:pPr>
              <w:spacing w:after="0"/>
              <w:rPr>
                <w:sz w:val="23"/>
                <w:szCs w:val="23"/>
                <w:color w:val="auto"/>
              </w:rPr>
            </w:pPr>
          </w:p>
        </w:tc>
        <w:tc>
          <w:tcPr>
            <w:tcW w:w="200" w:type="dxa"/>
            <w:vAlign w:val="bottom"/>
            <w:tcBorders>
              <w:bottom w:val="single" w:sz="8" w:color="F2F2F2"/>
            </w:tcBorders>
            <w:shd w:val="clear" w:color="auto" w:fill="F2F2F2"/>
          </w:tcPr>
          <w:p>
            <w:pPr>
              <w:spacing w:after="0"/>
              <w:rPr>
                <w:sz w:val="23"/>
                <w:szCs w:val="23"/>
                <w:color w:val="auto"/>
              </w:rPr>
            </w:pPr>
          </w:p>
        </w:tc>
        <w:tc>
          <w:tcPr>
            <w:tcW w:w="40" w:type="dxa"/>
            <w:vAlign w:val="bottom"/>
            <w:tcBorders>
              <w:bottom w:val="single" w:sz="8" w:color="F2F2F2"/>
            </w:tcBorders>
            <w:shd w:val="clear" w:color="auto" w:fill="F2F2F2"/>
          </w:tcPr>
          <w:p>
            <w:pPr>
              <w:spacing w:after="0"/>
              <w:rPr>
                <w:sz w:val="23"/>
                <w:szCs w:val="23"/>
                <w:color w:val="auto"/>
              </w:rPr>
            </w:pPr>
          </w:p>
        </w:tc>
        <w:tc>
          <w:tcPr>
            <w:tcW w:w="80" w:type="dxa"/>
            <w:vAlign w:val="bottom"/>
            <w:tcBorders>
              <w:bottom w:val="single" w:sz="8" w:color="F2F2F2"/>
            </w:tcBorders>
            <w:shd w:val="clear" w:color="auto" w:fill="F2F2F2"/>
          </w:tcPr>
          <w:p>
            <w:pPr>
              <w:spacing w:after="0"/>
              <w:rPr>
                <w:sz w:val="23"/>
                <w:szCs w:val="23"/>
                <w:color w:val="auto"/>
              </w:rPr>
            </w:pPr>
          </w:p>
        </w:tc>
        <w:tc>
          <w:tcPr>
            <w:tcW w:w="560" w:type="dxa"/>
            <w:vAlign w:val="bottom"/>
            <w:tcBorders>
              <w:bottom w:val="single" w:sz="8" w:color="F2F2F2"/>
            </w:tcBorders>
            <w:shd w:val="clear" w:color="auto" w:fill="F2F2F2"/>
          </w:tcPr>
          <w:p>
            <w:pPr>
              <w:spacing w:after="0"/>
              <w:rPr>
                <w:sz w:val="23"/>
                <w:szCs w:val="23"/>
                <w:color w:val="auto"/>
              </w:rPr>
            </w:pPr>
          </w:p>
        </w:tc>
        <w:tc>
          <w:tcPr>
            <w:tcW w:w="18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820" w:type="dxa"/>
            <w:vAlign w:val="bottom"/>
            <w:tcBorders>
              <w:top w:val="single" w:sz="8" w:color="7F7F7F"/>
            </w:tcBorders>
            <w:gridSpan w:val="3"/>
          </w:tcPr>
          <w:p>
            <w:pPr>
              <w:jc w:val="right"/>
              <w:spacing w:after="0"/>
              <w:rPr>
                <w:sz w:val="20"/>
                <w:szCs w:val="20"/>
                <w:color w:val="auto"/>
              </w:rPr>
            </w:pPr>
            <w:r>
              <w:rPr>
                <w:rFonts w:ascii="Arial" w:cs="Arial" w:eastAsia="Arial" w:hAnsi="Arial"/>
                <w:sz w:val="12"/>
                <w:szCs w:val="12"/>
                <w:color w:val="auto"/>
              </w:rPr>
              <w:t>01/02/25</w:t>
            </w:r>
          </w:p>
        </w:tc>
        <w:tc>
          <w:tcPr>
            <w:tcW w:w="200" w:type="dxa"/>
            <w:vAlign w:val="bottom"/>
            <w:tcBorders>
              <w:top w:val="single" w:sz="8" w:color="7F7F7F"/>
            </w:tcBorders>
          </w:tcPr>
          <w:p>
            <w:pPr>
              <w:spacing w:after="0"/>
              <w:rPr>
                <w:sz w:val="16"/>
                <w:szCs w:val="16"/>
                <w:color w:val="auto"/>
              </w:rPr>
            </w:pPr>
          </w:p>
        </w:tc>
        <w:tc>
          <w:tcPr>
            <w:tcW w:w="34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32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40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40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240" w:type="dxa"/>
            <w:vAlign w:val="bottom"/>
            <w:tcBorders>
              <w:top w:val="single" w:sz="8" w:color="7F7F7F"/>
            </w:tcBorders>
          </w:tcPr>
          <w:p>
            <w:pPr>
              <w:spacing w:after="0"/>
              <w:rPr>
                <w:sz w:val="16"/>
                <w:szCs w:val="16"/>
                <w:color w:val="auto"/>
              </w:rPr>
            </w:pPr>
          </w:p>
        </w:tc>
        <w:tc>
          <w:tcPr>
            <w:tcW w:w="220" w:type="dxa"/>
            <w:vAlign w:val="bottom"/>
            <w:tcBorders>
              <w:top w:val="single" w:sz="8" w:color="7F7F7F"/>
            </w:tcBorders>
          </w:tcPr>
          <w:p>
            <w:pPr>
              <w:spacing w:after="0"/>
              <w:rPr>
                <w:sz w:val="16"/>
                <w:szCs w:val="16"/>
                <w:color w:val="auto"/>
              </w:rPr>
            </w:pPr>
          </w:p>
        </w:tc>
        <w:tc>
          <w:tcPr>
            <w:tcW w:w="24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300" w:type="dxa"/>
            <w:vAlign w:val="bottom"/>
            <w:tcBorders>
              <w:top w:val="single" w:sz="8" w:color="7F7F7F"/>
            </w:tcBorders>
          </w:tcPr>
          <w:p>
            <w:pPr>
              <w:spacing w:after="0"/>
              <w:rPr>
                <w:sz w:val="16"/>
                <w:szCs w:val="16"/>
                <w:color w:val="auto"/>
              </w:rPr>
            </w:pPr>
          </w:p>
        </w:tc>
        <w:tc>
          <w:tcPr>
            <w:tcW w:w="560" w:type="dxa"/>
            <w:vAlign w:val="bottom"/>
            <w:tcBorders>
              <w:top w:val="single" w:sz="8" w:color="7F7F7F"/>
            </w:tcBorders>
          </w:tcPr>
          <w:p>
            <w:pPr>
              <w:spacing w:after="0"/>
              <w:rPr>
                <w:sz w:val="16"/>
                <w:szCs w:val="16"/>
                <w:color w:val="auto"/>
              </w:rPr>
            </w:pPr>
          </w:p>
        </w:tc>
        <w:tc>
          <w:tcPr>
            <w:tcW w:w="640" w:type="dxa"/>
            <w:vAlign w:val="bottom"/>
            <w:tcBorders>
              <w:top w:val="single" w:sz="8" w:color="7F7F7F"/>
            </w:tcBorders>
            <w:gridSpan w:val="3"/>
          </w:tcPr>
          <w:p>
            <w:pPr>
              <w:jc w:val="right"/>
              <w:ind w:right="40"/>
              <w:spacing w:after="0"/>
              <w:rPr>
                <w:sz w:val="20"/>
                <w:szCs w:val="20"/>
                <w:color w:val="auto"/>
              </w:rPr>
            </w:pPr>
            <w:r>
              <w:rPr>
                <w:rFonts w:ascii="Arial" w:cs="Arial" w:eastAsia="Arial" w:hAnsi="Arial"/>
                <w:sz w:val="12"/>
                <w:szCs w:val="12"/>
                <w:color w:val="auto"/>
              </w:rPr>
              <w:t>1,717</w:t>
            </w:r>
          </w:p>
        </w:tc>
        <w:tc>
          <w:tcPr>
            <w:tcW w:w="320" w:type="dxa"/>
            <w:vAlign w:val="bottom"/>
            <w:tcBorders>
              <w:top w:val="single" w:sz="8" w:color="7F7F7F"/>
            </w:tcBorders>
            <w:gridSpan w:val="3"/>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tcBorders>
            <w:gridSpan w:val="2"/>
          </w:tcPr>
          <w:p>
            <w:pPr>
              <w:jc w:val="right"/>
              <w:ind w:right="180"/>
              <w:spacing w:after="0"/>
              <w:rPr>
                <w:sz w:val="20"/>
                <w:szCs w:val="20"/>
                <w:color w:val="auto"/>
              </w:rPr>
            </w:pPr>
            <w:r>
              <w:rPr>
                <w:rFonts w:ascii="Arial" w:cs="Arial" w:eastAsia="Arial" w:hAnsi="Arial"/>
                <w:sz w:val="12"/>
                <w:szCs w:val="12"/>
                <w:color w:val="auto"/>
              </w:rPr>
              <w:t>151,555</w:t>
            </w:r>
          </w:p>
        </w:tc>
        <w:tc>
          <w:tcPr>
            <w:tcW w:w="200" w:type="dxa"/>
            <w:vAlign w:val="bottom"/>
            <w:tcBorders>
              <w:top w:val="single" w:sz="8" w:color="7F7F7F"/>
            </w:tcBorders>
          </w:tcPr>
          <w:p>
            <w:pPr>
              <w:spacing w:after="0"/>
              <w:rPr>
                <w:sz w:val="16"/>
                <w:szCs w:val="16"/>
                <w:color w:val="auto"/>
              </w:rPr>
            </w:pPr>
          </w:p>
        </w:tc>
        <w:tc>
          <w:tcPr>
            <w:tcW w:w="160" w:type="dxa"/>
            <w:vAlign w:val="bottom"/>
            <w:tcBorders>
              <w:top w:val="single" w:sz="8" w:color="7F7F7F"/>
            </w:tcBorders>
          </w:tcPr>
          <w:p>
            <w:pPr>
              <w:spacing w:after="0"/>
              <w:rPr>
                <w:sz w:val="16"/>
                <w:szCs w:val="16"/>
                <w:color w:val="auto"/>
              </w:rPr>
            </w:pPr>
          </w:p>
        </w:tc>
        <w:tc>
          <w:tcPr>
            <w:tcW w:w="420" w:type="dxa"/>
            <w:vAlign w:val="bottom"/>
            <w:tcBorders>
              <w:top w:val="single" w:sz="8" w:color="7F7F7F"/>
            </w:tcBorders>
          </w:tcPr>
          <w:p>
            <w:pPr>
              <w:spacing w:after="0"/>
              <w:rPr>
                <w:sz w:val="16"/>
                <w:szCs w:val="16"/>
                <w:color w:val="auto"/>
              </w:rPr>
            </w:pPr>
          </w:p>
        </w:tc>
        <w:tc>
          <w:tcPr>
            <w:tcW w:w="4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40" w:type="dxa"/>
            <w:vAlign w:val="bottom"/>
            <w:tcBorders>
              <w:top w:val="single" w:sz="8" w:color="7F7F7F"/>
            </w:tcBorders>
          </w:tcPr>
          <w:p>
            <w:pPr>
              <w:spacing w:after="0"/>
              <w:rPr>
                <w:sz w:val="16"/>
                <w:szCs w:val="16"/>
                <w:color w:val="auto"/>
              </w:rPr>
            </w:pPr>
          </w:p>
        </w:tc>
        <w:tc>
          <w:tcPr>
            <w:tcW w:w="80" w:type="dxa"/>
            <w:vAlign w:val="bottom"/>
            <w:tcBorders>
              <w:top w:val="single" w:sz="8" w:color="7F7F7F"/>
            </w:tcBorders>
          </w:tcPr>
          <w:p>
            <w:pPr>
              <w:spacing w:after="0"/>
              <w:rPr>
                <w:sz w:val="16"/>
                <w:szCs w:val="16"/>
                <w:color w:val="auto"/>
              </w:rPr>
            </w:pPr>
          </w:p>
        </w:tc>
        <w:tc>
          <w:tcPr>
            <w:tcW w:w="56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820" w:type="dxa"/>
            <w:vAlign w:val="bottom"/>
            <w:tcBorders>
              <w:bottom w:val="single" w:sz="8" w:color="F2F2F2"/>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01/02/25</w:t>
            </w:r>
          </w:p>
        </w:tc>
        <w:tc>
          <w:tcPr>
            <w:tcW w:w="200" w:type="dxa"/>
            <w:vAlign w:val="bottom"/>
            <w:tcBorders>
              <w:bottom w:val="single" w:sz="8" w:color="F2F2F2"/>
            </w:tcBorders>
            <w:shd w:val="clear" w:color="auto" w:fill="F2F2F2"/>
          </w:tcPr>
          <w:p>
            <w:pPr>
              <w:spacing w:after="0"/>
              <w:rPr>
                <w:sz w:val="21"/>
                <w:szCs w:val="21"/>
                <w:color w:val="auto"/>
              </w:rPr>
            </w:pPr>
          </w:p>
        </w:tc>
        <w:tc>
          <w:tcPr>
            <w:tcW w:w="34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32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30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640" w:type="dxa"/>
            <w:vAlign w:val="bottom"/>
            <w:tcBorders>
              <w:bottom w:val="single" w:sz="8" w:color="F2F2F2"/>
            </w:tcBorders>
            <w:gridSpan w:val="3"/>
            <w:shd w:val="clear" w:color="auto" w:fill="F2F2F2"/>
          </w:tcPr>
          <w:p>
            <w:pPr>
              <w:jc w:val="right"/>
              <w:ind w:right="40"/>
              <w:spacing w:after="0"/>
              <w:rPr>
                <w:sz w:val="20"/>
                <w:szCs w:val="20"/>
                <w:color w:val="auto"/>
              </w:rPr>
            </w:pPr>
            <w:r>
              <w:rPr>
                <w:rFonts w:ascii="Arial" w:cs="Arial" w:eastAsia="Arial" w:hAnsi="Arial"/>
                <w:sz w:val="12"/>
                <w:szCs w:val="12"/>
                <w:color w:val="auto"/>
              </w:rPr>
              <w:t>6,457</w:t>
            </w:r>
          </w:p>
        </w:tc>
        <w:tc>
          <w:tcPr>
            <w:tcW w:w="320" w:type="dxa"/>
            <w:vAlign w:val="bottom"/>
            <w:tcBorders>
              <w:bottom w:val="single" w:sz="8" w:color="F2F2F2"/>
            </w:tcBorders>
            <w:gridSpan w:val="3"/>
            <w:shd w:val="clear" w:color="auto" w:fill="F2F2F2"/>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F2F2F2"/>
            </w:tcBorders>
            <w:gridSpan w:val="2"/>
            <w:shd w:val="clear" w:color="auto" w:fill="F2F2F2"/>
          </w:tcPr>
          <w:p>
            <w:pPr>
              <w:jc w:val="right"/>
              <w:ind w:right="180"/>
              <w:spacing w:after="0"/>
              <w:rPr>
                <w:sz w:val="20"/>
                <w:szCs w:val="20"/>
                <w:color w:val="auto"/>
              </w:rPr>
            </w:pPr>
            <w:r>
              <w:rPr>
                <w:rFonts w:ascii="Arial" w:cs="Arial" w:eastAsia="Arial" w:hAnsi="Arial"/>
                <w:sz w:val="12"/>
                <w:szCs w:val="12"/>
                <w:color w:val="auto"/>
              </w:rPr>
              <w:t>570,094</w:t>
            </w:r>
          </w:p>
        </w:tc>
        <w:tc>
          <w:tcPr>
            <w:tcW w:w="200" w:type="dxa"/>
            <w:vAlign w:val="bottom"/>
            <w:tcBorders>
              <w:bottom w:val="single" w:sz="8" w:color="F2F2F2"/>
            </w:tcBorders>
            <w:shd w:val="clear" w:color="auto" w:fill="F2F2F2"/>
          </w:tcPr>
          <w:p>
            <w:pPr>
              <w:spacing w:after="0"/>
              <w:rPr>
                <w:sz w:val="21"/>
                <w:szCs w:val="21"/>
                <w:color w:val="auto"/>
              </w:rPr>
            </w:pPr>
          </w:p>
        </w:tc>
        <w:tc>
          <w:tcPr>
            <w:tcW w:w="160" w:type="dxa"/>
            <w:vAlign w:val="bottom"/>
            <w:tcBorders>
              <w:bottom w:val="single" w:sz="8" w:color="F2F2F2"/>
            </w:tcBorders>
            <w:shd w:val="clear" w:color="auto" w:fill="F2F2F2"/>
          </w:tcPr>
          <w:p>
            <w:pPr>
              <w:spacing w:after="0"/>
              <w:rPr>
                <w:sz w:val="21"/>
                <w:szCs w:val="21"/>
                <w:color w:val="auto"/>
              </w:rPr>
            </w:pPr>
          </w:p>
        </w:tc>
        <w:tc>
          <w:tcPr>
            <w:tcW w:w="42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top w:val="single" w:sz="8" w:color="7F7F7F"/>
              <w:bottom w:val="single" w:sz="8" w:color="7F7F7F"/>
            </w:tcBorders>
            <w:gridSpan w:val="3"/>
          </w:tcPr>
          <w:p>
            <w:pPr>
              <w:jc w:val="right"/>
              <w:spacing w:after="0"/>
              <w:rPr>
                <w:sz w:val="20"/>
                <w:szCs w:val="20"/>
                <w:color w:val="auto"/>
              </w:rPr>
            </w:pPr>
            <w:r>
              <w:rPr>
                <w:rFonts w:ascii="Arial" w:cs="Arial" w:eastAsia="Arial" w:hAnsi="Arial"/>
                <w:sz w:val="12"/>
                <w:szCs w:val="12"/>
                <w:color w:val="auto"/>
              </w:rPr>
              <w:t>01/02/25</w:t>
            </w:r>
          </w:p>
        </w:tc>
        <w:tc>
          <w:tcPr>
            <w:tcW w:w="200" w:type="dxa"/>
            <w:vAlign w:val="bottom"/>
            <w:tcBorders>
              <w:top w:val="single" w:sz="8" w:color="7F7F7F"/>
              <w:bottom w:val="single" w:sz="8" w:color="7F7F7F"/>
            </w:tcBorders>
          </w:tcPr>
          <w:p>
            <w:pPr>
              <w:spacing w:after="0"/>
              <w:rPr>
                <w:sz w:val="21"/>
                <w:szCs w:val="21"/>
                <w:color w:val="auto"/>
              </w:rPr>
            </w:pPr>
          </w:p>
        </w:tc>
        <w:tc>
          <w:tcPr>
            <w:tcW w:w="34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32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240" w:type="dxa"/>
            <w:vAlign w:val="bottom"/>
            <w:tcBorders>
              <w:top w:val="single" w:sz="8" w:color="7F7F7F"/>
              <w:bottom w:val="single" w:sz="8" w:color="7F7F7F"/>
            </w:tcBorders>
          </w:tcPr>
          <w:p>
            <w:pPr>
              <w:spacing w:after="0"/>
              <w:rPr>
                <w:sz w:val="21"/>
                <w:szCs w:val="21"/>
                <w:color w:val="auto"/>
              </w:rPr>
            </w:pPr>
          </w:p>
        </w:tc>
        <w:tc>
          <w:tcPr>
            <w:tcW w:w="220" w:type="dxa"/>
            <w:vAlign w:val="bottom"/>
            <w:tcBorders>
              <w:top w:val="single" w:sz="8" w:color="7F7F7F"/>
              <w:bottom w:val="single" w:sz="8" w:color="7F7F7F"/>
            </w:tcBorders>
          </w:tcPr>
          <w:p>
            <w:pPr>
              <w:spacing w:after="0"/>
              <w:rPr>
                <w:sz w:val="21"/>
                <w:szCs w:val="21"/>
                <w:color w:val="auto"/>
              </w:rPr>
            </w:pPr>
          </w:p>
        </w:tc>
        <w:tc>
          <w:tcPr>
            <w:tcW w:w="24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300" w:type="dxa"/>
            <w:vAlign w:val="bottom"/>
            <w:tcBorders>
              <w:top w:val="single" w:sz="8" w:color="7F7F7F"/>
              <w:bottom w:val="single" w:sz="8" w:color="7F7F7F"/>
            </w:tcBorders>
          </w:tcPr>
          <w:p>
            <w:pPr>
              <w:spacing w:after="0"/>
              <w:rPr>
                <w:sz w:val="21"/>
                <w:szCs w:val="21"/>
                <w:color w:val="auto"/>
              </w:rPr>
            </w:pPr>
          </w:p>
        </w:tc>
        <w:tc>
          <w:tcPr>
            <w:tcW w:w="56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420" w:type="dxa"/>
            <w:vAlign w:val="bottom"/>
            <w:tcBorders>
              <w:top w:val="single" w:sz="8" w:color="7F7F7F"/>
              <w:bottom w:val="single" w:sz="8" w:color="7F7F7F"/>
            </w:tcBorders>
          </w:tcPr>
          <w:p>
            <w:pPr>
              <w:spacing w:after="0"/>
              <w:rPr>
                <w:sz w:val="21"/>
                <w:szCs w:val="21"/>
                <w:color w:val="auto"/>
              </w:rPr>
            </w:pPr>
          </w:p>
        </w:tc>
        <w:tc>
          <w:tcPr>
            <w:tcW w:w="4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40" w:type="dxa"/>
            <w:vAlign w:val="bottom"/>
            <w:tcBorders>
              <w:top w:val="single" w:sz="8" w:color="7F7F7F"/>
              <w:bottom w:val="single" w:sz="8" w:color="7F7F7F"/>
            </w:tcBorders>
          </w:tcPr>
          <w:p>
            <w:pPr>
              <w:spacing w:after="0"/>
              <w:rPr>
                <w:sz w:val="21"/>
                <w:szCs w:val="21"/>
                <w:color w:val="auto"/>
              </w:rPr>
            </w:pPr>
          </w:p>
        </w:tc>
        <w:tc>
          <w:tcPr>
            <w:tcW w:w="80" w:type="dxa"/>
            <w:vAlign w:val="bottom"/>
            <w:tcBorders>
              <w:top w:val="single" w:sz="8" w:color="7F7F7F"/>
              <w:bottom w:val="single" w:sz="8" w:color="7F7F7F"/>
            </w:tcBorders>
          </w:tcPr>
          <w:p>
            <w:pPr>
              <w:spacing w:after="0"/>
              <w:rPr>
                <w:sz w:val="21"/>
                <w:szCs w:val="21"/>
                <w:color w:val="auto"/>
              </w:rPr>
            </w:pPr>
          </w:p>
        </w:tc>
        <w:tc>
          <w:tcPr>
            <w:tcW w:w="56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820" w:type="dxa"/>
            <w:vAlign w:val="bottom"/>
            <w:tcBorders>
              <w:top w:val="single" w:sz="8" w:color="7F7F7F"/>
              <w:bottom w:val="single" w:sz="8" w:color="7F7F7F"/>
            </w:tcBorders>
            <w:gridSpan w:val="4"/>
          </w:tcPr>
          <w:p>
            <w:pPr>
              <w:jc w:val="right"/>
              <w:ind w:right="40"/>
              <w:spacing w:after="0"/>
              <w:rPr>
                <w:sz w:val="20"/>
                <w:szCs w:val="20"/>
                <w:color w:val="auto"/>
              </w:rPr>
            </w:pPr>
            <w:r>
              <w:rPr>
                <w:rFonts w:ascii="Arial" w:cs="Arial" w:eastAsia="Arial" w:hAnsi="Arial"/>
                <w:sz w:val="12"/>
                <w:szCs w:val="12"/>
                <w:color w:val="auto"/>
              </w:rPr>
              <w:t>6,457</w:t>
            </w:r>
          </w:p>
        </w:tc>
        <w:tc>
          <w:tcPr>
            <w:tcW w:w="320" w:type="dxa"/>
            <w:vAlign w:val="bottom"/>
            <w:tcBorders>
              <w:top w:val="single" w:sz="8" w:color="7F7F7F"/>
              <w:bottom w:val="single" w:sz="8" w:color="7F7F7F"/>
            </w:tcBorders>
            <w:gridSpan w:val="3"/>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bottom w:val="single" w:sz="8" w:color="7F7F7F"/>
            </w:tcBorders>
            <w:gridSpan w:val="2"/>
          </w:tcPr>
          <w:p>
            <w:pPr>
              <w:ind w:left="120"/>
              <w:spacing w:after="0"/>
              <w:rPr>
                <w:sz w:val="20"/>
                <w:szCs w:val="20"/>
                <w:color w:val="auto"/>
              </w:rPr>
            </w:pPr>
            <w:r>
              <w:rPr>
                <w:rFonts w:ascii="Arial" w:cs="Arial" w:eastAsia="Arial" w:hAnsi="Arial"/>
                <w:sz w:val="12"/>
                <w:szCs w:val="12"/>
                <w:color w:val="auto"/>
                <w:w w:val="99"/>
              </w:rPr>
              <w:t>570,094</w:t>
            </w:r>
            <w:r>
              <w:rPr>
                <w:rFonts w:ascii="Arial" w:cs="Arial" w:eastAsia="Arial" w:hAnsi="Arial"/>
                <w:sz w:val="18"/>
                <w:szCs w:val="18"/>
                <w:color w:val="auto"/>
                <w:w w:val="99"/>
                <w:vertAlign w:val="superscript"/>
              </w:rPr>
              <w:t>(H)</w:t>
            </w: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bottom w:val="single" w:sz="8" w:color="7F7F7F"/>
            </w:tcBorders>
            <w:gridSpan w:val="3"/>
            <w:shd w:val="clear" w:color="auto" w:fill="F2F2F2"/>
          </w:tcPr>
          <w:p>
            <w:pPr>
              <w:jc w:val="right"/>
              <w:spacing w:after="0"/>
              <w:rPr>
                <w:sz w:val="20"/>
                <w:szCs w:val="20"/>
                <w:color w:val="auto"/>
              </w:rPr>
            </w:pPr>
            <w:r>
              <w:rPr>
                <w:rFonts w:ascii="Arial" w:cs="Arial" w:eastAsia="Arial" w:hAnsi="Arial"/>
                <w:sz w:val="12"/>
                <w:szCs w:val="12"/>
                <w:color w:val="auto"/>
              </w:rPr>
              <w:t>10/01/24</w:t>
            </w:r>
          </w:p>
        </w:tc>
        <w:tc>
          <w:tcPr>
            <w:tcW w:w="200" w:type="dxa"/>
            <w:vAlign w:val="bottom"/>
            <w:tcBorders>
              <w:bottom w:val="single" w:sz="8" w:color="7F7F7F"/>
            </w:tcBorders>
            <w:shd w:val="clear" w:color="auto" w:fill="F2F2F2"/>
          </w:tcPr>
          <w:p>
            <w:pPr>
              <w:spacing w:after="0"/>
              <w:rPr>
                <w:sz w:val="21"/>
                <w:szCs w:val="21"/>
                <w:color w:val="auto"/>
              </w:rPr>
            </w:pPr>
          </w:p>
        </w:tc>
        <w:tc>
          <w:tcPr>
            <w:tcW w:w="34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32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2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30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42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8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820" w:type="dxa"/>
            <w:vAlign w:val="bottom"/>
            <w:tcBorders>
              <w:bottom w:val="single" w:sz="8" w:color="7F7F7F"/>
            </w:tcBorders>
            <w:gridSpan w:val="4"/>
            <w:shd w:val="clear" w:color="auto" w:fill="F2F2F2"/>
          </w:tcPr>
          <w:p>
            <w:pPr>
              <w:jc w:val="right"/>
              <w:ind w:right="40"/>
              <w:spacing w:after="0"/>
              <w:rPr>
                <w:sz w:val="20"/>
                <w:szCs w:val="20"/>
                <w:color w:val="auto"/>
              </w:rPr>
            </w:pPr>
            <w:r>
              <w:rPr>
                <w:rFonts w:ascii="Arial" w:cs="Arial" w:eastAsia="Arial" w:hAnsi="Arial"/>
                <w:sz w:val="12"/>
                <w:szCs w:val="12"/>
                <w:color w:val="auto"/>
              </w:rPr>
              <w:t>7,384</w:t>
            </w:r>
          </w:p>
        </w:tc>
        <w:tc>
          <w:tcPr>
            <w:tcW w:w="320" w:type="dxa"/>
            <w:vAlign w:val="bottom"/>
            <w:tcBorders>
              <w:bottom w:val="single" w:sz="8" w:color="7F7F7F"/>
            </w:tcBorders>
            <w:gridSpan w:val="3"/>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gridSpan w:val="2"/>
            <w:shd w:val="clear" w:color="auto" w:fill="F2F2F2"/>
          </w:tcPr>
          <w:p>
            <w:pPr>
              <w:ind w:left="120"/>
              <w:spacing w:after="0"/>
              <w:rPr>
                <w:sz w:val="20"/>
                <w:szCs w:val="20"/>
                <w:color w:val="auto"/>
              </w:rPr>
            </w:pPr>
            <w:r>
              <w:rPr>
                <w:rFonts w:ascii="Arial" w:cs="Arial" w:eastAsia="Arial" w:hAnsi="Arial"/>
                <w:sz w:val="12"/>
                <w:szCs w:val="12"/>
                <w:color w:val="auto"/>
              </w:rPr>
              <w:t>651,961</w:t>
            </w:r>
            <w:r>
              <w:rPr>
                <w:rFonts w:ascii="Arial" w:cs="Arial" w:eastAsia="Arial" w:hAnsi="Arial"/>
                <w:sz w:val="18"/>
                <w:szCs w:val="18"/>
                <w:color w:val="auto"/>
                <w:vertAlign w:val="superscript"/>
              </w:rPr>
              <w:t>(K)</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01/02/24</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820" w:type="dxa"/>
            <w:vAlign w:val="bottom"/>
            <w:tcBorders>
              <w:bottom w:val="single" w:sz="8" w:color="F2F2F2"/>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01/02/24</w:t>
            </w:r>
          </w:p>
        </w:tc>
        <w:tc>
          <w:tcPr>
            <w:tcW w:w="200" w:type="dxa"/>
            <w:vAlign w:val="bottom"/>
            <w:tcBorders>
              <w:bottom w:val="single" w:sz="8" w:color="F2F2F2"/>
            </w:tcBorders>
            <w:shd w:val="clear" w:color="auto" w:fill="F2F2F2"/>
          </w:tcPr>
          <w:p>
            <w:pPr>
              <w:spacing w:after="0"/>
              <w:rPr>
                <w:sz w:val="21"/>
                <w:szCs w:val="21"/>
                <w:color w:val="auto"/>
              </w:rPr>
            </w:pPr>
          </w:p>
        </w:tc>
        <w:tc>
          <w:tcPr>
            <w:tcW w:w="34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32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30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640" w:type="dxa"/>
            <w:vAlign w:val="bottom"/>
            <w:tcBorders>
              <w:bottom w:val="single" w:sz="8" w:color="F2F2F2"/>
            </w:tcBorders>
            <w:gridSpan w:val="3"/>
            <w:shd w:val="clear" w:color="auto" w:fill="F2F2F2"/>
          </w:tcPr>
          <w:p>
            <w:pPr>
              <w:jc w:val="right"/>
              <w:ind w:right="40"/>
              <w:spacing w:after="0"/>
              <w:rPr>
                <w:sz w:val="20"/>
                <w:szCs w:val="20"/>
                <w:color w:val="auto"/>
              </w:rPr>
            </w:pPr>
            <w:r>
              <w:rPr>
                <w:rFonts w:ascii="Arial" w:cs="Arial" w:eastAsia="Arial" w:hAnsi="Arial"/>
                <w:sz w:val="12"/>
                <w:szCs w:val="12"/>
                <w:color w:val="auto"/>
              </w:rPr>
              <w:t>2,508</w:t>
            </w:r>
          </w:p>
        </w:tc>
        <w:tc>
          <w:tcPr>
            <w:tcW w:w="320" w:type="dxa"/>
            <w:vAlign w:val="bottom"/>
            <w:tcBorders>
              <w:bottom w:val="single" w:sz="8" w:color="F2F2F2"/>
            </w:tcBorders>
            <w:gridSpan w:val="3"/>
            <w:shd w:val="clear" w:color="auto" w:fill="F2F2F2"/>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F2F2F2"/>
            </w:tcBorders>
            <w:gridSpan w:val="2"/>
            <w:shd w:val="clear" w:color="auto" w:fill="F2F2F2"/>
          </w:tcPr>
          <w:p>
            <w:pPr>
              <w:jc w:val="right"/>
              <w:ind w:right="180"/>
              <w:spacing w:after="0"/>
              <w:rPr>
                <w:sz w:val="20"/>
                <w:szCs w:val="20"/>
                <w:color w:val="auto"/>
              </w:rPr>
            </w:pPr>
            <w:r>
              <w:rPr>
                <w:rFonts w:ascii="Arial" w:cs="Arial" w:eastAsia="Arial" w:hAnsi="Arial"/>
                <w:sz w:val="12"/>
                <w:szCs w:val="12"/>
                <w:color w:val="auto"/>
              </w:rPr>
              <w:t>221,432</w:t>
            </w:r>
          </w:p>
        </w:tc>
        <w:tc>
          <w:tcPr>
            <w:tcW w:w="200" w:type="dxa"/>
            <w:vAlign w:val="bottom"/>
            <w:tcBorders>
              <w:bottom w:val="single" w:sz="8" w:color="F2F2F2"/>
            </w:tcBorders>
            <w:shd w:val="clear" w:color="auto" w:fill="F2F2F2"/>
          </w:tcPr>
          <w:p>
            <w:pPr>
              <w:spacing w:after="0"/>
              <w:rPr>
                <w:sz w:val="21"/>
                <w:szCs w:val="21"/>
                <w:color w:val="auto"/>
              </w:rPr>
            </w:pPr>
          </w:p>
        </w:tc>
        <w:tc>
          <w:tcPr>
            <w:tcW w:w="160" w:type="dxa"/>
            <w:vAlign w:val="bottom"/>
            <w:tcBorders>
              <w:bottom w:val="single" w:sz="8" w:color="F2F2F2"/>
            </w:tcBorders>
            <w:shd w:val="clear" w:color="auto" w:fill="F2F2F2"/>
          </w:tcPr>
          <w:p>
            <w:pPr>
              <w:spacing w:after="0"/>
              <w:rPr>
                <w:sz w:val="21"/>
                <w:szCs w:val="21"/>
                <w:color w:val="auto"/>
              </w:rPr>
            </w:pPr>
          </w:p>
        </w:tc>
        <w:tc>
          <w:tcPr>
            <w:tcW w:w="42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820" w:type="dxa"/>
            <w:vAlign w:val="bottom"/>
            <w:tcBorders>
              <w:top w:val="single" w:sz="8" w:color="7F7F7F"/>
            </w:tcBorders>
            <w:gridSpan w:val="3"/>
          </w:tcPr>
          <w:p>
            <w:pPr>
              <w:jc w:val="right"/>
              <w:spacing w:after="0"/>
              <w:rPr>
                <w:sz w:val="20"/>
                <w:szCs w:val="20"/>
                <w:color w:val="auto"/>
              </w:rPr>
            </w:pPr>
            <w:r>
              <w:rPr>
                <w:rFonts w:ascii="Arial" w:cs="Arial" w:eastAsia="Arial" w:hAnsi="Arial"/>
                <w:sz w:val="12"/>
                <w:szCs w:val="12"/>
                <w:color w:val="auto"/>
              </w:rPr>
              <w:t>01/02/24</w:t>
            </w:r>
          </w:p>
        </w:tc>
        <w:tc>
          <w:tcPr>
            <w:tcW w:w="200" w:type="dxa"/>
            <w:vAlign w:val="bottom"/>
            <w:tcBorders>
              <w:top w:val="single" w:sz="8" w:color="7F7F7F"/>
            </w:tcBorders>
          </w:tcPr>
          <w:p>
            <w:pPr>
              <w:spacing w:after="0"/>
              <w:rPr>
                <w:sz w:val="16"/>
                <w:szCs w:val="16"/>
                <w:color w:val="auto"/>
              </w:rPr>
            </w:pPr>
          </w:p>
        </w:tc>
        <w:tc>
          <w:tcPr>
            <w:tcW w:w="34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32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40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40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240" w:type="dxa"/>
            <w:vAlign w:val="bottom"/>
            <w:tcBorders>
              <w:top w:val="single" w:sz="8" w:color="7F7F7F"/>
            </w:tcBorders>
          </w:tcPr>
          <w:p>
            <w:pPr>
              <w:spacing w:after="0"/>
              <w:rPr>
                <w:sz w:val="16"/>
                <w:szCs w:val="16"/>
                <w:color w:val="auto"/>
              </w:rPr>
            </w:pPr>
          </w:p>
        </w:tc>
        <w:tc>
          <w:tcPr>
            <w:tcW w:w="220" w:type="dxa"/>
            <w:vAlign w:val="bottom"/>
            <w:tcBorders>
              <w:top w:val="single" w:sz="8" w:color="7F7F7F"/>
            </w:tcBorders>
          </w:tcPr>
          <w:p>
            <w:pPr>
              <w:spacing w:after="0"/>
              <w:rPr>
                <w:sz w:val="16"/>
                <w:szCs w:val="16"/>
                <w:color w:val="auto"/>
              </w:rPr>
            </w:pPr>
          </w:p>
        </w:tc>
        <w:tc>
          <w:tcPr>
            <w:tcW w:w="24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300" w:type="dxa"/>
            <w:vAlign w:val="bottom"/>
            <w:tcBorders>
              <w:top w:val="single" w:sz="8" w:color="7F7F7F"/>
            </w:tcBorders>
          </w:tcPr>
          <w:p>
            <w:pPr>
              <w:spacing w:after="0"/>
              <w:rPr>
                <w:sz w:val="16"/>
                <w:szCs w:val="16"/>
                <w:color w:val="auto"/>
              </w:rPr>
            </w:pPr>
          </w:p>
        </w:tc>
        <w:tc>
          <w:tcPr>
            <w:tcW w:w="560" w:type="dxa"/>
            <w:vAlign w:val="bottom"/>
            <w:tcBorders>
              <w:top w:val="single" w:sz="8" w:color="7F7F7F"/>
            </w:tcBorders>
          </w:tcPr>
          <w:p>
            <w:pPr>
              <w:spacing w:after="0"/>
              <w:rPr>
                <w:sz w:val="16"/>
                <w:szCs w:val="16"/>
                <w:color w:val="auto"/>
              </w:rPr>
            </w:pPr>
          </w:p>
        </w:tc>
        <w:tc>
          <w:tcPr>
            <w:tcW w:w="640" w:type="dxa"/>
            <w:vAlign w:val="bottom"/>
            <w:tcBorders>
              <w:top w:val="single" w:sz="8" w:color="7F7F7F"/>
            </w:tcBorders>
            <w:gridSpan w:val="3"/>
          </w:tcPr>
          <w:p>
            <w:pPr>
              <w:jc w:val="right"/>
              <w:ind w:right="40"/>
              <w:spacing w:after="0"/>
              <w:rPr>
                <w:sz w:val="20"/>
                <w:szCs w:val="20"/>
                <w:color w:val="auto"/>
              </w:rPr>
            </w:pPr>
            <w:r>
              <w:rPr>
                <w:rFonts w:ascii="Arial" w:cs="Arial" w:eastAsia="Arial" w:hAnsi="Arial"/>
                <w:sz w:val="12"/>
                <w:szCs w:val="12"/>
                <w:color w:val="auto"/>
              </w:rPr>
              <w:t>7,349</w:t>
            </w:r>
          </w:p>
        </w:tc>
        <w:tc>
          <w:tcPr>
            <w:tcW w:w="320" w:type="dxa"/>
            <w:vAlign w:val="bottom"/>
            <w:tcBorders>
              <w:top w:val="single" w:sz="8" w:color="7F7F7F"/>
            </w:tcBorders>
            <w:gridSpan w:val="3"/>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tcBorders>
            <w:gridSpan w:val="2"/>
          </w:tcPr>
          <w:p>
            <w:pPr>
              <w:jc w:val="right"/>
              <w:ind w:right="180"/>
              <w:spacing w:after="0"/>
              <w:rPr>
                <w:sz w:val="20"/>
                <w:szCs w:val="20"/>
                <w:color w:val="auto"/>
              </w:rPr>
            </w:pPr>
            <w:r>
              <w:rPr>
                <w:rFonts w:ascii="Arial" w:cs="Arial" w:eastAsia="Arial" w:hAnsi="Arial"/>
                <w:sz w:val="12"/>
                <w:szCs w:val="12"/>
                <w:color w:val="auto"/>
              </w:rPr>
              <w:t>648,854</w:t>
            </w:r>
          </w:p>
        </w:tc>
        <w:tc>
          <w:tcPr>
            <w:tcW w:w="200" w:type="dxa"/>
            <w:vAlign w:val="bottom"/>
            <w:tcBorders>
              <w:top w:val="single" w:sz="8" w:color="7F7F7F"/>
            </w:tcBorders>
          </w:tcPr>
          <w:p>
            <w:pPr>
              <w:spacing w:after="0"/>
              <w:rPr>
                <w:sz w:val="16"/>
                <w:szCs w:val="16"/>
                <w:color w:val="auto"/>
              </w:rPr>
            </w:pPr>
          </w:p>
        </w:tc>
        <w:tc>
          <w:tcPr>
            <w:tcW w:w="160" w:type="dxa"/>
            <w:vAlign w:val="bottom"/>
            <w:tcBorders>
              <w:top w:val="single" w:sz="8" w:color="7F7F7F"/>
            </w:tcBorders>
          </w:tcPr>
          <w:p>
            <w:pPr>
              <w:spacing w:after="0"/>
              <w:rPr>
                <w:sz w:val="16"/>
                <w:szCs w:val="16"/>
                <w:color w:val="auto"/>
              </w:rPr>
            </w:pPr>
          </w:p>
        </w:tc>
        <w:tc>
          <w:tcPr>
            <w:tcW w:w="420" w:type="dxa"/>
            <w:vAlign w:val="bottom"/>
            <w:tcBorders>
              <w:top w:val="single" w:sz="8" w:color="7F7F7F"/>
            </w:tcBorders>
          </w:tcPr>
          <w:p>
            <w:pPr>
              <w:spacing w:after="0"/>
              <w:rPr>
                <w:sz w:val="16"/>
                <w:szCs w:val="16"/>
                <w:color w:val="auto"/>
              </w:rPr>
            </w:pPr>
          </w:p>
        </w:tc>
        <w:tc>
          <w:tcPr>
            <w:tcW w:w="4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40" w:type="dxa"/>
            <w:vAlign w:val="bottom"/>
            <w:tcBorders>
              <w:top w:val="single" w:sz="8" w:color="7F7F7F"/>
            </w:tcBorders>
          </w:tcPr>
          <w:p>
            <w:pPr>
              <w:spacing w:after="0"/>
              <w:rPr>
                <w:sz w:val="16"/>
                <w:szCs w:val="16"/>
                <w:color w:val="auto"/>
              </w:rPr>
            </w:pPr>
          </w:p>
        </w:tc>
        <w:tc>
          <w:tcPr>
            <w:tcW w:w="80" w:type="dxa"/>
            <w:vAlign w:val="bottom"/>
            <w:tcBorders>
              <w:top w:val="single" w:sz="8" w:color="7F7F7F"/>
            </w:tcBorders>
          </w:tcPr>
          <w:p>
            <w:pPr>
              <w:spacing w:after="0"/>
              <w:rPr>
                <w:sz w:val="16"/>
                <w:szCs w:val="16"/>
                <w:color w:val="auto"/>
              </w:rPr>
            </w:pPr>
          </w:p>
        </w:tc>
        <w:tc>
          <w:tcPr>
            <w:tcW w:w="56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5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bottom w:val="single" w:sz="8" w:color="7F7F7F"/>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01/02/24</w:t>
            </w:r>
          </w:p>
        </w:tc>
        <w:tc>
          <w:tcPr>
            <w:tcW w:w="200" w:type="dxa"/>
            <w:vAlign w:val="bottom"/>
            <w:tcBorders>
              <w:bottom w:val="single" w:sz="8" w:color="7F7F7F"/>
            </w:tcBorders>
            <w:shd w:val="clear" w:color="auto" w:fill="F2F2F2"/>
          </w:tcPr>
          <w:p>
            <w:pPr>
              <w:spacing w:after="0"/>
              <w:rPr>
                <w:sz w:val="21"/>
                <w:szCs w:val="21"/>
                <w:color w:val="auto"/>
              </w:rPr>
            </w:pPr>
          </w:p>
        </w:tc>
        <w:tc>
          <w:tcPr>
            <w:tcW w:w="34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32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2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30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42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8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820" w:type="dxa"/>
            <w:vAlign w:val="bottom"/>
            <w:tcBorders>
              <w:bottom w:val="single" w:sz="8" w:color="7F7F7F"/>
            </w:tcBorders>
            <w:gridSpan w:val="4"/>
            <w:shd w:val="clear" w:color="auto" w:fill="F2F2F2"/>
          </w:tcPr>
          <w:p>
            <w:pPr>
              <w:jc w:val="right"/>
              <w:ind w:right="40"/>
              <w:spacing w:after="0"/>
              <w:rPr>
                <w:sz w:val="20"/>
                <w:szCs w:val="20"/>
                <w:color w:val="auto"/>
              </w:rPr>
            </w:pPr>
            <w:r>
              <w:rPr>
                <w:rFonts w:ascii="Arial" w:cs="Arial" w:eastAsia="Arial" w:hAnsi="Arial"/>
                <w:sz w:val="12"/>
                <w:szCs w:val="12"/>
                <w:color w:val="auto"/>
              </w:rPr>
              <w:t>4,899</w:t>
            </w:r>
          </w:p>
        </w:tc>
        <w:tc>
          <w:tcPr>
            <w:tcW w:w="320" w:type="dxa"/>
            <w:vAlign w:val="bottom"/>
            <w:tcBorders>
              <w:bottom w:val="single" w:sz="8" w:color="7F7F7F"/>
            </w:tcBorders>
            <w:gridSpan w:val="3"/>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gridSpan w:val="2"/>
            <w:shd w:val="clear" w:color="auto" w:fill="F2F2F2"/>
          </w:tcPr>
          <w:p>
            <w:pPr>
              <w:ind w:left="120"/>
              <w:spacing w:after="0"/>
              <w:rPr>
                <w:sz w:val="20"/>
                <w:szCs w:val="20"/>
                <w:color w:val="auto"/>
              </w:rPr>
            </w:pPr>
            <w:r>
              <w:rPr>
                <w:rFonts w:ascii="Arial" w:cs="Arial" w:eastAsia="Arial" w:hAnsi="Arial"/>
                <w:sz w:val="12"/>
                <w:szCs w:val="12"/>
                <w:color w:val="auto"/>
              </w:rPr>
              <w:t>432,507</w:t>
            </w:r>
            <w:r>
              <w:rPr>
                <w:rFonts w:ascii="Arial" w:cs="Arial" w:eastAsia="Arial" w:hAnsi="Arial"/>
                <w:sz w:val="18"/>
                <w:szCs w:val="18"/>
                <w:color w:val="auto"/>
                <w:vertAlign w:val="superscript"/>
              </w:rPr>
              <w:t>(I)</w:t>
            </w: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bottom w:val="single" w:sz="8" w:color="7F7F7F"/>
            </w:tcBorders>
            <w:gridSpan w:val="3"/>
          </w:tcPr>
          <w:p>
            <w:pPr>
              <w:jc w:val="right"/>
              <w:spacing w:after="0"/>
              <w:rPr>
                <w:sz w:val="20"/>
                <w:szCs w:val="20"/>
                <w:color w:val="auto"/>
              </w:rPr>
            </w:pPr>
            <w:r>
              <w:rPr>
                <w:rFonts w:ascii="Arial" w:cs="Arial" w:eastAsia="Arial" w:hAnsi="Arial"/>
                <w:sz w:val="12"/>
                <w:szCs w:val="12"/>
                <w:color w:val="auto"/>
              </w:rPr>
              <w:t>01/03/23</w:t>
            </w:r>
          </w:p>
        </w:tc>
        <w:tc>
          <w:tcPr>
            <w:tcW w:w="200" w:type="dxa"/>
            <w:vAlign w:val="bottom"/>
            <w:tcBorders>
              <w:bottom w:val="single" w:sz="8" w:color="7F7F7F"/>
            </w:tcBorders>
          </w:tcPr>
          <w:p>
            <w:pPr>
              <w:spacing w:after="0"/>
              <w:rPr>
                <w:sz w:val="21"/>
                <w:szCs w:val="21"/>
                <w:color w:val="auto"/>
              </w:rPr>
            </w:pPr>
          </w:p>
        </w:tc>
        <w:tc>
          <w:tcPr>
            <w:tcW w:w="34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32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240" w:type="dxa"/>
            <w:vAlign w:val="bottom"/>
            <w:tcBorders>
              <w:bottom w:val="single" w:sz="8" w:color="7F7F7F"/>
            </w:tcBorders>
          </w:tcPr>
          <w:p>
            <w:pPr>
              <w:spacing w:after="0"/>
              <w:rPr>
                <w:sz w:val="21"/>
                <w:szCs w:val="21"/>
                <w:color w:val="auto"/>
              </w:rPr>
            </w:pPr>
          </w:p>
        </w:tc>
        <w:tc>
          <w:tcPr>
            <w:tcW w:w="220" w:type="dxa"/>
            <w:vAlign w:val="bottom"/>
            <w:tcBorders>
              <w:bottom w:val="single" w:sz="8" w:color="7F7F7F"/>
            </w:tcBorders>
          </w:tcPr>
          <w:p>
            <w:pPr>
              <w:spacing w:after="0"/>
              <w:rPr>
                <w:sz w:val="21"/>
                <w:szCs w:val="21"/>
                <w:color w:val="auto"/>
              </w:rPr>
            </w:pPr>
          </w:p>
        </w:tc>
        <w:tc>
          <w:tcPr>
            <w:tcW w:w="24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300" w:type="dxa"/>
            <w:vAlign w:val="bottom"/>
            <w:tcBorders>
              <w:bottom w:val="single" w:sz="8" w:color="7F7F7F"/>
            </w:tcBorders>
          </w:tcPr>
          <w:p>
            <w:pPr>
              <w:spacing w:after="0"/>
              <w:rPr>
                <w:sz w:val="21"/>
                <w:szCs w:val="21"/>
                <w:color w:val="auto"/>
              </w:rPr>
            </w:pPr>
          </w:p>
        </w:tc>
        <w:tc>
          <w:tcPr>
            <w:tcW w:w="560" w:type="dxa"/>
            <w:vAlign w:val="bottom"/>
            <w:tcBorders>
              <w:bottom w:val="single" w:sz="8" w:color="7F7F7F"/>
            </w:tcBorders>
          </w:tcPr>
          <w:p>
            <w:pPr>
              <w:spacing w:after="0"/>
              <w:rPr>
                <w:sz w:val="21"/>
                <w:szCs w:val="21"/>
                <w:color w:val="auto"/>
              </w:rPr>
            </w:pPr>
          </w:p>
        </w:tc>
        <w:tc>
          <w:tcPr>
            <w:tcW w:w="640" w:type="dxa"/>
            <w:vAlign w:val="bottom"/>
            <w:tcBorders>
              <w:bottom w:val="single" w:sz="8" w:color="7F7F7F"/>
            </w:tcBorders>
            <w:gridSpan w:val="3"/>
          </w:tcPr>
          <w:p>
            <w:pPr>
              <w:jc w:val="right"/>
              <w:ind w:right="40"/>
              <w:spacing w:after="0"/>
              <w:rPr>
                <w:sz w:val="20"/>
                <w:szCs w:val="20"/>
                <w:color w:val="auto"/>
              </w:rPr>
            </w:pPr>
            <w:r>
              <w:rPr>
                <w:rFonts w:ascii="Arial" w:cs="Arial" w:eastAsia="Arial" w:hAnsi="Arial"/>
                <w:sz w:val="12"/>
                <w:szCs w:val="12"/>
                <w:color w:val="auto"/>
              </w:rPr>
              <w:t>1,880</w:t>
            </w:r>
          </w:p>
        </w:tc>
        <w:tc>
          <w:tcPr>
            <w:tcW w:w="320" w:type="dxa"/>
            <w:vAlign w:val="bottom"/>
            <w:tcBorders>
              <w:bottom w:val="single" w:sz="8" w:color="7F7F7F"/>
            </w:tcBorders>
            <w:gridSpan w:val="3"/>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gridSpan w:val="2"/>
          </w:tcPr>
          <w:p>
            <w:pPr>
              <w:jc w:val="right"/>
              <w:ind w:right="60"/>
              <w:spacing w:after="0"/>
              <w:rPr>
                <w:sz w:val="20"/>
                <w:szCs w:val="20"/>
                <w:color w:val="auto"/>
              </w:rPr>
            </w:pPr>
            <w:r>
              <w:rPr>
                <w:rFonts w:ascii="Arial" w:cs="Arial" w:eastAsia="Arial" w:hAnsi="Arial"/>
                <w:sz w:val="12"/>
                <w:szCs w:val="12"/>
                <w:color w:val="auto"/>
              </w:rPr>
              <w:t>165,957</w:t>
            </w:r>
            <w:r>
              <w:rPr>
                <w:rFonts w:ascii="Arial" w:cs="Arial" w:eastAsia="Arial" w:hAnsi="Arial"/>
                <w:sz w:val="18"/>
                <w:szCs w:val="18"/>
                <w:color w:val="auto"/>
                <w:vertAlign w:val="superscript"/>
              </w:rPr>
              <w:t>(F)</w:t>
            </w:r>
          </w:p>
        </w:tc>
        <w:tc>
          <w:tcPr>
            <w:tcW w:w="200" w:type="dxa"/>
            <w:vAlign w:val="bottom"/>
            <w:tcBorders>
              <w:bottom w:val="single" w:sz="8" w:color="7F7F7F"/>
            </w:tcBorders>
          </w:tcPr>
          <w:p>
            <w:pPr>
              <w:spacing w:after="0"/>
              <w:rPr>
                <w:sz w:val="21"/>
                <w:szCs w:val="21"/>
                <w:color w:val="auto"/>
              </w:rPr>
            </w:pPr>
          </w:p>
        </w:tc>
        <w:tc>
          <w:tcPr>
            <w:tcW w:w="160" w:type="dxa"/>
            <w:vAlign w:val="bottom"/>
            <w:tcBorders>
              <w:bottom w:val="single" w:sz="8" w:color="7F7F7F"/>
            </w:tcBorders>
          </w:tcPr>
          <w:p>
            <w:pPr>
              <w:spacing w:after="0"/>
              <w:rPr>
                <w:sz w:val="21"/>
                <w:szCs w:val="21"/>
                <w:color w:val="auto"/>
              </w:rPr>
            </w:pPr>
          </w:p>
        </w:tc>
        <w:tc>
          <w:tcPr>
            <w:tcW w:w="420" w:type="dxa"/>
            <w:vAlign w:val="bottom"/>
            <w:tcBorders>
              <w:bottom w:val="single" w:sz="8" w:color="7F7F7F"/>
            </w:tcBorders>
          </w:tcPr>
          <w:p>
            <w:pPr>
              <w:spacing w:after="0"/>
              <w:rPr>
                <w:sz w:val="21"/>
                <w:szCs w:val="21"/>
                <w:color w:val="auto"/>
              </w:rPr>
            </w:pPr>
          </w:p>
        </w:tc>
        <w:tc>
          <w:tcPr>
            <w:tcW w:w="4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40" w:type="dxa"/>
            <w:vAlign w:val="bottom"/>
            <w:tcBorders>
              <w:bottom w:val="single" w:sz="8" w:color="7F7F7F"/>
            </w:tcBorders>
          </w:tcPr>
          <w:p>
            <w:pPr>
              <w:spacing w:after="0"/>
              <w:rPr>
                <w:sz w:val="21"/>
                <w:szCs w:val="21"/>
                <w:color w:val="auto"/>
              </w:rPr>
            </w:pPr>
          </w:p>
        </w:tc>
        <w:tc>
          <w:tcPr>
            <w:tcW w:w="80" w:type="dxa"/>
            <w:vAlign w:val="bottom"/>
            <w:tcBorders>
              <w:bottom w:val="single" w:sz="8" w:color="7F7F7F"/>
            </w:tcBorders>
          </w:tcPr>
          <w:p>
            <w:pPr>
              <w:spacing w:after="0"/>
              <w:rPr>
                <w:sz w:val="21"/>
                <w:szCs w:val="21"/>
                <w:color w:val="auto"/>
              </w:rPr>
            </w:pPr>
          </w:p>
        </w:tc>
        <w:tc>
          <w:tcPr>
            <w:tcW w:w="56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bottom w:val="single" w:sz="8" w:color="7F7F7F"/>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01/03/23</w:t>
            </w:r>
          </w:p>
        </w:tc>
        <w:tc>
          <w:tcPr>
            <w:tcW w:w="200" w:type="dxa"/>
            <w:vAlign w:val="bottom"/>
            <w:tcBorders>
              <w:bottom w:val="single" w:sz="8" w:color="7F7F7F"/>
            </w:tcBorders>
            <w:shd w:val="clear" w:color="auto" w:fill="F2F2F2"/>
          </w:tcPr>
          <w:p>
            <w:pPr>
              <w:spacing w:after="0"/>
              <w:rPr>
                <w:sz w:val="21"/>
                <w:szCs w:val="21"/>
                <w:color w:val="auto"/>
              </w:rPr>
            </w:pPr>
          </w:p>
        </w:tc>
        <w:tc>
          <w:tcPr>
            <w:tcW w:w="34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32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2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30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640" w:type="dxa"/>
            <w:vAlign w:val="bottom"/>
            <w:tcBorders>
              <w:bottom w:val="single" w:sz="8" w:color="7F7F7F"/>
            </w:tcBorders>
            <w:gridSpan w:val="3"/>
            <w:shd w:val="clear" w:color="auto" w:fill="F2F2F2"/>
          </w:tcPr>
          <w:p>
            <w:pPr>
              <w:jc w:val="right"/>
              <w:ind w:right="40"/>
              <w:spacing w:after="0"/>
              <w:rPr>
                <w:sz w:val="20"/>
                <w:szCs w:val="20"/>
                <w:color w:val="auto"/>
              </w:rPr>
            </w:pPr>
            <w:r>
              <w:rPr>
                <w:rFonts w:ascii="Arial" w:cs="Arial" w:eastAsia="Arial" w:hAnsi="Arial"/>
                <w:sz w:val="12"/>
                <w:szCs w:val="12"/>
                <w:color w:val="auto"/>
              </w:rPr>
              <w:t>2,624</w:t>
            </w:r>
          </w:p>
        </w:tc>
        <w:tc>
          <w:tcPr>
            <w:tcW w:w="320" w:type="dxa"/>
            <w:vAlign w:val="bottom"/>
            <w:tcBorders>
              <w:bottom w:val="single" w:sz="8" w:color="7F7F7F"/>
            </w:tcBorders>
            <w:gridSpan w:val="3"/>
            <w:shd w:val="clear" w:color="auto" w:fill="F2F2F2"/>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gridSpan w:val="2"/>
            <w:shd w:val="clear" w:color="auto" w:fill="F2F2F2"/>
          </w:tcPr>
          <w:p>
            <w:pPr>
              <w:jc w:val="right"/>
              <w:ind w:right="60"/>
              <w:spacing w:after="0"/>
              <w:rPr>
                <w:sz w:val="20"/>
                <w:szCs w:val="20"/>
                <w:color w:val="auto"/>
              </w:rPr>
            </w:pPr>
            <w:r>
              <w:rPr>
                <w:rFonts w:ascii="Arial" w:cs="Arial" w:eastAsia="Arial" w:hAnsi="Arial"/>
                <w:sz w:val="12"/>
                <w:szCs w:val="12"/>
                <w:color w:val="auto"/>
              </w:rPr>
              <w:t>231,714</w:t>
            </w:r>
            <w:r>
              <w:rPr>
                <w:rFonts w:ascii="Arial" w:cs="Arial" w:eastAsia="Arial" w:hAnsi="Arial"/>
                <w:sz w:val="18"/>
                <w:szCs w:val="18"/>
                <w:color w:val="auto"/>
                <w:vertAlign w:val="superscript"/>
              </w:rPr>
              <w:t>(F)</w:t>
            </w:r>
          </w:p>
        </w:tc>
        <w:tc>
          <w:tcPr>
            <w:tcW w:w="200" w:type="dxa"/>
            <w:vAlign w:val="bottom"/>
            <w:tcBorders>
              <w:bottom w:val="single" w:sz="8" w:color="7F7F7F"/>
            </w:tcBorders>
            <w:shd w:val="clear" w:color="auto" w:fill="F2F2F2"/>
          </w:tcPr>
          <w:p>
            <w:pPr>
              <w:spacing w:after="0"/>
              <w:rPr>
                <w:sz w:val="21"/>
                <w:szCs w:val="21"/>
                <w:color w:val="auto"/>
              </w:rPr>
            </w:pPr>
          </w:p>
        </w:tc>
        <w:tc>
          <w:tcPr>
            <w:tcW w:w="160" w:type="dxa"/>
            <w:vAlign w:val="bottom"/>
            <w:tcBorders>
              <w:bottom w:val="single" w:sz="8" w:color="7F7F7F"/>
            </w:tcBorders>
            <w:shd w:val="clear" w:color="auto" w:fill="F2F2F2"/>
          </w:tcPr>
          <w:p>
            <w:pPr>
              <w:spacing w:after="0"/>
              <w:rPr>
                <w:sz w:val="21"/>
                <w:szCs w:val="21"/>
                <w:color w:val="auto"/>
              </w:rPr>
            </w:pPr>
          </w:p>
        </w:tc>
        <w:tc>
          <w:tcPr>
            <w:tcW w:w="42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8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bottom w:val="single" w:sz="8" w:color="7F7F7F"/>
            </w:tcBorders>
            <w:gridSpan w:val="3"/>
          </w:tcPr>
          <w:p>
            <w:pPr>
              <w:jc w:val="right"/>
              <w:spacing w:after="0"/>
              <w:rPr>
                <w:sz w:val="20"/>
                <w:szCs w:val="20"/>
                <w:color w:val="auto"/>
              </w:rPr>
            </w:pPr>
            <w:r>
              <w:rPr>
                <w:rFonts w:ascii="Arial" w:cs="Arial" w:eastAsia="Arial" w:hAnsi="Arial"/>
                <w:sz w:val="12"/>
                <w:szCs w:val="12"/>
                <w:color w:val="auto"/>
              </w:rPr>
              <w:t>01/03/23</w:t>
            </w:r>
          </w:p>
        </w:tc>
        <w:tc>
          <w:tcPr>
            <w:tcW w:w="200" w:type="dxa"/>
            <w:vAlign w:val="bottom"/>
            <w:tcBorders>
              <w:bottom w:val="single" w:sz="8" w:color="7F7F7F"/>
            </w:tcBorders>
          </w:tcPr>
          <w:p>
            <w:pPr>
              <w:spacing w:after="0"/>
              <w:rPr>
                <w:sz w:val="21"/>
                <w:szCs w:val="21"/>
                <w:color w:val="auto"/>
              </w:rPr>
            </w:pPr>
          </w:p>
        </w:tc>
        <w:tc>
          <w:tcPr>
            <w:tcW w:w="34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32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240" w:type="dxa"/>
            <w:vAlign w:val="bottom"/>
            <w:tcBorders>
              <w:bottom w:val="single" w:sz="8" w:color="7F7F7F"/>
            </w:tcBorders>
          </w:tcPr>
          <w:p>
            <w:pPr>
              <w:spacing w:after="0"/>
              <w:rPr>
                <w:sz w:val="21"/>
                <w:szCs w:val="21"/>
                <w:color w:val="auto"/>
              </w:rPr>
            </w:pPr>
          </w:p>
        </w:tc>
        <w:tc>
          <w:tcPr>
            <w:tcW w:w="220" w:type="dxa"/>
            <w:vAlign w:val="bottom"/>
            <w:tcBorders>
              <w:bottom w:val="single" w:sz="8" w:color="7F7F7F"/>
            </w:tcBorders>
          </w:tcPr>
          <w:p>
            <w:pPr>
              <w:spacing w:after="0"/>
              <w:rPr>
                <w:sz w:val="21"/>
                <w:szCs w:val="21"/>
                <w:color w:val="auto"/>
              </w:rPr>
            </w:pPr>
          </w:p>
        </w:tc>
        <w:tc>
          <w:tcPr>
            <w:tcW w:w="24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300" w:type="dxa"/>
            <w:vAlign w:val="bottom"/>
            <w:tcBorders>
              <w:bottom w:val="single" w:sz="8" w:color="7F7F7F"/>
            </w:tcBorders>
          </w:tcPr>
          <w:p>
            <w:pPr>
              <w:spacing w:after="0"/>
              <w:rPr>
                <w:sz w:val="21"/>
                <w:szCs w:val="21"/>
                <w:color w:val="auto"/>
              </w:rPr>
            </w:pPr>
          </w:p>
        </w:tc>
        <w:tc>
          <w:tcPr>
            <w:tcW w:w="56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460" w:type="dxa"/>
            <w:vAlign w:val="bottom"/>
            <w:tcBorders>
              <w:bottom w:val="single" w:sz="8" w:color="7F7F7F"/>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7F7F7F"/>
            </w:tcBorders>
          </w:tcPr>
          <w:p>
            <w:pPr>
              <w:spacing w:after="0"/>
              <w:rPr>
                <w:sz w:val="21"/>
                <w:szCs w:val="21"/>
                <w:color w:val="auto"/>
              </w:rPr>
            </w:pPr>
          </w:p>
        </w:tc>
        <w:tc>
          <w:tcPr>
            <w:tcW w:w="40" w:type="dxa"/>
            <w:vAlign w:val="bottom"/>
            <w:tcBorders>
              <w:bottom w:val="single" w:sz="8" w:color="7F7F7F"/>
            </w:tcBorders>
          </w:tcPr>
          <w:p>
            <w:pPr>
              <w:spacing w:after="0"/>
              <w:rPr>
                <w:sz w:val="21"/>
                <w:szCs w:val="21"/>
                <w:color w:val="auto"/>
              </w:rPr>
            </w:pPr>
          </w:p>
        </w:tc>
        <w:tc>
          <w:tcPr>
            <w:tcW w:w="80" w:type="dxa"/>
            <w:vAlign w:val="bottom"/>
            <w:tcBorders>
              <w:bottom w:val="single" w:sz="8" w:color="7F7F7F"/>
            </w:tcBorders>
          </w:tcPr>
          <w:p>
            <w:pPr>
              <w:spacing w:after="0"/>
              <w:rPr>
                <w:sz w:val="21"/>
                <w:szCs w:val="21"/>
                <w:color w:val="auto"/>
              </w:rPr>
            </w:pPr>
          </w:p>
        </w:tc>
        <w:tc>
          <w:tcPr>
            <w:tcW w:w="740" w:type="dxa"/>
            <w:vAlign w:val="bottom"/>
            <w:tcBorders>
              <w:bottom w:val="single" w:sz="8" w:color="7F7F7F"/>
            </w:tcBorders>
            <w:gridSpan w:val="2"/>
          </w:tcPr>
          <w:p>
            <w:pPr>
              <w:jc w:val="right"/>
              <w:ind w:right="40"/>
              <w:spacing w:after="0" w:line="248"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9"/>
                <w:szCs w:val="9"/>
                <w:color w:val="auto"/>
              </w:rPr>
              <w:t>(G)</w:t>
            </w:r>
          </w:p>
        </w:tc>
        <w:tc>
          <w:tcPr>
            <w:tcW w:w="200" w:type="dxa"/>
            <w:vAlign w:val="bottom"/>
            <w:tcBorders>
              <w:bottom w:val="single" w:sz="8" w:color="7F7F7F"/>
            </w:tcBorders>
          </w:tcPr>
          <w:p>
            <w:pPr>
              <w:spacing w:after="0"/>
              <w:rPr>
                <w:sz w:val="21"/>
                <w:szCs w:val="21"/>
                <w:color w:val="auto"/>
              </w:rPr>
            </w:pPr>
          </w:p>
        </w:tc>
        <w:tc>
          <w:tcPr>
            <w:tcW w:w="160" w:type="dxa"/>
            <w:vAlign w:val="bottom"/>
            <w:tcBorders>
              <w:bottom w:val="single" w:sz="8" w:color="7F7F7F"/>
            </w:tcBorders>
          </w:tcPr>
          <w:p>
            <w:pPr>
              <w:spacing w:after="0"/>
              <w:rPr>
                <w:sz w:val="21"/>
                <w:szCs w:val="21"/>
                <w:color w:val="auto"/>
              </w:rPr>
            </w:pPr>
          </w:p>
        </w:tc>
        <w:tc>
          <w:tcPr>
            <w:tcW w:w="420" w:type="dxa"/>
            <w:vAlign w:val="bottom"/>
            <w:tcBorders>
              <w:bottom w:val="single" w:sz="8" w:color="7F7F7F"/>
            </w:tcBorders>
          </w:tcPr>
          <w:p>
            <w:pPr>
              <w:spacing w:after="0"/>
              <w:rPr>
                <w:sz w:val="21"/>
                <w:szCs w:val="21"/>
                <w:color w:val="auto"/>
              </w:rPr>
            </w:pPr>
          </w:p>
        </w:tc>
        <w:tc>
          <w:tcPr>
            <w:tcW w:w="4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40" w:type="dxa"/>
            <w:vAlign w:val="bottom"/>
            <w:tcBorders>
              <w:bottom w:val="single" w:sz="8" w:color="7F7F7F"/>
            </w:tcBorders>
          </w:tcPr>
          <w:p>
            <w:pPr>
              <w:spacing w:after="0"/>
              <w:rPr>
                <w:sz w:val="21"/>
                <w:szCs w:val="21"/>
                <w:color w:val="auto"/>
              </w:rPr>
            </w:pPr>
          </w:p>
        </w:tc>
        <w:tc>
          <w:tcPr>
            <w:tcW w:w="80" w:type="dxa"/>
            <w:vAlign w:val="bottom"/>
            <w:tcBorders>
              <w:bottom w:val="single" w:sz="8" w:color="7F7F7F"/>
            </w:tcBorders>
          </w:tcPr>
          <w:p>
            <w:pPr>
              <w:spacing w:after="0"/>
              <w:rPr>
                <w:sz w:val="21"/>
                <w:szCs w:val="21"/>
                <w:color w:val="auto"/>
              </w:rPr>
            </w:pPr>
          </w:p>
        </w:tc>
        <w:tc>
          <w:tcPr>
            <w:tcW w:w="56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340" w:type="dxa"/>
            <w:vAlign w:val="bottom"/>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580" w:type="dxa"/>
            <w:vAlign w:val="bottom"/>
            <w:shd w:val="clear" w:color="auto" w:fill="F2F2F2"/>
          </w:tcPr>
          <w:p>
            <w:pPr>
              <w:jc w:val="right"/>
              <w:spacing w:after="0"/>
              <w:rPr>
                <w:sz w:val="20"/>
                <w:szCs w:val="20"/>
                <w:color w:val="auto"/>
              </w:rPr>
            </w:pPr>
            <w:r>
              <w:rPr>
                <w:rFonts w:ascii="Arial" w:cs="Arial" w:eastAsia="Arial" w:hAnsi="Arial"/>
                <w:sz w:val="12"/>
                <w:szCs w:val="12"/>
                <w:color w:val="auto"/>
              </w:rPr>
              <w:t>01/03/23</w:t>
            </w:r>
          </w:p>
        </w:tc>
        <w:tc>
          <w:tcPr>
            <w:tcW w:w="200" w:type="dxa"/>
            <w:vAlign w:val="bottom"/>
            <w:shd w:val="clear" w:color="auto" w:fill="F2F2F2"/>
          </w:tcPr>
          <w:p>
            <w:pPr>
              <w:spacing w:after="0"/>
              <w:rPr>
                <w:sz w:val="15"/>
                <w:szCs w:val="15"/>
                <w:color w:val="auto"/>
              </w:rPr>
            </w:pPr>
          </w:p>
        </w:tc>
        <w:tc>
          <w:tcPr>
            <w:tcW w:w="340" w:type="dxa"/>
            <w:vAlign w:val="bottom"/>
            <w:shd w:val="clear" w:color="auto" w:fill="F2F2F2"/>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32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400" w:type="dxa"/>
            <w:vAlign w:val="bottom"/>
            <w:shd w:val="clear" w:color="auto" w:fill="F2F2F2"/>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40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220" w:type="dxa"/>
            <w:vAlign w:val="bottom"/>
            <w:shd w:val="clear" w:color="auto" w:fill="F2F2F2"/>
          </w:tcPr>
          <w:p>
            <w:pPr>
              <w:spacing w:after="0"/>
              <w:rPr>
                <w:sz w:val="15"/>
                <w:szCs w:val="15"/>
                <w:color w:val="auto"/>
              </w:rPr>
            </w:pPr>
          </w:p>
        </w:tc>
        <w:tc>
          <w:tcPr>
            <w:tcW w:w="24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30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42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40" w:type="dxa"/>
            <w:vAlign w:val="bottom"/>
            <w:shd w:val="clear" w:color="auto" w:fill="F2F2F2"/>
          </w:tcPr>
          <w:p>
            <w:pPr>
              <w:spacing w:after="0"/>
              <w:rPr>
                <w:sz w:val="15"/>
                <w:szCs w:val="15"/>
                <w:color w:val="auto"/>
              </w:rPr>
            </w:pPr>
          </w:p>
        </w:tc>
        <w:tc>
          <w:tcPr>
            <w:tcW w:w="80" w:type="dxa"/>
            <w:vAlign w:val="bottom"/>
            <w:shd w:val="clear" w:color="auto" w:fill="F2F2F2"/>
          </w:tcPr>
          <w:p>
            <w:pPr>
              <w:spacing w:after="0"/>
              <w:rPr>
                <w:sz w:val="15"/>
                <w:szCs w:val="15"/>
                <w:color w:val="auto"/>
              </w:rPr>
            </w:pPr>
          </w:p>
        </w:tc>
        <w:tc>
          <w:tcPr>
            <w:tcW w:w="560" w:type="dxa"/>
            <w:vAlign w:val="bottom"/>
            <w:shd w:val="clear" w:color="auto" w:fill="F2F2F2"/>
          </w:tcPr>
          <w:p>
            <w:pPr>
              <w:spacing w:after="0"/>
              <w:rPr>
                <w:sz w:val="15"/>
                <w:szCs w:val="15"/>
                <w:color w:val="auto"/>
              </w:rPr>
            </w:pPr>
          </w:p>
        </w:tc>
        <w:tc>
          <w:tcPr>
            <w:tcW w:w="180" w:type="dxa"/>
            <w:vAlign w:val="bottom"/>
            <w:shd w:val="clear" w:color="auto" w:fill="F2F2F2"/>
          </w:tcPr>
          <w:p>
            <w:pPr>
              <w:spacing w:after="0"/>
              <w:rPr>
                <w:sz w:val="15"/>
                <w:szCs w:val="15"/>
                <w:color w:val="auto"/>
              </w:rPr>
            </w:pPr>
          </w:p>
        </w:tc>
        <w:tc>
          <w:tcPr>
            <w:tcW w:w="200" w:type="dxa"/>
            <w:vAlign w:val="bottom"/>
            <w:shd w:val="clear" w:color="auto" w:fill="F2F2F2"/>
          </w:tcPr>
          <w:p>
            <w:pPr>
              <w:spacing w:after="0"/>
              <w:rPr>
                <w:sz w:val="15"/>
                <w:szCs w:val="15"/>
                <w:color w:val="auto"/>
              </w:rPr>
            </w:pPr>
          </w:p>
        </w:tc>
        <w:tc>
          <w:tcPr>
            <w:tcW w:w="160" w:type="dxa"/>
            <w:vAlign w:val="bottom"/>
            <w:shd w:val="clear" w:color="auto" w:fill="F2F2F2"/>
          </w:tcPr>
          <w:p>
            <w:pPr>
              <w:spacing w:after="0"/>
              <w:rPr>
                <w:sz w:val="15"/>
                <w:szCs w:val="15"/>
                <w:color w:val="auto"/>
              </w:rPr>
            </w:pPr>
          </w:p>
        </w:tc>
        <w:tc>
          <w:tcPr>
            <w:tcW w:w="460" w:type="dxa"/>
            <w:vAlign w:val="bottom"/>
            <w:gridSpan w:val="2"/>
            <w:shd w:val="clear" w:color="auto" w:fill="F2F2F2"/>
          </w:tcPr>
          <w:p>
            <w:pPr>
              <w:jc w:val="right"/>
              <w:ind w:right="40"/>
              <w:spacing w:after="0"/>
              <w:rPr>
                <w:sz w:val="20"/>
                <w:szCs w:val="20"/>
                <w:color w:val="auto"/>
              </w:rPr>
            </w:pPr>
            <w:r>
              <w:rPr>
                <w:rFonts w:ascii="Arial" w:cs="Arial" w:eastAsia="Arial" w:hAnsi="Arial"/>
                <w:sz w:val="12"/>
                <w:szCs w:val="12"/>
                <w:color w:val="auto"/>
              </w:rPr>
              <w:t>2,149</w:t>
            </w:r>
          </w:p>
        </w:tc>
        <w:tc>
          <w:tcPr>
            <w:tcW w:w="320" w:type="dxa"/>
            <w:vAlign w:val="bottom"/>
            <w:gridSpan w:val="3"/>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F2F2F2"/>
          </w:tcPr>
          <w:p>
            <w:pPr>
              <w:ind w:left="120"/>
              <w:spacing w:after="0" w:line="181" w:lineRule="exact"/>
              <w:rPr>
                <w:sz w:val="20"/>
                <w:szCs w:val="20"/>
                <w:color w:val="auto"/>
              </w:rPr>
            </w:pPr>
            <w:r>
              <w:rPr>
                <w:rFonts w:ascii="Arial" w:cs="Arial" w:eastAsia="Arial" w:hAnsi="Arial"/>
                <w:sz w:val="12"/>
                <w:szCs w:val="12"/>
                <w:color w:val="auto"/>
              </w:rPr>
              <w:t>189,709</w:t>
            </w:r>
            <w:r>
              <w:rPr>
                <w:rFonts w:ascii="Arial" w:cs="Arial" w:eastAsia="Arial" w:hAnsi="Arial"/>
                <w:sz w:val="18"/>
                <w:szCs w:val="18"/>
                <w:color w:val="auto"/>
                <w:vertAlign w:val="superscript"/>
              </w:rPr>
              <w:t>(J)</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F2F2F2"/>
            </w:tcBorders>
            <w:shd w:val="clear" w:color="auto" w:fill="F2F2F2"/>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7F7F7F"/>
            </w:tcBorders>
            <w:shd w:val="clear" w:color="auto" w:fill="F2F2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7F7F7F"/>
            </w:tcBorders>
            <w:shd w:val="clear" w:color="auto" w:fill="F2F2F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7F7F7F"/>
            </w:tcBorders>
            <w:shd w:val="clear" w:color="auto" w:fill="F2F2F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F2F2F2"/>
            </w:tcBorders>
            <w:shd w:val="clear" w:color="auto" w:fill="F2F2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7F7F7F"/>
            </w:tcBorders>
            <w:shd w:val="clear" w:color="auto" w:fill="F2F2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7F7F7F"/>
            </w:tcBorders>
            <w:shd w:val="clear" w:color="auto" w:fill="F2F2F2"/>
          </w:tcPr>
          <w:p>
            <w:pPr>
              <w:spacing w:after="0" w:line="20" w:lineRule="exact"/>
              <w:rPr>
                <w:sz w:val="1"/>
                <w:szCs w:val="1"/>
                <w:color w:val="auto"/>
              </w:rPr>
            </w:pPr>
          </w:p>
        </w:tc>
        <w:tc>
          <w:tcPr>
            <w:tcW w:w="560" w:type="dxa"/>
            <w:vAlign w:val="bottom"/>
            <w:tcBorders>
              <w:top w:val="single" w:sz="8" w:color="7F7F7F"/>
            </w:tcBorders>
            <w:shd w:val="clear" w:color="auto" w:fill="F2F2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7F7F7F"/>
            </w:tcBorders>
            <w:shd w:val="clear" w:color="auto" w:fill="F2F2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F2F2F2"/>
            </w:tcBorders>
            <w:shd w:val="clear" w:color="auto" w:fill="F2F2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7F7F7F"/>
            </w:tcBorders>
            <w:shd w:val="clear" w:color="auto" w:fill="F2F2F2"/>
          </w:tcPr>
          <w:p>
            <w:pPr>
              <w:spacing w:after="0" w:line="20" w:lineRule="exact"/>
              <w:rPr>
                <w:sz w:val="1"/>
                <w:szCs w:val="1"/>
                <w:color w:val="auto"/>
              </w:rPr>
            </w:pPr>
          </w:p>
        </w:tc>
        <w:tc>
          <w:tcPr>
            <w:tcW w:w="560" w:type="dxa"/>
            <w:vAlign w:val="bottom"/>
            <w:tcBorders>
              <w:top w:val="single" w:sz="8" w:color="7F7F7F"/>
            </w:tcBorders>
            <w:shd w:val="clear" w:color="auto" w:fill="F2F2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340" w:type="dxa"/>
            <w:vAlign w:val="bottom"/>
            <w:tcBorders>
              <w:bottom w:val="single" w:sz="8" w:color="7F7F7F"/>
            </w:tcBorders>
          </w:tcPr>
          <w:p>
            <w:pPr>
              <w:spacing w:after="0"/>
              <w:rPr>
                <w:sz w:val="22"/>
                <w:szCs w:val="22"/>
                <w:color w:val="auto"/>
              </w:rPr>
            </w:pPr>
          </w:p>
        </w:tc>
        <w:tc>
          <w:tcPr>
            <w:tcW w:w="200" w:type="dxa"/>
            <w:vAlign w:val="bottom"/>
            <w:tcBorders>
              <w:bottom w:val="single" w:sz="8" w:color="7F7F7F"/>
            </w:tcBorders>
          </w:tcPr>
          <w:p>
            <w:pPr>
              <w:spacing w:after="0"/>
              <w:rPr>
                <w:sz w:val="22"/>
                <w:szCs w:val="22"/>
                <w:color w:val="auto"/>
              </w:rPr>
            </w:pPr>
          </w:p>
        </w:tc>
        <w:tc>
          <w:tcPr>
            <w:tcW w:w="40" w:type="dxa"/>
            <w:vAlign w:val="bottom"/>
            <w:tcBorders>
              <w:bottom w:val="single" w:sz="8" w:color="7F7F7F"/>
            </w:tcBorders>
          </w:tcPr>
          <w:p>
            <w:pPr>
              <w:spacing w:after="0"/>
              <w:rPr>
                <w:sz w:val="22"/>
                <w:szCs w:val="22"/>
                <w:color w:val="auto"/>
              </w:rPr>
            </w:pPr>
          </w:p>
        </w:tc>
        <w:tc>
          <w:tcPr>
            <w:tcW w:w="580" w:type="dxa"/>
            <w:vAlign w:val="bottom"/>
            <w:tcBorders>
              <w:bottom w:val="single" w:sz="8" w:color="7F7F7F"/>
            </w:tcBorders>
          </w:tcPr>
          <w:p>
            <w:pPr>
              <w:spacing w:after="0"/>
              <w:rPr>
                <w:sz w:val="22"/>
                <w:szCs w:val="22"/>
                <w:color w:val="auto"/>
              </w:rPr>
            </w:pPr>
          </w:p>
        </w:tc>
        <w:tc>
          <w:tcPr>
            <w:tcW w:w="200" w:type="dxa"/>
            <w:vAlign w:val="bottom"/>
            <w:tcBorders>
              <w:bottom w:val="single" w:sz="8" w:color="7F7F7F"/>
            </w:tcBorders>
          </w:tcPr>
          <w:p>
            <w:pPr>
              <w:spacing w:after="0"/>
              <w:rPr>
                <w:sz w:val="22"/>
                <w:szCs w:val="22"/>
                <w:color w:val="auto"/>
              </w:rPr>
            </w:pPr>
          </w:p>
        </w:tc>
        <w:tc>
          <w:tcPr>
            <w:tcW w:w="340" w:type="dxa"/>
            <w:vAlign w:val="bottom"/>
            <w:tcBorders>
              <w:bottom w:val="single" w:sz="8" w:color="7F7F7F"/>
            </w:tcBorders>
          </w:tcPr>
          <w:p>
            <w:pPr>
              <w:spacing w:after="0"/>
              <w:rPr>
                <w:sz w:val="22"/>
                <w:szCs w:val="22"/>
                <w:color w:val="auto"/>
              </w:rPr>
            </w:pPr>
          </w:p>
        </w:tc>
        <w:tc>
          <w:tcPr>
            <w:tcW w:w="180" w:type="dxa"/>
            <w:vAlign w:val="bottom"/>
            <w:tcBorders>
              <w:bottom w:val="single" w:sz="8" w:color="7F7F7F"/>
            </w:tcBorders>
          </w:tcPr>
          <w:p>
            <w:pPr>
              <w:ind w:left="40"/>
              <w:spacing w:after="0"/>
              <w:rPr>
                <w:sz w:val="20"/>
                <w:szCs w:val="20"/>
                <w:color w:val="auto"/>
              </w:rPr>
            </w:pPr>
            <w:r>
              <w:rPr>
                <w:rFonts w:ascii="Arial" w:cs="Arial" w:eastAsia="Arial" w:hAnsi="Arial"/>
                <w:sz w:val="12"/>
                <w:szCs w:val="12"/>
                <w:color w:val="auto"/>
                <w:w w:val="99"/>
              </w:rPr>
              <w:t>—</w:t>
            </w:r>
          </w:p>
        </w:tc>
        <w:tc>
          <w:tcPr>
            <w:tcW w:w="320" w:type="dxa"/>
            <w:vAlign w:val="bottom"/>
            <w:tcBorders>
              <w:bottom w:val="single" w:sz="8" w:color="7F7F7F"/>
            </w:tcBorders>
          </w:tcPr>
          <w:p>
            <w:pPr>
              <w:spacing w:after="0"/>
              <w:rPr>
                <w:sz w:val="22"/>
                <w:szCs w:val="22"/>
                <w:color w:val="auto"/>
              </w:rPr>
            </w:pPr>
          </w:p>
        </w:tc>
        <w:tc>
          <w:tcPr>
            <w:tcW w:w="200" w:type="dxa"/>
            <w:vAlign w:val="bottom"/>
            <w:tcBorders>
              <w:bottom w:val="single" w:sz="8" w:color="7F7F7F"/>
            </w:tcBorders>
          </w:tcPr>
          <w:p>
            <w:pPr>
              <w:spacing w:after="0"/>
              <w:rPr>
                <w:sz w:val="22"/>
                <w:szCs w:val="22"/>
                <w:color w:val="auto"/>
              </w:rPr>
            </w:pPr>
          </w:p>
        </w:tc>
        <w:tc>
          <w:tcPr>
            <w:tcW w:w="400" w:type="dxa"/>
            <w:vAlign w:val="bottom"/>
            <w:tcBorders>
              <w:bottom w:val="single" w:sz="8" w:color="7F7F7F"/>
            </w:tcBorders>
          </w:tcPr>
          <w:p>
            <w:pPr>
              <w:spacing w:after="0"/>
              <w:rPr>
                <w:sz w:val="22"/>
                <w:szCs w:val="22"/>
                <w:color w:val="auto"/>
              </w:rPr>
            </w:pPr>
          </w:p>
        </w:tc>
        <w:tc>
          <w:tcPr>
            <w:tcW w:w="580" w:type="dxa"/>
            <w:vAlign w:val="bottom"/>
            <w:tcBorders>
              <w:bottom w:val="single" w:sz="8" w:color="7F7F7F"/>
            </w:tcBorders>
            <w:gridSpan w:val="2"/>
          </w:tcPr>
          <w:p>
            <w:pPr>
              <w:ind w:left="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7F7F7F"/>
            </w:tcBorders>
          </w:tcPr>
          <w:p>
            <w:pPr>
              <w:spacing w:after="0"/>
              <w:rPr>
                <w:sz w:val="22"/>
                <w:szCs w:val="22"/>
                <w:color w:val="auto"/>
              </w:rPr>
            </w:pPr>
          </w:p>
        </w:tc>
        <w:tc>
          <w:tcPr>
            <w:tcW w:w="240" w:type="dxa"/>
            <w:vAlign w:val="bottom"/>
            <w:tcBorders>
              <w:bottom w:val="single" w:sz="8" w:color="7F7F7F"/>
            </w:tcBorders>
          </w:tcPr>
          <w:p>
            <w:pPr>
              <w:spacing w:after="0"/>
              <w:rPr>
                <w:sz w:val="22"/>
                <w:szCs w:val="22"/>
                <w:color w:val="auto"/>
              </w:rPr>
            </w:pPr>
          </w:p>
        </w:tc>
        <w:tc>
          <w:tcPr>
            <w:tcW w:w="460" w:type="dxa"/>
            <w:vAlign w:val="bottom"/>
            <w:tcBorders>
              <w:bottom w:val="single" w:sz="8" w:color="7F7F7F"/>
            </w:tcBorders>
            <w:gridSpan w:val="2"/>
          </w:tcPr>
          <w:p>
            <w:pPr>
              <w:jc w:val="right"/>
              <w:ind w:right="120"/>
              <w:spacing w:after="0" w:line="255"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9"/>
                <w:szCs w:val="9"/>
                <w:color w:val="auto"/>
              </w:rPr>
              <w:t>(E)</w:t>
            </w:r>
          </w:p>
        </w:tc>
        <w:tc>
          <w:tcPr>
            <w:tcW w:w="200" w:type="dxa"/>
            <w:vAlign w:val="bottom"/>
            <w:tcBorders>
              <w:bottom w:val="single" w:sz="8" w:color="7F7F7F"/>
            </w:tcBorders>
          </w:tcPr>
          <w:p>
            <w:pPr>
              <w:spacing w:after="0"/>
              <w:rPr>
                <w:sz w:val="22"/>
                <w:szCs w:val="22"/>
                <w:color w:val="auto"/>
              </w:rPr>
            </w:pPr>
          </w:p>
        </w:tc>
        <w:tc>
          <w:tcPr>
            <w:tcW w:w="300" w:type="dxa"/>
            <w:vAlign w:val="bottom"/>
            <w:tcBorders>
              <w:bottom w:val="single" w:sz="8" w:color="7F7F7F"/>
            </w:tcBorders>
          </w:tcPr>
          <w:p>
            <w:pPr>
              <w:spacing w:after="0"/>
              <w:rPr>
                <w:sz w:val="22"/>
                <w:szCs w:val="22"/>
                <w:color w:val="auto"/>
              </w:rPr>
            </w:pPr>
          </w:p>
        </w:tc>
        <w:tc>
          <w:tcPr>
            <w:tcW w:w="560" w:type="dxa"/>
            <w:vAlign w:val="bottom"/>
            <w:tcBorders>
              <w:bottom w:val="single" w:sz="8" w:color="7F7F7F"/>
            </w:tcBorders>
          </w:tcPr>
          <w:p>
            <w:pPr>
              <w:spacing w:after="0"/>
              <w:rPr>
                <w:sz w:val="22"/>
                <w:szCs w:val="22"/>
                <w:color w:val="auto"/>
              </w:rPr>
            </w:pPr>
          </w:p>
        </w:tc>
        <w:tc>
          <w:tcPr>
            <w:tcW w:w="640" w:type="dxa"/>
            <w:vAlign w:val="bottom"/>
            <w:tcBorders>
              <w:bottom w:val="single" w:sz="8" w:color="7F7F7F"/>
            </w:tcBorders>
            <w:gridSpan w:val="3"/>
          </w:tcPr>
          <w:p>
            <w:pPr>
              <w:jc w:val="right"/>
              <w:ind w:right="40"/>
              <w:spacing w:after="0"/>
              <w:rPr>
                <w:sz w:val="20"/>
                <w:szCs w:val="20"/>
                <w:color w:val="auto"/>
              </w:rPr>
            </w:pPr>
            <w:r>
              <w:rPr>
                <w:rFonts w:ascii="Arial" w:cs="Arial" w:eastAsia="Arial" w:hAnsi="Arial"/>
                <w:sz w:val="12"/>
                <w:szCs w:val="12"/>
                <w:color w:val="auto"/>
              </w:rPr>
              <w:t>22,535</w:t>
            </w:r>
          </w:p>
        </w:tc>
        <w:tc>
          <w:tcPr>
            <w:tcW w:w="320" w:type="dxa"/>
            <w:vAlign w:val="bottom"/>
            <w:tcBorders>
              <w:bottom w:val="single" w:sz="8" w:color="7F7F7F"/>
            </w:tcBorders>
            <w:gridSpan w:val="3"/>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gridSpan w:val="2"/>
          </w:tcPr>
          <w:p>
            <w:pPr>
              <w:jc w:val="right"/>
              <w:ind w:right="180"/>
              <w:spacing w:after="0"/>
              <w:rPr>
                <w:sz w:val="20"/>
                <w:szCs w:val="20"/>
                <w:color w:val="auto"/>
              </w:rPr>
            </w:pPr>
            <w:r>
              <w:rPr>
                <w:rFonts w:ascii="Arial" w:cs="Arial" w:eastAsia="Arial" w:hAnsi="Arial"/>
                <w:sz w:val="12"/>
                <w:szCs w:val="12"/>
                <w:color w:val="auto"/>
              </w:rPr>
              <w:t>1,989,606</w:t>
            </w:r>
          </w:p>
        </w:tc>
        <w:tc>
          <w:tcPr>
            <w:tcW w:w="820" w:type="dxa"/>
            <w:vAlign w:val="bottom"/>
            <w:tcBorders>
              <w:bottom w:val="single" w:sz="8" w:color="7F7F7F"/>
            </w:tcBorders>
            <w:gridSpan w:val="4"/>
          </w:tcPr>
          <w:p>
            <w:pPr>
              <w:jc w:val="right"/>
              <w:ind w:right="40"/>
              <w:spacing w:after="0"/>
              <w:rPr>
                <w:sz w:val="20"/>
                <w:szCs w:val="20"/>
                <w:color w:val="auto"/>
              </w:rPr>
            </w:pPr>
            <w:r>
              <w:rPr>
                <w:rFonts w:ascii="Arial" w:cs="Arial" w:eastAsia="Arial" w:hAnsi="Arial"/>
                <w:sz w:val="12"/>
                <w:szCs w:val="12"/>
                <w:color w:val="auto"/>
              </w:rPr>
              <w:t>20,889</w:t>
            </w:r>
          </w:p>
        </w:tc>
        <w:tc>
          <w:tcPr>
            <w:tcW w:w="320" w:type="dxa"/>
            <w:vAlign w:val="bottom"/>
            <w:tcBorders>
              <w:bottom w:val="single" w:sz="8" w:color="7F7F7F"/>
            </w:tcBorders>
            <w:gridSpan w:val="3"/>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gridSpan w:val="2"/>
          </w:tcPr>
          <w:p>
            <w:pPr>
              <w:jc w:val="right"/>
              <w:ind w:right="180"/>
              <w:spacing w:after="0"/>
              <w:rPr>
                <w:sz w:val="20"/>
                <w:szCs w:val="20"/>
                <w:color w:val="auto"/>
              </w:rPr>
            </w:pPr>
            <w:r>
              <w:rPr>
                <w:rFonts w:ascii="Arial" w:cs="Arial" w:eastAsia="Arial" w:hAnsi="Arial"/>
                <w:sz w:val="12"/>
                <w:szCs w:val="12"/>
                <w:color w:val="auto"/>
              </w:rPr>
              <w:t>1,844,271</w:t>
            </w:r>
          </w:p>
        </w:tc>
        <w:tc>
          <w:tcPr>
            <w:tcW w:w="0" w:type="dxa"/>
            <w:vAlign w:val="bottom"/>
          </w:tcPr>
          <w:p>
            <w:pPr>
              <w:spacing w:after="0"/>
              <w:rPr>
                <w:sz w:val="1"/>
                <w:szCs w:val="1"/>
                <w:color w:val="auto"/>
              </w:rPr>
            </w:pPr>
          </w:p>
        </w:tc>
      </w:tr>
      <w:tr>
        <w:trPr>
          <w:trHeight w:val="252"/>
        </w:trPr>
        <w:tc>
          <w:tcPr>
            <w:tcW w:w="2340" w:type="dxa"/>
            <w:vAlign w:val="bottom"/>
          </w:tcPr>
          <w:p>
            <w:pPr>
              <w:ind w:left="80"/>
              <w:spacing w:after="0"/>
              <w:rPr>
                <w:sz w:val="20"/>
                <w:szCs w:val="20"/>
                <w:color w:val="auto"/>
              </w:rPr>
            </w:pPr>
            <w:r>
              <w:rPr>
                <w:rFonts w:ascii="Arial" w:cs="Arial" w:eastAsia="Arial" w:hAnsi="Arial"/>
                <w:sz w:val="12"/>
                <w:szCs w:val="12"/>
                <w:b w:val="1"/>
                <w:bCs w:val="1"/>
                <w:color w:val="auto"/>
              </w:rPr>
              <w:t>Diana L. Day</w:t>
            </w:r>
          </w:p>
        </w:tc>
        <w:tc>
          <w:tcPr>
            <w:tcW w:w="820" w:type="dxa"/>
            <w:vAlign w:val="bottom"/>
            <w:tcBorders>
              <w:bottom w:val="single" w:sz="8" w:color="F2F2F2"/>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01/02/25</w:t>
            </w:r>
          </w:p>
        </w:tc>
        <w:tc>
          <w:tcPr>
            <w:tcW w:w="200" w:type="dxa"/>
            <w:vAlign w:val="bottom"/>
            <w:tcBorders>
              <w:bottom w:val="single" w:sz="8" w:color="F2F2F2"/>
            </w:tcBorders>
            <w:shd w:val="clear" w:color="auto" w:fill="F2F2F2"/>
          </w:tcPr>
          <w:p>
            <w:pPr>
              <w:spacing w:after="0"/>
              <w:rPr>
                <w:sz w:val="21"/>
                <w:szCs w:val="21"/>
                <w:color w:val="auto"/>
              </w:rPr>
            </w:pPr>
          </w:p>
        </w:tc>
        <w:tc>
          <w:tcPr>
            <w:tcW w:w="34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32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30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460" w:type="dxa"/>
            <w:vAlign w:val="bottom"/>
            <w:tcBorders>
              <w:bottom w:val="single" w:sz="8" w:color="F2F2F2"/>
            </w:tcBorders>
            <w:gridSpan w:val="2"/>
            <w:shd w:val="clear" w:color="auto" w:fill="F2F2F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740" w:type="dxa"/>
            <w:vAlign w:val="bottom"/>
            <w:tcBorders>
              <w:bottom w:val="single" w:sz="8" w:color="F2F2F2"/>
            </w:tcBorders>
            <w:gridSpan w:val="2"/>
            <w:shd w:val="clear" w:color="auto" w:fill="F2F2F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F2F2F2"/>
            </w:tcBorders>
            <w:shd w:val="clear" w:color="auto" w:fill="F2F2F2"/>
          </w:tcPr>
          <w:p>
            <w:pPr>
              <w:spacing w:after="0"/>
              <w:rPr>
                <w:sz w:val="21"/>
                <w:szCs w:val="21"/>
                <w:color w:val="auto"/>
              </w:rPr>
            </w:pPr>
          </w:p>
        </w:tc>
        <w:tc>
          <w:tcPr>
            <w:tcW w:w="160" w:type="dxa"/>
            <w:vAlign w:val="bottom"/>
            <w:tcBorders>
              <w:bottom w:val="single" w:sz="8" w:color="F2F2F2"/>
            </w:tcBorders>
            <w:shd w:val="clear" w:color="auto" w:fill="F2F2F2"/>
          </w:tcPr>
          <w:p>
            <w:pPr>
              <w:spacing w:after="0"/>
              <w:rPr>
                <w:sz w:val="21"/>
                <w:szCs w:val="21"/>
                <w:color w:val="auto"/>
              </w:rPr>
            </w:pPr>
          </w:p>
        </w:tc>
        <w:tc>
          <w:tcPr>
            <w:tcW w:w="42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820" w:type="dxa"/>
            <w:vAlign w:val="bottom"/>
            <w:tcBorders>
              <w:top w:val="single" w:sz="8" w:color="7F7F7F"/>
            </w:tcBorders>
            <w:gridSpan w:val="3"/>
          </w:tcPr>
          <w:p>
            <w:pPr>
              <w:jc w:val="right"/>
              <w:spacing w:after="0"/>
              <w:rPr>
                <w:sz w:val="20"/>
                <w:szCs w:val="20"/>
                <w:color w:val="auto"/>
              </w:rPr>
            </w:pPr>
            <w:r>
              <w:rPr>
                <w:rFonts w:ascii="Arial" w:cs="Arial" w:eastAsia="Arial" w:hAnsi="Arial"/>
                <w:sz w:val="12"/>
                <w:szCs w:val="12"/>
                <w:color w:val="auto"/>
              </w:rPr>
              <w:t>01/02/25</w:t>
            </w:r>
          </w:p>
        </w:tc>
        <w:tc>
          <w:tcPr>
            <w:tcW w:w="200" w:type="dxa"/>
            <w:vAlign w:val="bottom"/>
            <w:tcBorders>
              <w:top w:val="single" w:sz="8" w:color="7F7F7F"/>
            </w:tcBorders>
          </w:tcPr>
          <w:p>
            <w:pPr>
              <w:spacing w:after="0"/>
              <w:rPr>
                <w:sz w:val="16"/>
                <w:szCs w:val="16"/>
                <w:color w:val="auto"/>
              </w:rPr>
            </w:pPr>
          </w:p>
        </w:tc>
        <w:tc>
          <w:tcPr>
            <w:tcW w:w="34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32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40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40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240" w:type="dxa"/>
            <w:vAlign w:val="bottom"/>
            <w:tcBorders>
              <w:top w:val="single" w:sz="8" w:color="7F7F7F"/>
            </w:tcBorders>
          </w:tcPr>
          <w:p>
            <w:pPr>
              <w:spacing w:after="0"/>
              <w:rPr>
                <w:sz w:val="16"/>
                <w:szCs w:val="16"/>
                <w:color w:val="auto"/>
              </w:rPr>
            </w:pPr>
          </w:p>
        </w:tc>
        <w:tc>
          <w:tcPr>
            <w:tcW w:w="220" w:type="dxa"/>
            <w:vAlign w:val="bottom"/>
            <w:tcBorders>
              <w:top w:val="single" w:sz="8" w:color="7F7F7F"/>
            </w:tcBorders>
          </w:tcPr>
          <w:p>
            <w:pPr>
              <w:spacing w:after="0"/>
              <w:rPr>
                <w:sz w:val="16"/>
                <w:szCs w:val="16"/>
                <w:color w:val="auto"/>
              </w:rPr>
            </w:pPr>
          </w:p>
        </w:tc>
        <w:tc>
          <w:tcPr>
            <w:tcW w:w="24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300" w:type="dxa"/>
            <w:vAlign w:val="bottom"/>
            <w:tcBorders>
              <w:top w:val="single" w:sz="8" w:color="7F7F7F"/>
            </w:tcBorders>
          </w:tcPr>
          <w:p>
            <w:pPr>
              <w:spacing w:after="0"/>
              <w:rPr>
                <w:sz w:val="16"/>
                <w:szCs w:val="16"/>
                <w:color w:val="auto"/>
              </w:rPr>
            </w:pPr>
          </w:p>
        </w:tc>
        <w:tc>
          <w:tcPr>
            <w:tcW w:w="560" w:type="dxa"/>
            <w:vAlign w:val="bottom"/>
            <w:tcBorders>
              <w:top w:val="single" w:sz="8" w:color="7F7F7F"/>
            </w:tcBorders>
          </w:tcPr>
          <w:p>
            <w:pPr>
              <w:spacing w:after="0"/>
              <w:rPr>
                <w:sz w:val="16"/>
                <w:szCs w:val="16"/>
                <w:color w:val="auto"/>
              </w:rPr>
            </w:pPr>
          </w:p>
        </w:tc>
        <w:tc>
          <w:tcPr>
            <w:tcW w:w="640" w:type="dxa"/>
            <w:vAlign w:val="bottom"/>
            <w:tcBorders>
              <w:top w:val="single" w:sz="8" w:color="7F7F7F"/>
            </w:tcBorders>
            <w:gridSpan w:val="3"/>
          </w:tcPr>
          <w:p>
            <w:pPr>
              <w:jc w:val="right"/>
              <w:ind w:right="40"/>
              <w:spacing w:after="0"/>
              <w:rPr>
                <w:sz w:val="20"/>
                <w:szCs w:val="20"/>
                <w:color w:val="auto"/>
              </w:rPr>
            </w:pPr>
            <w:r>
              <w:rPr>
                <w:rFonts w:ascii="Arial" w:cs="Arial" w:eastAsia="Arial" w:hAnsi="Arial"/>
                <w:sz w:val="12"/>
                <w:szCs w:val="12"/>
                <w:color w:val="auto"/>
              </w:rPr>
              <w:t>1,303</w:t>
            </w:r>
          </w:p>
        </w:tc>
        <w:tc>
          <w:tcPr>
            <w:tcW w:w="320" w:type="dxa"/>
            <w:vAlign w:val="bottom"/>
            <w:tcBorders>
              <w:top w:val="single" w:sz="8" w:color="7F7F7F"/>
            </w:tcBorders>
            <w:gridSpan w:val="3"/>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tcBorders>
            <w:gridSpan w:val="2"/>
          </w:tcPr>
          <w:p>
            <w:pPr>
              <w:jc w:val="right"/>
              <w:ind w:right="180"/>
              <w:spacing w:after="0"/>
              <w:rPr>
                <w:sz w:val="20"/>
                <w:szCs w:val="20"/>
                <w:color w:val="auto"/>
              </w:rPr>
            </w:pPr>
            <w:r>
              <w:rPr>
                <w:rFonts w:ascii="Arial" w:cs="Arial" w:eastAsia="Arial" w:hAnsi="Arial"/>
                <w:sz w:val="12"/>
                <w:szCs w:val="12"/>
                <w:color w:val="auto"/>
              </w:rPr>
              <w:t>115,070</w:t>
            </w:r>
          </w:p>
        </w:tc>
        <w:tc>
          <w:tcPr>
            <w:tcW w:w="200" w:type="dxa"/>
            <w:vAlign w:val="bottom"/>
            <w:tcBorders>
              <w:top w:val="single" w:sz="8" w:color="7F7F7F"/>
            </w:tcBorders>
          </w:tcPr>
          <w:p>
            <w:pPr>
              <w:spacing w:after="0"/>
              <w:rPr>
                <w:sz w:val="16"/>
                <w:szCs w:val="16"/>
                <w:color w:val="auto"/>
              </w:rPr>
            </w:pPr>
          </w:p>
        </w:tc>
        <w:tc>
          <w:tcPr>
            <w:tcW w:w="160" w:type="dxa"/>
            <w:vAlign w:val="bottom"/>
            <w:tcBorders>
              <w:top w:val="single" w:sz="8" w:color="7F7F7F"/>
            </w:tcBorders>
          </w:tcPr>
          <w:p>
            <w:pPr>
              <w:spacing w:after="0"/>
              <w:rPr>
                <w:sz w:val="16"/>
                <w:szCs w:val="16"/>
                <w:color w:val="auto"/>
              </w:rPr>
            </w:pPr>
          </w:p>
        </w:tc>
        <w:tc>
          <w:tcPr>
            <w:tcW w:w="420" w:type="dxa"/>
            <w:vAlign w:val="bottom"/>
            <w:tcBorders>
              <w:top w:val="single" w:sz="8" w:color="7F7F7F"/>
            </w:tcBorders>
          </w:tcPr>
          <w:p>
            <w:pPr>
              <w:spacing w:after="0"/>
              <w:rPr>
                <w:sz w:val="16"/>
                <w:szCs w:val="16"/>
                <w:color w:val="auto"/>
              </w:rPr>
            </w:pPr>
          </w:p>
        </w:tc>
        <w:tc>
          <w:tcPr>
            <w:tcW w:w="4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40" w:type="dxa"/>
            <w:vAlign w:val="bottom"/>
            <w:tcBorders>
              <w:top w:val="single" w:sz="8" w:color="7F7F7F"/>
            </w:tcBorders>
          </w:tcPr>
          <w:p>
            <w:pPr>
              <w:spacing w:after="0"/>
              <w:rPr>
                <w:sz w:val="16"/>
                <w:szCs w:val="16"/>
                <w:color w:val="auto"/>
              </w:rPr>
            </w:pPr>
          </w:p>
        </w:tc>
        <w:tc>
          <w:tcPr>
            <w:tcW w:w="80" w:type="dxa"/>
            <w:vAlign w:val="bottom"/>
            <w:tcBorders>
              <w:top w:val="single" w:sz="8" w:color="7F7F7F"/>
            </w:tcBorders>
          </w:tcPr>
          <w:p>
            <w:pPr>
              <w:spacing w:after="0"/>
              <w:rPr>
                <w:sz w:val="16"/>
                <w:szCs w:val="16"/>
                <w:color w:val="auto"/>
              </w:rPr>
            </w:pPr>
          </w:p>
        </w:tc>
        <w:tc>
          <w:tcPr>
            <w:tcW w:w="56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820" w:type="dxa"/>
            <w:vAlign w:val="bottom"/>
            <w:tcBorders>
              <w:bottom w:val="single" w:sz="8" w:color="7F7F7F"/>
            </w:tcBorders>
            <w:gridSpan w:val="3"/>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gridSpan w:val="3"/>
          </w:tcPr>
          <w:p>
            <w:pPr>
              <w:spacing w:after="0"/>
              <w:rPr>
                <w:sz w:val="4"/>
                <w:szCs w:val="4"/>
                <w:color w:val="auto"/>
              </w:rPr>
            </w:pPr>
          </w:p>
        </w:tc>
        <w:tc>
          <w:tcPr>
            <w:tcW w:w="320" w:type="dxa"/>
            <w:vAlign w:val="bottom"/>
            <w:tcBorders>
              <w:bottom w:val="single" w:sz="8" w:color="7F7F7F"/>
            </w:tcBorders>
            <w:gridSpan w:val="3"/>
          </w:tcPr>
          <w:p>
            <w:pPr>
              <w:spacing w:after="0"/>
              <w:rPr>
                <w:sz w:val="4"/>
                <w:szCs w:val="4"/>
                <w:color w:val="auto"/>
              </w:rPr>
            </w:pPr>
          </w:p>
        </w:tc>
        <w:tc>
          <w:tcPr>
            <w:tcW w:w="740" w:type="dxa"/>
            <w:vAlign w:val="bottom"/>
            <w:tcBorders>
              <w:bottom w:val="single" w:sz="8" w:color="7F7F7F"/>
            </w:tcBorders>
            <w:gridSpan w:val="2"/>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820" w:type="dxa"/>
            <w:vAlign w:val="bottom"/>
            <w:tcBorders>
              <w:bottom w:val="single" w:sz="8" w:color="F2F2F2"/>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01/02/25</w:t>
            </w:r>
          </w:p>
        </w:tc>
        <w:tc>
          <w:tcPr>
            <w:tcW w:w="200" w:type="dxa"/>
            <w:vAlign w:val="bottom"/>
            <w:tcBorders>
              <w:bottom w:val="single" w:sz="8" w:color="F2F2F2"/>
            </w:tcBorders>
            <w:shd w:val="clear" w:color="auto" w:fill="F2F2F2"/>
          </w:tcPr>
          <w:p>
            <w:pPr>
              <w:spacing w:after="0"/>
              <w:rPr>
                <w:sz w:val="21"/>
                <w:szCs w:val="21"/>
                <w:color w:val="auto"/>
              </w:rPr>
            </w:pPr>
          </w:p>
        </w:tc>
        <w:tc>
          <w:tcPr>
            <w:tcW w:w="34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32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30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640" w:type="dxa"/>
            <w:vAlign w:val="bottom"/>
            <w:tcBorders>
              <w:bottom w:val="single" w:sz="8" w:color="F2F2F2"/>
            </w:tcBorders>
            <w:gridSpan w:val="3"/>
            <w:shd w:val="clear" w:color="auto" w:fill="F2F2F2"/>
          </w:tcPr>
          <w:p>
            <w:pPr>
              <w:jc w:val="right"/>
              <w:ind w:right="40"/>
              <w:spacing w:after="0"/>
              <w:rPr>
                <w:sz w:val="20"/>
                <w:szCs w:val="20"/>
                <w:color w:val="auto"/>
              </w:rPr>
            </w:pPr>
            <w:r>
              <w:rPr>
                <w:rFonts w:ascii="Arial" w:cs="Arial" w:eastAsia="Arial" w:hAnsi="Arial"/>
                <w:sz w:val="12"/>
                <w:szCs w:val="12"/>
                <w:color w:val="auto"/>
              </w:rPr>
              <w:t>4,903</w:t>
            </w:r>
          </w:p>
        </w:tc>
        <w:tc>
          <w:tcPr>
            <w:tcW w:w="320" w:type="dxa"/>
            <w:vAlign w:val="bottom"/>
            <w:tcBorders>
              <w:bottom w:val="single" w:sz="8" w:color="F2F2F2"/>
            </w:tcBorders>
            <w:gridSpan w:val="3"/>
            <w:shd w:val="clear" w:color="auto" w:fill="F2F2F2"/>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F2F2F2"/>
            </w:tcBorders>
            <w:gridSpan w:val="2"/>
            <w:shd w:val="clear" w:color="auto" w:fill="F2F2F2"/>
          </w:tcPr>
          <w:p>
            <w:pPr>
              <w:jc w:val="right"/>
              <w:ind w:right="180"/>
              <w:spacing w:after="0"/>
              <w:rPr>
                <w:sz w:val="20"/>
                <w:szCs w:val="20"/>
                <w:color w:val="auto"/>
              </w:rPr>
            </w:pPr>
            <w:r>
              <w:rPr>
                <w:rFonts w:ascii="Arial" w:cs="Arial" w:eastAsia="Arial" w:hAnsi="Arial"/>
                <w:sz w:val="12"/>
                <w:szCs w:val="12"/>
                <w:color w:val="auto"/>
              </w:rPr>
              <w:t>432,888</w:t>
            </w:r>
          </w:p>
        </w:tc>
        <w:tc>
          <w:tcPr>
            <w:tcW w:w="200" w:type="dxa"/>
            <w:vAlign w:val="bottom"/>
            <w:tcBorders>
              <w:bottom w:val="single" w:sz="8" w:color="F2F2F2"/>
            </w:tcBorders>
            <w:shd w:val="clear" w:color="auto" w:fill="F2F2F2"/>
          </w:tcPr>
          <w:p>
            <w:pPr>
              <w:spacing w:after="0"/>
              <w:rPr>
                <w:sz w:val="21"/>
                <w:szCs w:val="21"/>
                <w:color w:val="auto"/>
              </w:rPr>
            </w:pPr>
          </w:p>
        </w:tc>
        <w:tc>
          <w:tcPr>
            <w:tcW w:w="160" w:type="dxa"/>
            <w:vAlign w:val="bottom"/>
            <w:tcBorders>
              <w:bottom w:val="single" w:sz="8" w:color="F2F2F2"/>
            </w:tcBorders>
            <w:shd w:val="clear" w:color="auto" w:fill="F2F2F2"/>
          </w:tcPr>
          <w:p>
            <w:pPr>
              <w:spacing w:after="0"/>
              <w:rPr>
                <w:sz w:val="21"/>
                <w:szCs w:val="21"/>
                <w:color w:val="auto"/>
              </w:rPr>
            </w:pPr>
          </w:p>
        </w:tc>
        <w:tc>
          <w:tcPr>
            <w:tcW w:w="42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top w:val="single" w:sz="8" w:color="7F7F7F"/>
              <w:bottom w:val="single" w:sz="8" w:color="7F7F7F"/>
            </w:tcBorders>
            <w:gridSpan w:val="3"/>
          </w:tcPr>
          <w:p>
            <w:pPr>
              <w:jc w:val="right"/>
              <w:spacing w:after="0"/>
              <w:rPr>
                <w:sz w:val="20"/>
                <w:szCs w:val="20"/>
                <w:color w:val="auto"/>
              </w:rPr>
            </w:pPr>
            <w:r>
              <w:rPr>
                <w:rFonts w:ascii="Arial" w:cs="Arial" w:eastAsia="Arial" w:hAnsi="Arial"/>
                <w:sz w:val="12"/>
                <w:szCs w:val="12"/>
                <w:color w:val="auto"/>
              </w:rPr>
              <w:t>01/02/25</w:t>
            </w:r>
          </w:p>
        </w:tc>
        <w:tc>
          <w:tcPr>
            <w:tcW w:w="200" w:type="dxa"/>
            <w:vAlign w:val="bottom"/>
            <w:tcBorders>
              <w:top w:val="single" w:sz="8" w:color="7F7F7F"/>
              <w:bottom w:val="single" w:sz="8" w:color="7F7F7F"/>
            </w:tcBorders>
          </w:tcPr>
          <w:p>
            <w:pPr>
              <w:spacing w:after="0"/>
              <w:rPr>
                <w:sz w:val="21"/>
                <w:szCs w:val="21"/>
                <w:color w:val="auto"/>
              </w:rPr>
            </w:pPr>
          </w:p>
        </w:tc>
        <w:tc>
          <w:tcPr>
            <w:tcW w:w="34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32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240" w:type="dxa"/>
            <w:vAlign w:val="bottom"/>
            <w:tcBorders>
              <w:top w:val="single" w:sz="8" w:color="7F7F7F"/>
              <w:bottom w:val="single" w:sz="8" w:color="7F7F7F"/>
            </w:tcBorders>
          </w:tcPr>
          <w:p>
            <w:pPr>
              <w:spacing w:after="0"/>
              <w:rPr>
                <w:sz w:val="21"/>
                <w:szCs w:val="21"/>
                <w:color w:val="auto"/>
              </w:rPr>
            </w:pPr>
          </w:p>
        </w:tc>
        <w:tc>
          <w:tcPr>
            <w:tcW w:w="220" w:type="dxa"/>
            <w:vAlign w:val="bottom"/>
            <w:tcBorders>
              <w:top w:val="single" w:sz="8" w:color="7F7F7F"/>
              <w:bottom w:val="single" w:sz="8" w:color="7F7F7F"/>
            </w:tcBorders>
          </w:tcPr>
          <w:p>
            <w:pPr>
              <w:spacing w:after="0"/>
              <w:rPr>
                <w:sz w:val="21"/>
                <w:szCs w:val="21"/>
                <w:color w:val="auto"/>
              </w:rPr>
            </w:pPr>
          </w:p>
        </w:tc>
        <w:tc>
          <w:tcPr>
            <w:tcW w:w="24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300" w:type="dxa"/>
            <w:vAlign w:val="bottom"/>
            <w:tcBorders>
              <w:top w:val="single" w:sz="8" w:color="7F7F7F"/>
              <w:bottom w:val="single" w:sz="8" w:color="7F7F7F"/>
            </w:tcBorders>
          </w:tcPr>
          <w:p>
            <w:pPr>
              <w:spacing w:after="0"/>
              <w:rPr>
                <w:sz w:val="21"/>
                <w:szCs w:val="21"/>
                <w:color w:val="auto"/>
              </w:rPr>
            </w:pPr>
          </w:p>
        </w:tc>
        <w:tc>
          <w:tcPr>
            <w:tcW w:w="56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420" w:type="dxa"/>
            <w:vAlign w:val="bottom"/>
            <w:tcBorders>
              <w:top w:val="single" w:sz="8" w:color="7F7F7F"/>
              <w:bottom w:val="single" w:sz="8" w:color="7F7F7F"/>
            </w:tcBorders>
          </w:tcPr>
          <w:p>
            <w:pPr>
              <w:spacing w:after="0"/>
              <w:rPr>
                <w:sz w:val="21"/>
                <w:szCs w:val="21"/>
                <w:color w:val="auto"/>
              </w:rPr>
            </w:pPr>
          </w:p>
        </w:tc>
        <w:tc>
          <w:tcPr>
            <w:tcW w:w="4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40" w:type="dxa"/>
            <w:vAlign w:val="bottom"/>
            <w:tcBorders>
              <w:top w:val="single" w:sz="8" w:color="7F7F7F"/>
              <w:bottom w:val="single" w:sz="8" w:color="7F7F7F"/>
            </w:tcBorders>
          </w:tcPr>
          <w:p>
            <w:pPr>
              <w:spacing w:after="0"/>
              <w:rPr>
                <w:sz w:val="21"/>
                <w:szCs w:val="21"/>
                <w:color w:val="auto"/>
              </w:rPr>
            </w:pPr>
          </w:p>
        </w:tc>
        <w:tc>
          <w:tcPr>
            <w:tcW w:w="80" w:type="dxa"/>
            <w:vAlign w:val="bottom"/>
            <w:tcBorders>
              <w:top w:val="single" w:sz="8" w:color="7F7F7F"/>
              <w:bottom w:val="single" w:sz="8" w:color="7F7F7F"/>
            </w:tcBorders>
          </w:tcPr>
          <w:p>
            <w:pPr>
              <w:spacing w:after="0"/>
              <w:rPr>
                <w:sz w:val="21"/>
                <w:szCs w:val="21"/>
                <w:color w:val="auto"/>
              </w:rPr>
            </w:pPr>
          </w:p>
        </w:tc>
        <w:tc>
          <w:tcPr>
            <w:tcW w:w="56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820" w:type="dxa"/>
            <w:vAlign w:val="bottom"/>
            <w:tcBorders>
              <w:top w:val="single" w:sz="8" w:color="7F7F7F"/>
              <w:bottom w:val="single" w:sz="8" w:color="7F7F7F"/>
            </w:tcBorders>
            <w:gridSpan w:val="4"/>
          </w:tcPr>
          <w:p>
            <w:pPr>
              <w:jc w:val="right"/>
              <w:ind w:right="40"/>
              <w:spacing w:after="0"/>
              <w:rPr>
                <w:sz w:val="20"/>
                <w:szCs w:val="20"/>
                <w:color w:val="auto"/>
              </w:rPr>
            </w:pPr>
            <w:r>
              <w:rPr>
                <w:rFonts w:ascii="Arial" w:cs="Arial" w:eastAsia="Arial" w:hAnsi="Arial"/>
                <w:sz w:val="12"/>
                <w:szCs w:val="12"/>
                <w:color w:val="auto"/>
              </w:rPr>
              <w:t>4,903</w:t>
            </w:r>
          </w:p>
        </w:tc>
        <w:tc>
          <w:tcPr>
            <w:tcW w:w="320" w:type="dxa"/>
            <w:vAlign w:val="bottom"/>
            <w:tcBorders>
              <w:top w:val="single" w:sz="8" w:color="7F7F7F"/>
              <w:bottom w:val="single" w:sz="8" w:color="7F7F7F"/>
            </w:tcBorders>
            <w:gridSpan w:val="3"/>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bottom w:val="single" w:sz="8" w:color="7F7F7F"/>
            </w:tcBorders>
            <w:gridSpan w:val="2"/>
          </w:tcPr>
          <w:p>
            <w:pPr>
              <w:ind w:left="120"/>
              <w:spacing w:after="0"/>
              <w:rPr>
                <w:sz w:val="20"/>
                <w:szCs w:val="20"/>
                <w:color w:val="auto"/>
              </w:rPr>
            </w:pPr>
            <w:r>
              <w:rPr>
                <w:rFonts w:ascii="Arial" w:cs="Arial" w:eastAsia="Arial" w:hAnsi="Arial"/>
                <w:sz w:val="12"/>
                <w:szCs w:val="12"/>
                <w:color w:val="auto"/>
                <w:w w:val="99"/>
              </w:rPr>
              <w:t>432,888</w:t>
            </w:r>
            <w:r>
              <w:rPr>
                <w:rFonts w:ascii="Arial" w:cs="Arial" w:eastAsia="Arial" w:hAnsi="Arial"/>
                <w:sz w:val="18"/>
                <w:szCs w:val="18"/>
                <w:color w:val="auto"/>
                <w:w w:val="99"/>
                <w:vertAlign w:val="superscript"/>
              </w:rPr>
              <w:t>(H)</w:t>
            </w: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820" w:type="dxa"/>
            <w:vAlign w:val="bottom"/>
            <w:tcBorders>
              <w:bottom w:val="single" w:sz="8" w:color="F2F2F2"/>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01/02/24</w:t>
            </w:r>
          </w:p>
        </w:tc>
        <w:tc>
          <w:tcPr>
            <w:tcW w:w="200" w:type="dxa"/>
            <w:vAlign w:val="bottom"/>
            <w:tcBorders>
              <w:bottom w:val="single" w:sz="8" w:color="F2F2F2"/>
            </w:tcBorders>
            <w:shd w:val="clear" w:color="auto" w:fill="F2F2F2"/>
          </w:tcPr>
          <w:p>
            <w:pPr>
              <w:spacing w:after="0"/>
              <w:rPr>
                <w:sz w:val="21"/>
                <w:szCs w:val="21"/>
                <w:color w:val="auto"/>
              </w:rPr>
            </w:pPr>
          </w:p>
        </w:tc>
        <w:tc>
          <w:tcPr>
            <w:tcW w:w="34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32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30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460" w:type="dxa"/>
            <w:vAlign w:val="bottom"/>
            <w:tcBorders>
              <w:bottom w:val="single" w:sz="8" w:color="F2F2F2"/>
            </w:tcBorders>
            <w:gridSpan w:val="2"/>
            <w:shd w:val="clear" w:color="auto" w:fill="F2F2F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740" w:type="dxa"/>
            <w:vAlign w:val="bottom"/>
            <w:tcBorders>
              <w:bottom w:val="single" w:sz="8" w:color="F2F2F2"/>
            </w:tcBorders>
            <w:gridSpan w:val="2"/>
            <w:shd w:val="clear" w:color="auto" w:fill="F2F2F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F2F2F2"/>
            </w:tcBorders>
            <w:shd w:val="clear" w:color="auto" w:fill="F2F2F2"/>
          </w:tcPr>
          <w:p>
            <w:pPr>
              <w:spacing w:after="0"/>
              <w:rPr>
                <w:sz w:val="21"/>
                <w:szCs w:val="21"/>
                <w:color w:val="auto"/>
              </w:rPr>
            </w:pPr>
          </w:p>
        </w:tc>
        <w:tc>
          <w:tcPr>
            <w:tcW w:w="160" w:type="dxa"/>
            <w:vAlign w:val="bottom"/>
            <w:tcBorders>
              <w:bottom w:val="single" w:sz="8" w:color="F2F2F2"/>
            </w:tcBorders>
            <w:shd w:val="clear" w:color="auto" w:fill="F2F2F2"/>
          </w:tcPr>
          <w:p>
            <w:pPr>
              <w:spacing w:after="0"/>
              <w:rPr>
                <w:sz w:val="21"/>
                <w:szCs w:val="21"/>
                <w:color w:val="auto"/>
              </w:rPr>
            </w:pPr>
          </w:p>
        </w:tc>
        <w:tc>
          <w:tcPr>
            <w:tcW w:w="42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820" w:type="dxa"/>
            <w:vAlign w:val="bottom"/>
            <w:tcBorders>
              <w:top w:val="single" w:sz="8" w:color="7F7F7F"/>
            </w:tcBorders>
            <w:gridSpan w:val="3"/>
          </w:tcPr>
          <w:p>
            <w:pPr>
              <w:jc w:val="right"/>
              <w:spacing w:after="0"/>
              <w:rPr>
                <w:sz w:val="20"/>
                <w:szCs w:val="20"/>
                <w:color w:val="auto"/>
              </w:rPr>
            </w:pPr>
            <w:r>
              <w:rPr>
                <w:rFonts w:ascii="Arial" w:cs="Arial" w:eastAsia="Arial" w:hAnsi="Arial"/>
                <w:sz w:val="12"/>
                <w:szCs w:val="12"/>
                <w:color w:val="auto"/>
              </w:rPr>
              <w:t>01/02/24</w:t>
            </w:r>
          </w:p>
        </w:tc>
        <w:tc>
          <w:tcPr>
            <w:tcW w:w="200" w:type="dxa"/>
            <w:vAlign w:val="bottom"/>
            <w:tcBorders>
              <w:top w:val="single" w:sz="8" w:color="7F7F7F"/>
            </w:tcBorders>
          </w:tcPr>
          <w:p>
            <w:pPr>
              <w:spacing w:after="0"/>
              <w:rPr>
                <w:sz w:val="16"/>
                <w:szCs w:val="16"/>
                <w:color w:val="auto"/>
              </w:rPr>
            </w:pPr>
          </w:p>
        </w:tc>
        <w:tc>
          <w:tcPr>
            <w:tcW w:w="34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32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40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40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240" w:type="dxa"/>
            <w:vAlign w:val="bottom"/>
            <w:tcBorders>
              <w:top w:val="single" w:sz="8" w:color="7F7F7F"/>
            </w:tcBorders>
          </w:tcPr>
          <w:p>
            <w:pPr>
              <w:spacing w:after="0"/>
              <w:rPr>
                <w:sz w:val="16"/>
                <w:szCs w:val="16"/>
                <w:color w:val="auto"/>
              </w:rPr>
            </w:pPr>
          </w:p>
        </w:tc>
        <w:tc>
          <w:tcPr>
            <w:tcW w:w="220" w:type="dxa"/>
            <w:vAlign w:val="bottom"/>
            <w:tcBorders>
              <w:top w:val="single" w:sz="8" w:color="7F7F7F"/>
            </w:tcBorders>
          </w:tcPr>
          <w:p>
            <w:pPr>
              <w:spacing w:after="0"/>
              <w:rPr>
                <w:sz w:val="16"/>
                <w:szCs w:val="16"/>
                <w:color w:val="auto"/>
              </w:rPr>
            </w:pPr>
          </w:p>
        </w:tc>
        <w:tc>
          <w:tcPr>
            <w:tcW w:w="24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300" w:type="dxa"/>
            <w:vAlign w:val="bottom"/>
            <w:tcBorders>
              <w:top w:val="single" w:sz="8" w:color="7F7F7F"/>
            </w:tcBorders>
          </w:tcPr>
          <w:p>
            <w:pPr>
              <w:spacing w:after="0"/>
              <w:rPr>
                <w:sz w:val="16"/>
                <w:szCs w:val="16"/>
                <w:color w:val="auto"/>
              </w:rPr>
            </w:pPr>
          </w:p>
        </w:tc>
        <w:tc>
          <w:tcPr>
            <w:tcW w:w="560" w:type="dxa"/>
            <w:vAlign w:val="bottom"/>
            <w:tcBorders>
              <w:top w:val="single" w:sz="8" w:color="7F7F7F"/>
            </w:tcBorders>
          </w:tcPr>
          <w:p>
            <w:pPr>
              <w:spacing w:after="0"/>
              <w:rPr>
                <w:sz w:val="16"/>
                <w:szCs w:val="16"/>
                <w:color w:val="auto"/>
              </w:rPr>
            </w:pPr>
          </w:p>
        </w:tc>
        <w:tc>
          <w:tcPr>
            <w:tcW w:w="640" w:type="dxa"/>
            <w:vAlign w:val="bottom"/>
            <w:tcBorders>
              <w:top w:val="single" w:sz="8" w:color="7F7F7F"/>
            </w:tcBorders>
            <w:gridSpan w:val="3"/>
          </w:tcPr>
          <w:p>
            <w:pPr>
              <w:jc w:val="right"/>
              <w:ind w:right="40"/>
              <w:spacing w:after="0"/>
              <w:rPr>
                <w:sz w:val="20"/>
                <w:szCs w:val="20"/>
                <w:color w:val="auto"/>
              </w:rPr>
            </w:pPr>
            <w:r>
              <w:rPr>
                <w:rFonts w:ascii="Arial" w:cs="Arial" w:eastAsia="Arial" w:hAnsi="Arial"/>
                <w:sz w:val="12"/>
                <w:szCs w:val="12"/>
                <w:color w:val="auto"/>
              </w:rPr>
              <w:t>1,297</w:t>
            </w:r>
          </w:p>
        </w:tc>
        <w:tc>
          <w:tcPr>
            <w:tcW w:w="320" w:type="dxa"/>
            <w:vAlign w:val="bottom"/>
            <w:tcBorders>
              <w:top w:val="single" w:sz="8" w:color="7F7F7F"/>
            </w:tcBorders>
            <w:gridSpan w:val="3"/>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tcBorders>
            <w:gridSpan w:val="2"/>
          </w:tcPr>
          <w:p>
            <w:pPr>
              <w:jc w:val="right"/>
              <w:ind w:right="180"/>
              <w:spacing w:after="0"/>
              <w:rPr>
                <w:sz w:val="20"/>
                <w:szCs w:val="20"/>
                <w:color w:val="auto"/>
              </w:rPr>
            </w:pPr>
            <w:r>
              <w:rPr>
                <w:rFonts w:ascii="Arial" w:cs="Arial" w:eastAsia="Arial" w:hAnsi="Arial"/>
                <w:sz w:val="12"/>
                <w:szCs w:val="12"/>
                <w:color w:val="auto"/>
              </w:rPr>
              <w:t>114,490</w:t>
            </w:r>
          </w:p>
        </w:tc>
        <w:tc>
          <w:tcPr>
            <w:tcW w:w="200" w:type="dxa"/>
            <w:vAlign w:val="bottom"/>
            <w:tcBorders>
              <w:top w:val="single" w:sz="8" w:color="7F7F7F"/>
            </w:tcBorders>
          </w:tcPr>
          <w:p>
            <w:pPr>
              <w:spacing w:after="0"/>
              <w:rPr>
                <w:sz w:val="16"/>
                <w:szCs w:val="16"/>
                <w:color w:val="auto"/>
              </w:rPr>
            </w:pPr>
          </w:p>
        </w:tc>
        <w:tc>
          <w:tcPr>
            <w:tcW w:w="160" w:type="dxa"/>
            <w:vAlign w:val="bottom"/>
            <w:tcBorders>
              <w:top w:val="single" w:sz="8" w:color="7F7F7F"/>
            </w:tcBorders>
          </w:tcPr>
          <w:p>
            <w:pPr>
              <w:spacing w:after="0"/>
              <w:rPr>
                <w:sz w:val="16"/>
                <w:szCs w:val="16"/>
                <w:color w:val="auto"/>
              </w:rPr>
            </w:pPr>
          </w:p>
        </w:tc>
        <w:tc>
          <w:tcPr>
            <w:tcW w:w="420" w:type="dxa"/>
            <w:vAlign w:val="bottom"/>
            <w:tcBorders>
              <w:top w:val="single" w:sz="8" w:color="7F7F7F"/>
            </w:tcBorders>
          </w:tcPr>
          <w:p>
            <w:pPr>
              <w:spacing w:after="0"/>
              <w:rPr>
                <w:sz w:val="16"/>
                <w:szCs w:val="16"/>
                <w:color w:val="auto"/>
              </w:rPr>
            </w:pPr>
          </w:p>
        </w:tc>
        <w:tc>
          <w:tcPr>
            <w:tcW w:w="40" w:type="dxa"/>
            <w:vAlign w:val="bottom"/>
            <w:tcBorders>
              <w:top w:val="single" w:sz="8" w:color="7F7F7F"/>
            </w:tcBorders>
          </w:tcPr>
          <w:p>
            <w:pPr>
              <w:spacing w:after="0"/>
              <w:rPr>
                <w:sz w:val="16"/>
                <w:szCs w:val="16"/>
                <w:color w:val="auto"/>
              </w:rPr>
            </w:pPr>
          </w:p>
        </w:tc>
        <w:tc>
          <w:tcPr>
            <w:tcW w:w="200" w:type="dxa"/>
            <w:vAlign w:val="bottom"/>
            <w:tcBorders>
              <w:top w:val="single" w:sz="8" w:color="7F7F7F"/>
            </w:tcBorders>
          </w:tcPr>
          <w:p>
            <w:pPr>
              <w:spacing w:after="0"/>
              <w:rPr>
                <w:sz w:val="16"/>
                <w:szCs w:val="16"/>
                <w:color w:val="auto"/>
              </w:rPr>
            </w:pPr>
          </w:p>
        </w:tc>
        <w:tc>
          <w:tcPr>
            <w:tcW w:w="40" w:type="dxa"/>
            <w:vAlign w:val="bottom"/>
            <w:tcBorders>
              <w:top w:val="single" w:sz="8" w:color="7F7F7F"/>
            </w:tcBorders>
          </w:tcPr>
          <w:p>
            <w:pPr>
              <w:spacing w:after="0"/>
              <w:rPr>
                <w:sz w:val="16"/>
                <w:szCs w:val="16"/>
                <w:color w:val="auto"/>
              </w:rPr>
            </w:pPr>
          </w:p>
        </w:tc>
        <w:tc>
          <w:tcPr>
            <w:tcW w:w="80" w:type="dxa"/>
            <w:vAlign w:val="bottom"/>
            <w:tcBorders>
              <w:top w:val="single" w:sz="8" w:color="7F7F7F"/>
            </w:tcBorders>
          </w:tcPr>
          <w:p>
            <w:pPr>
              <w:spacing w:after="0"/>
              <w:rPr>
                <w:sz w:val="16"/>
                <w:szCs w:val="16"/>
                <w:color w:val="auto"/>
              </w:rPr>
            </w:pPr>
          </w:p>
        </w:tc>
        <w:tc>
          <w:tcPr>
            <w:tcW w:w="560" w:type="dxa"/>
            <w:vAlign w:val="bottom"/>
            <w:tcBorders>
              <w:top w:val="single" w:sz="8" w:color="7F7F7F"/>
            </w:tcBorders>
          </w:tcPr>
          <w:p>
            <w:pPr>
              <w:spacing w:after="0"/>
              <w:rPr>
                <w:sz w:val="16"/>
                <w:szCs w:val="16"/>
                <w:color w:val="auto"/>
              </w:rPr>
            </w:pPr>
          </w:p>
        </w:tc>
        <w:tc>
          <w:tcPr>
            <w:tcW w:w="180" w:type="dxa"/>
            <w:vAlign w:val="bottom"/>
            <w:tcBorders>
              <w:top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820" w:type="dxa"/>
            <w:vAlign w:val="bottom"/>
            <w:tcBorders>
              <w:bottom w:val="single" w:sz="8" w:color="7F7F7F"/>
            </w:tcBorders>
            <w:gridSpan w:val="3"/>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2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gridSpan w:val="3"/>
          </w:tcPr>
          <w:p>
            <w:pPr>
              <w:spacing w:after="0"/>
              <w:rPr>
                <w:sz w:val="4"/>
                <w:szCs w:val="4"/>
                <w:color w:val="auto"/>
              </w:rPr>
            </w:pPr>
          </w:p>
        </w:tc>
        <w:tc>
          <w:tcPr>
            <w:tcW w:w="320" w:type="dxa"/>
            <w:vAlign w:val="bottom"/>
            <w:tcBorders>
              <w:bottom w:val="single" w:sz="8" w:color="7F7F7F"/>
            </w:tcBorders>
            <w:gridSpan w:val="3"/>
          </w:tcPr>
          <w:p>
            <w:pPr>
              <w:spacing w:after="0"/>
              <w:rPr>
                <w:sz w:val="4"/>
                <w:szCs w:val="4"/>
                <w:color w:val="auto"/>
              </w:rPr>
            </w:pPr>
          </w:p>
        </w:tc>
        <w:tc>
          <w:tcPr>
            <w:tcW w:w="740" w:type="dxa"/>
            <w:vAlign w:val="bottom"/>
            <w:tcBorders>
              <w:bottom w:val="single" w:sz="8" w:color="7F7F7F"/>
            </w:tcBorders>
            <w:gridSpan w:val="2"/>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160" w:type="dxa"/>
            <w:vAlign w:val="bottom"/>
            <w:tcBorders>
              <w:bottom w:val="single" w:sz="8" w:color="7F7F7F"/>
            </w:tcBorders>
          </w:tcPr>
          <w:p>
            <w:pPr>
              <w:spacing w:after="0"/>
              <w:rPr>
                <w:sz w:val="4"/>
                <w:szCs w:val="4"/>
                <w:color w:val="auto"/>
              </w:rPr>
            </w:pPr>
          </w:p>
        </w:tc>
        <w:tc>
          <w:tcPr>
            <w:tcW w:w="42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40" w:type="dxa"/>
            <w:vAlign w:val="bottom"/>
            <w:tcBorders>
              <w:bottom w:val="single" w:sz="8" w:color="7F7F7F"/>
            </w:tcBorders>
          </w:tcPr>
          <w:p>
            <w:pPr>
              <w:spacing w:after="0"/>
              <w:rPr>
                <w:sz w:val="4"/>
                <w:szCs w:val="4"/>
                <w:color w:val="auto"/>
              </w:rPr>
            </w:pPr>
          </w:p>
        </w:tc>
        <w:tc>
          <w:tcPr>
            <w:tcW w:w="8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18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340" w:type="dxa"/>
            <w:vAlign w:val="bottom"/>
          </w:tcPr>
          <w:p>
            <w:pPr>
              <w:spacing w:after="0"/>
              <w:rPr>
                <w:sz w:val="21"/>
                <w:szCs w:val="21"/>
                <w:color w:val="auto"/>
              </w:rPr>
            </w:pPr>
          </w:p>
        </w:tc>
        <w:tc>
          <w:tcPr>
            <w:tcW w:w="820" w:type="dxa"/>
            <w:vAlign w:val="bottom"/>
            <w:tcBorders>
              <w:bottom w:val="single" w:sz="8" w:color="F2F2F2"/>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01/02/24</w:t>
            </w:r>
          </w:p>
        </w:tc>
        <w:tc>
          <w:tcPr>
            <w:tcW w:w="200" w:type="dxa"/>
            <w:vAlign w:val="bottom"/>
            <w:tcBorders>
              <w:bottom w:val="single" w:sz="8" w:color="F2F2F2"/>
            </w:tcBorders>
            <w:shd w:val="clear" w:color="auto" w:fill="F2F2F2"/>
          </w:tcPr>
          <w:p>
            <w:pPr>
              <w:spacing w:after="0"/>
              <w:rPr>
                <w:sz w:val="21"/>
                <w:szCs w:val="21"/>
                <w:color w:val="auto"/>
              </w:rPr>
            </w:pPr>
          </w:p>
        </w:tc>
        <w:tc>
          <w:tcPr>
            <w:tcW w:w="34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32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20" w:type="dxa"/>
            <w:vAlign w:val="bottom"/>
            <w:tcBorders>
              <w:bottom w:val="single" w:sz="8" w:color="F2F2F2"/>
            </w:tcBorders>
            <w:shd w:val="clear" w:color="auto" w:fill="F2F2F2"/>
          </w:tcPr>
          <w:p>
            <w:pPr>
              <w:spacing w:after="0"/>
              <w:rPr>
                <w:sz w:val="21"/>
                <w:szCs w:val="21"/>
                <w:color w:val="auto"/>
              </w:rPr>
            </w:pPr>
          </w:p>
        </w:tc>
        <w:tc>
          <w:tcPr>
            <w:tcW w:w="2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30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640" w:type="dxa"/>
            <w:vAlign w:val="bottom"/>
            <w:tcBorders>
              <w:bottom w:val="single" w:sz="8" w:color="F2F2F2"/>
            </w:tcBorders>
            <w:gridSpan w:val="3"/>
            <w:shd w:val="clear" w:color="auto" w:fill="F2F2F2"/>
          </w:tcPr>
          <w:p>
            <w:pPr>
              <w:jc w:val="right"/>
              <w:ind w:right="40"/>
              <w:spacing w:after="0"/>
              <w:rPr>
                <w:sz w:val="20"/>
                <w:szCs w:val="20"/>
                <w:color w:val="auto"/>
              </w:rPr>
            </w:pPr>
            <w:r>
              <w:rPr>
                <w:rFonts w:ascii="Arial" w:cs="Arial" w:eastAsia="Arial" w:hAnsi="Arial"/>
                <w:sz w:val="12"/>
                <w:szCs w:val="12"/>
                <w:color w:val="auto"/>
              </w:rPr>
              <w:t>3,798</w:t>
            </w:r>
          </w:p>
        </w:tc>
        <w:tc>
          <w:tcPr>
            <w:tcW w:w="320" w:type="dxa"/>
            <w:vAlign w:val="bottom"/>
            <w:tcBorders>
              <w:bottom w:val="single" w:sz="8" w:color="F2F2F2"/>
            </w:tcBorders>
            <w:gridSpan w:val="3"/>
            <w:shd w:val="clear" w:color="auto" w:fill="F2F2F2"/>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F2F2F2"/>
            </w:tcBorders>
            <w:gridSpan w:val="2"/>
            <w:shd w:val="clear" w:color="auto" w:fill="F2F2F2"/>
          </w:tcPr>
          <w:p>
            <w:pPr>
              <w:jc w:val="right"/>
              <w:ind w:right="180"/>
              <w:spacing w:after="0"/>
              <w:rPr>
                <w:sz w:val="20"/>
                <w:szCs w:val="20"/>
                <w:color w:val="auto"/>
              </w:rPr>
            </w:pPr>
            <w:r>
              <w:rPr>
                <w:rFonts w:ascii="Arial" w:cs="Arial" w:eastAsia="Arial" w:hAnsi="Arial"/>
                <w:sz w:val="12"/>
                <w:szCs w:val="12"/>
                <w:color w:val="auto"/>
              </w:rPr>
              <w:t>335,315</w:t>
            </w:r>
          </w:p>
        </w:tc>
        <w:tc>
          <w:tcPr>
            <w:tcW w:w="200" w:type="dxa"/>
            <w:vAlign w:val="bottom"/>
            <w:tcBorders>
              <w:bottom w:val="single" w:sz="8" w:color="F2F2F2"/>
            </w:tcBorders>
            <w:shd w:val="clear" w:color="auto" w:fill="F2F2F2"/>
          </w:tcPr>
          <w:p>
            <w:pPr>
              <w:spacing w:after="0"/>
              <w:rPr>
                <w:sz w:val="21"/>
                <w:szCs w:val="21"/>
                <w:color w:val="auto"/>
              </w:rPr>
            </w:pPr>
          </w:p>
        </w:tc>
        <w:tc>
          <w:tcPr>
            <w:tcW w:w="160" w:type="dxa"/>
            <w:vAlign w:val="bottom"/>
            <w:tcBorders>
              <w:bottom w:val="single" w:sz="8" w:color="F2F2F2"/>
            </w:tcBorders>
            <w:shd w:val="clear" w:color="auto" w:fill="F2F2F2"/>
          </w:tcPr>
          <w:p>
            <w:pPr>
              <w:spacing w:after="0"/>
              <w:rPr>
                <w:sz w:val="21"/>
                <w:szCs w:val="21"/>
                <w:color w:val="auto"/>
              </w:rPr>
            </w:pPr>
          </w:p>
        </w:tc>
        <w:tc>
          <w:tcPr>
            <w:tcW w:w="42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200" w:type="dxa"/>
            <w:vAlign w:val="bottom"/>
            <w:tcBorders>
              <w:bottom w:val="single" w:sz="8" w:color="F2F2F2"/>
            </w:tcBorders>
            <w:shd w:val="clear" w:color="auto" w:fill="F2F2F2"/>
          </w:tcPr>
          <w:p>
            <w:pPr>
              <w:spacing w:after="0"/>
              <w:rPr>
                <w:sz w:val="21"/>
                <w:szCs w:val="21"/>
                <w:color w:val="auto"/>
              </w:rPr>
            </w:pPr>
          </w:p>
        </w:tc>
        <w:tc>
          <w:tcPr>
            <w:tcW w:w="40" w:type="dxa"/>
            <w:vAlign w:val="bottom"/>
            <w:tcBorders>
              <w:bottom w:val="single" w:sz="8" w:color="F2F2F2"/>
            </w:tcBorders>
            <w:shd w:val="clear" w:color="auto" w:fill="F2F2F2"/>
          </w:tcPr>
          <w:p>
            <w:pPr>
              <w:spacing w:after="0"/>
              <w:rPr>
                <w:sz w:val="21"/>
                <w:szCs w:val="21"/>
                <w:color w:val="auto"/>
              </w:rPr>
            </w:pPr>
          </w:p>
        </w:tc>
        <w:tc>
          <w:tcPr>
            <w:tcW w:w="80" w:type="dxa"/>
            <w:vAlign w:val="bottom"/>
            <w:tcBorders>
              <w:bottom w:val="single" w:sz="8" w:color="F2F2F2"/>
            </w:tcBorders>
            <w:shd w:val="clear" w:color="auto" w:fill="F2F2F2"/>
          </w:tcPr>
          <w:p>
            <w:pPr>
              <w:spacing w:after="0"/>
              <w:rPr>
                <w:sz w:val="21"/>
                <w:szCs w:val="21"/>
                <w:color w:val="auto"/>
              </w:rPr>
            </w:pPr>
          </w:p>
        </w:tc>
        <w:tc>
          <w:tcPr>
            <w:tcW w:w="560" w:type="dxa"/>
            <w:vAlign w:val="bottom"/>
            <w:tcBorders>
              <w:bottom w:val="single" w:sz="8" w:color="F2F2F2"/>
            </w:tcBorders>
            <w:shd w:val="clear" w:color="auto" w:fill="F2F2F2"/>
          </w:tcPr>
          <w:p>
            <w:pPr>
              <w:spacing w:after="0"/>
              <w:rPr>
                <w:sz w:val="21"/>
                <w:szCs w:val="21"/>
                <w:color w:val="auto"/>
              </w:rPr>
            </w:pPr>
          </w:p>
        </w:tc>
        <w:tc>
          <w:tcPr>
            <w:tcW w:w="180" w:type="dxa"/>
            <w:vAlign w:val="bottom"/>
            <w:tcBorders>
              <w:bottom w:val="single" w:sz="8" w:color="F2F2F2"/>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top w:val="single" w:sz="8" w:color="7F7F7F"/>
              <w:bottom w:val="single" w:sz="8" w:color="7F7F7F"/>
            </w:tcBorders>
            <w:gridSpan w:val="3"/>
          </w:tcPr>
          <w:p>
            <w:pPr>
              <w:jc w:val="right"/>
              <w:spacing w:after="0"/>
              <w:rPr>
                <w:sz w:val="20"/>
                <w:szCs w:val="20"/>
                <w:color w:val="auto"/>
              </w:rPr>
            </w:pPr>
            <w:r>
              <w:rPr>
                <w:rFonts w:ascii="Arial" w:cs="Arial" w:eastAsia="Arial" w:hAnsi="Arial"/>
                <w:sz w:val="12"/>
                <w:szCs w:val="12"/>
                <w:color w:val="auto"/>
              </w:rPr>
              <w:t>01/02/24</w:t>
            </w:r>
          </w:p>
        </w:tc>
        <w:tc>
          <w:tcPr>
            <w:tcW w:w="200" w:type="dxa"/>
            <w:vAlign w:val="bottom"/>
            <w:tcBorders>
              <w:top w:val="single" w:sz="8" w:color="7F7F7F"/>
              <w:bottom w:val="single" w:sz="8" w:color="7F7F7F"/>
            </w:tcBorders>
          </w:tcPr>
          <w:p>
            <w:pPr>
              <w:spacing w:after="0"/>
              <w:rPr>
                <w:sz w:val="21"/>
                <w:szCs w:val="21"/>
                <w:color w:val="auto"/>
              </w:rPr>
            </w:pPr>
          </w:p>
        </w:tc>
        <w:tc>
          <w:tcPr>
            <w:tcW w:w="34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32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240" w:type="dxa"/>
            <w:vAlign w:val="bottom"/>
            <w:tcBorders>
              <w:top w:val="single" w:sz="8" w:color="7F7F7F"/>
              <w:bottom w:val="single" w:sz="8" w:color="7F7F7F"/>
            </w:tcBorders>
          </w:tcPr>
          <w:p>
            <w:pPr>
              <w:spacing w:after="0"/>
              <w:rPr>
                <w:sz w:val="21"/>
                <w:szCs w:val="21"/>
                <w:color w:val="auto"/>
              </w:rPr>
            </w:pPr>
          </w:p>
        </w:tc>
        <w:tc>
          <w:tcPr>
            <w:tcW w:w="220" w:type="dxa"/>
            <w:vAlign w:val="bottom"/>
            <w:tcBorders>
              <w:top w:val="single" w:sz="8" w:color="7F7F7F"/>
              <w:bottom w:val="single" w:sz="8" w:color="7F7F7F"/>
            </w:tcBorders>
          </w:tcPr>
          <w:p>
            <w:pPr>
              <w:spacing w:after="0"/>
              <w:rPr>
                <w:sz w:val="21"/>
                <w:szCs w:val="21"/>
                <w:color w:val="auto"/>
              </w:rPr>
            </w:pPr>
          </w:p>
        </w:tc>
        <w:tc>
          <w:tcPr>
            <w:tcW w:w="24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300" w:type="dxa"/>
            <w:vAlign w:val="bottom"/>
            <w:tcBorders>
              <w:top w:val="single" w:sz="8" w:color="7F7F7F"/>
              <w:bottom w:val="single" w:sz="8" w:color="7F7F7F"/>
            </w:tcBorders>
          </w:tcPr>
          <w:p>
            <w:pPr>
              <w:spacing w:after="0"/>
              <w:rPr>
                <w:sz w:val="21"/>
                <w:szCs w:val="21"/>
                <w:color w:val="auto"/>
              </w:rPr>
            </w:pPr>
          </w:p>
        </w:tc>
        <w:tc>
          <w:tcPr>
            <w:tcW w:w="56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420" w:type="dxa"/>
            <w:vAlign w:val="bottom"/>
            <w:tcBorders>
              <w:top w:val="single" w:sz="8" w:color="7F7F7F"/>
              <w:bottom w:val="single" w:sz="8" w:color="7F7F7F"/>
            </w:tcBorders>
          </w:tcPr>
          <w:p>
            <w:pPr>
              <w:spacing w:after="0"/>
              <w:rPr>
                <w:sz w:val="21"/>
                <w:szCs w:val="21"/>
                <w:color w:val="auto"/>
              </w:rPr>
            </w:pPr>
          </w:p>
        </w:tc>
        <w:tc>
          <w:tcPr>
            <w:tcW w:w="40" w:type="dxa"/>
            <w:vAlign w:val="bottom"/>
            <w:tcBorders>
              <w:top w:val="single" w:sz="8" w:color="7F7F7F"/>
              <w:bottom w:val="single" w:sz="8" w:color="7F7F7F"/>
            </w:tcBorders>
          </w:tcPr>
          <w:p>
            <w:pPr>
              <w:spacing w:after="0"/>
              <w:rPr>
                <w:sz w:val="21"/>
                <w:szCs w:val="21"/>
                <w:color w:val="auto"/>
              </w:rPr>
            </w:pPr>
          </w:p>
        </w:tc>
        <w:tc>
          <w:tcPr>
            <w:tcW w:w="200" w:type="dxa"/>
            <w:vAlign w:val="bottom"/>
            <w:tcBorders>
              <w:top w:val="single" w:sz="8" w:color="7F7F7F"/>
              <w:bottom w:val="single" w:sz="8" w:color="7F7F7F"/>
            </w:tcBorders>
          </w:tcPr>
          <w:p>
            <w:pPr>
              <w:spacing w:after="0"/>
              <w:rPr>
                <w:sz w:val="21"/>
                <w:szCs w:val="21"/>
                <w:color w:val="auto"/>
              </w:rPr>
            </w:pPr>
          </w:p>
        </w:tc>
        <w:tc>
          <w:tcPr>
            <w:tcW w:w="40" w:type="dxa"/>
            <w:vAlign w:val="bottom"/>
            <w:tcBorders>
              <w:top w:val="single" w:sz="8" w:color="7F7F7F"/>
              <w:bottom w:val="single" w:sz="8" w:color="7F7F7F"/>
            </w:tcBorders>
          </w:tcPr>
          <w:p>
            <w:pPr>
              <w:spacing w:after="0"/>
              <w:rPr>
                <w:sz w:val="21"/>
                <w:szCs w:val="21"/>
                <w:color w:val="auto"/>
              </w:rPr>
            </w:pPr>
          </w:p>
        </w:tc>
        <w:tc>
          <w:tcPr>
            <w:tcW w:w="80" w:type="dxa"/>
            <w:vAlign w:val="bottom"/>
            <w:tcBorders>
              <w:top w:val="single" w:sz="8" w:color="7F7F7F"/>
              <w:bottom w:val="single" w:sz="8" w:color="7F7F7F"/>
            </w:tcBorders>
          </w:tcPr>
          <w:p>
            <w:pPr>
              <w:spacing w:after="0"/>
              <w:rPr>
                <w:sz w:val="21"/>
                <w:szCs w:val="21"/>
                <w:color w:val="auto"/>
              </w:rPr>
            </w:pPr>
          </w:p>
        </w:tc>
        <w:tc>
          <w:tcPr>
            <w:tcW w:w="560" w:type="dxa"/>
            <w:vAlign w:val="bottom"/>
            <w:tcBorders>
              <w:top w:val="single" w:sz="8" w:color="7F7F7F"/>
              <w:bottom w:val="single" w:sz="8" w:color="7F7F7F"/>
            </w:tcBorders>
          </w:tcPr>
          <w:p>
            <w:pPr>
              <w:spacing w:after="0"/>
              <w:rPr>
                <w:sz w:val="21"/>
                <w:szCs w:val="21"/>
                <w:color w:val="auto"/>
              </w:rPr>
            </w:pPr>
          </w:p>
        </w:tc>
        <w:tc>
          <w:tcPr>
            <w:tcW w:w="180" w:type="dxa"/>
            <w:vAlign w:val="bottom"/>
            <w:tcBorders>
              <w:top w:val="single" w:sz="8" w:color="7F7F7F"/>
              <w:bottom w:val="single" w:sz="8" w:color="7F7F7F"/>
            </w:tcBorders>
          </w:tcPr>
          <w:p>
            <w:pPr>
              <w:spacing w:after="0"/>
              <w:rPr>
                <w:sz w:val="21"/>
                <w:szCs w:val="21"/>
                <w:color w:val="auto"/>
              </w:rPr>
            </w:pPr>
          </w:p>
        </w:tc>
        <w:tc>
          <w:tcPr>
            <w:tcW w:w="820" w:type="dxa"/>
            <w:vAlign w:val="bottom"/>
            <w:tcBorders>
              <w:top w:val="single" w:sz="8" w:color="7F7F7F"/>
              <w:bottom w:val="single" w:sz="8" w:color="7F7F7F"/>
            </w:tcBorders>
            <w:gridSpan w:val="4"/>
          </w:tcPr>
          <w:p>
            <w:pPr>
              <w:jc w:val="right"/>
              <w:ind w:right="40"/>
              <w:spacing w:after="0"/>
              <w:rPr>
                <w:sz w:val="20"/>
                <w:szCs w:val="20"/>
                <w:color w:val="auto"/>
              </w:rPr>
            </w:pPr>
            <w:r>
              <w:rPr>
                <w:rFonts w:ascii="Arial" w:cs="Arial" w:eastAsia="Arial" w:hAnsi="Arial"/>
                <w:sz w:val="12"/>
                <w:szCs w:val="12"/>
                <w:color w:val="auto"/>
              </w:rPr>
              <w:t>2,532</w:t>
            </w:r>
          </w:p>
        </w:tc>
        <w:tc>
          <w:tcPr>
            <w:tcW w:w="320" w:type="dxa"/>
            <w:vAlign w:val="bottom"/>
            <w:tcBorders>
              <w:top w:val="single" w:sz="8" w:color="7F7F7F"/>
              <w:bottom w:val="single" w:sz="8" w:color="7F7F7F"/>
            </w:tcBorders>
            <w:gridSpan w:val="3"/>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bottom w:val="single" w:sz="8" w:color="7F7F7F"/>
            </w:tcBorders>
            <w:gridSpan w:val="2"/>
          </w:tcPr>
          <w:p>
            <w:pPr>
              <w:ind w:left="120"/>
              <w:spacing w:after="0"/>
              <w:rPr>
                <w:sz w:val="20"/>
                <w:szCs w:val="20"/>
                <w:color w:val="auto"/>
              </w:rPr>
            </w:pPr>
            <w:r>
              <w:rPr>
                <w:rFonts w:ascii="Arial" w:cs="Arial" w:eastAsia="Arial" w:hAnsi="Arial"/>
                <w:sz w:val="12"/>
                <w:szCs w:val="12"/>
                <w:color w:val="auto"/>
              </w:rPr>
              <w:t>223,543</w:t>
            </w:r>
            <w:r>
              <w:rPr>
                <w:rFonts w:ascii="Arial" w:cs="Arial" w:eastAsia="Arial" w:hAnsi="Arial"/>
                <w:sz w:val="18"/>
                <w:szCs w:val="18"/>
                <w:color w:val="auto"/>
                <w:vertAlign w:val="superscript"/>
              </w:rPr>
              <w:t>(I)</w:t>
            </w: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bottom w:val="single" w:sz="8" w:color="7F7F7F"/>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01/03/23</w:t>
            </w:r>
          </w:p>
        </w:tc>
        <w:tc>
          <w:tcPr>
            <w:tcW w:w="200" w:type="dxa"/>
            <w:vAlign w:val="bottom"/>
            <w:tcBorders>
              <w:bottom w:val="single" w:sz="8" w:color="7F7F7F"/>
            </w:tcBorders>
            <w:shd w:val="clear" w:color="auto" w:fill="F2F2F2"/>
          </w:tcPr>
          <w:p>
            <w:pPr>
              <w:spacing w:after="0"/>
              <w:rPr>
                <w:sz w:val="21"/>
                <w:szCs w:val="21"/>
                <w:color w:val="auto"/>
              </w:rPr>
            </w:pPr>
          </w:p>
        </w:tc>
        <w:tc>
          <w:tcPr>
            <w:tcW w:w="34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32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2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30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640" w:type="dxa"/>
            <w:vAlign w:val="bottom"/>
            <w:tcBorders>
              <w:bottom w:val="single" w:sz="8" w:color="7F7F7F"/>
            </w:tcBorders>
            <w:gridSpan w:val="3"/>
            <w:shd w:val="clear" w:color="auto" w:fill="F2F2F2"/>
          </w:tcPr>
          <w:p>
            <w:pPr>
              <w:jc w:val="right"/>
              <w:ind w:right="40"/>
              <w:spacing w:after="0"/>
              <w:rPr>
                <w:sz w:val="20"/>
                <w:szCs w:val="20"/>
                <w:color w:val="auto"/>
              </w:rPr>
            </w:pPr>
            <w:r>
              <w:rPr>
                <w:rFonts w:ascii="Arial" w:cs="Arial" w:eastAsia="Arial" w:hAnsi="Arial"/>
                <w:sz w:val="12"/>
                <w:szCs w:val="12"/>
                <w:color w:val="auto"/>
              </w:rPr>
              <w:t>749</w:t>
            </w:r>
          </w:p>
        </w:tc>
        <w:tc>
          <w:tcPr>
            <w:tcW w:w="320" w:type="dxa"/>
            <w:vAlign w:val="bottom"/>
            <w:tcBorders>
              <w:bottom w:val="single" w:sz="8" w:color="7F7F7F"/>
            </w:tcBorders>
            <w:gridSpan w:val="3"/>
            <w:shd w:val="clear" w:color="auto" w:fill="F2F2F2"/>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gridSpan w:val="2"/>
            <w:shd w:val="clear" w:color="auto" w:fill="F2F2F2"/>
          </w:tcPr>
          <w:p>
            <w:pPr>
              <w:jc w:val="right"/>
              <w:ind w:right="60"/>
              <w:spacing w:after="0"/>
              <w:rPr>
                <w:sz w:val="20"/>
                <w:szCs w:val="20"/>
                <w:color w:val="auto"/>
              </w:rPr>
            </w:pPr>
            <w:r>
              <w:rPr>
                <w:rFonts w:ascii="Arial" w:cs="Arial" w:eastAsia="Arial" w:hAnsi="Arial"/>
                <w:sz w:val="12"/>
                <w:szCs w:val="12"/>
                <w:color w:val="auto"/>
              </w:rPr>
              <w:t>66,158</w:t>
            </w:r>
            <w:r>
              <w:rPr>
                <w:rFonts w:ascii="Arial" w:cs="Arial" w:eastAsia="Arial" w:hAnsi="Arial"/>
                <w:sz w:val="18"/>
                <w:szCs w:val="18"/>
                <w:color w:val="auto"/>
                <w:vertAlign w:val="superscript"/>
              </w:rPr>
              <w:t>(F)</w:t>
            </w:r>
          </w:p>
        </w:tc>
        <w:tc>
          <w:tcPr>
            <w:tcW w:w="200" w:type="dxa"/>
            <w:vAlign w:val="bottom"/>
            <w:tcBorders>
              <w:bottom w:val="single" w:sz="8" w:color="7F7F7F"/>
            </w:tcBorders>
            <w:shd w:val="clear" w:color="auto" w:fill="F2F2F2"/>
          </w:tcPr>
          <w:p>
            <w:pPr>
              <w:spacing w:after="0"/>
              <w:rPr>
                <w:sz w:val="21"/>
                <w:szCs w:val="21"/>
                <w:color w:val="auto"/>
              </w:rPr>
            </w:pPr>
          </w:p>
        </w:tc>
        <w:tc>
          <w:tcPr>
            <w:tcW w:w="160" w:type="dxa"/>
            <w:vAlign w:val="bottom"/>
            <w:tcBorders>
              <w:bottom w:val="single" w:sz="8" w:color="7F7F7F"/>
            </w:tcBorders>
            <w:shd w:val="clear" w:color="auto" w:fill="F2F2F2"/>
          </w:tcPr>
          <w:p>
            <w:pPr>
              <w:spacing w:after="0"/>
              <w:rPr>
                <w:sz w:val="21"/>
                <w:szCs w:val="21"/>
                <w:color w:val="auto"/>
              </w:rPr>
            </w:pPr>
          </w:p>
        </w:tc>
        <w:tc>
          <w:tcPr>
            <w:tcW w:w="42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8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bottom w:val="single" w:sz="8" w:color="7F7F7F"/>
            </w:tcBorders>
            <w:gridSpan w:val="3"/>
          </w:tcPr>
          <w:p>
            <w:pPr>
              <w:jc w:val="right"/>
              <w:spacing w:after="0"/>
              <w:rPr>
                <w:sz w:val="20"/>
                <w:szCs w:val="20"/>
                <w:color w:val="auto"/>
              </w:rPr>
            </w:pPr>
            <w:r>
              <w:rPr>
                <w:rFonts w:ascii="Arial" w:cs="Arial" w:eastAsia="Arial" w:hAnsi="Arial"/>
                <w:sz w:val="12"/>
                <w:szCs w:val="12"/>
                <w:color w:val="auto"/>
              </w:rPr>
              <w:t>01/03/23</w:t>
            </w:r>
          </w:p>
        </w:tc>
        <w:tc>
          <w:tcPr>
            <w:tcW w:w="200" w:type="dxa"/>
            <w:vAlign w:val="bottom"/>
            <w:tcBorders>
              <w:bottom w:val="single" w:sz="8" w:color="7F7F7F"/>
            </w:tcBorders>
          </w:tcPr>
          <w:p>
            <w:pPr>
              <w:spacing w:after="0"/>
              <w:rPr>
                <w:sz w:val="21"/>
                <w:szCs w:val="21"/>
                <w:color w:val="auto"/>
              </w:rPr>
            </w:pPr>
          </w:p>
        </w:tc>
        <w:tc>
          <w:tcPr>
            <w:tcW w:w="34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32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240" w:type="dxa"/>
            <w:vAlign w:val="bottom"/>
            <w:tcBorders>
              <w:bottom w:val="single" w:sz="8" w:color="7F7F7F"/>
            </w:tcBorders>
          </w:tcPr>
          <w:p>
            <w:pPr>
              <w:spacing w:after="0"/>
              <w:rPr>
                <w:sz w:val="21"/>
                <w:szCs w:val="21"/>
                <w:color w:val="auto"/>
              </w:rPr>
            </w:pPr>
          </w:p>
        </w:tc>
        <w:tc>
          <w:tcPr>
            <w:tcW w:w="220" w:type="dxa"/>
            <w:vAlign w:val="bottom"/>
            <w:tcBorders>
              <w:bottom w:val="single" w:sz="8" w:color="7F7F7F"/>
            </w:tcBorders>
          </w:tcPr>
          <w:p>
            <w:pPr>
              <w:spacing w:after="0"/>
              <w:rPr>
                <w:sz w:val="21"/>
                <w:szCs w:val="21"/>
                <w:color w:val="auto"/>
              </w:rPr>
            </w:pPr>
          </w:p>
        </w:tc>
        <w:tc>
          <w:tcPr>
            <w:tcW w:w="24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300" w:type="dxa"/>
            <w:vAlign w:val="bottom"/>
            <w:tcBorders>
              <w:bottom w:val="single" w:sz="8" w:color="7F7F7F"/>
            </w:tcBorders>
          </w:tcPr>
          <w:p>
            <w:pPr>
              <w:spacing w:after="0"/>
              <w:rPr>
                <w:sz w:val="21"/>
                <w:szCs w:val="21"/>
                <w:color w:val="auto"/>
              </w:rPr>
            </w:pPr>
          </w:p>
        </w:tc>
        <w:tc>
          <w:tcPr>
            <w:tcW w:w="560" w:type="dxa"/>
            <w:vAlign w:val="bottom"/>
            <w:tcBorders>
              <w:bottom w:val="single" w:sz="8" w:color="7F7F7F"/>
            </w:tcBorders>
          </w:tcPr>
          <w:p>
            <w:pPr>
              <w:spacing w:after="0"/>
              <w:rPr>
                <w:sz w:val="21"/>
                <w:szCs w:val="21"/>
                <w:color w:val="auto"/>
              </w:rPr>
            </w:pPr>
          </w:p>
        </w:tc>
        <w:tc>
          <w:tcPr>
            <w:tcW w:w="640" w:type="dxa"/>
            <w:vAlign w:val="bottom"/>
            <w:tcBorders>
              <w:bottom w:val="single" w:sz="8" w:color="7F7F7F"/>
            </w:tcBorders>
            <w:gridSpan w:val="3"/>
          </w:tcPr>
          <w:p>
            <w:pPr>
              <w:jc w:val="right"/>
              <w:ind w:right="40"/>
              <w:spacing w:after="0"/>
              <w:rPr>
                <w:sz w:val="20"/>
                <w:szCs w:val="20"/>
                <w:color w:val="auto"/>
              </w:rPr>
            </w:pPr>
            <w:r>
              <w:rPr>
                <w:rFonts w:ascii="Arial" w:cs="Arial" w:eastAsia="Arial" w:hAnsi="Arial"/>
                <w:sz w:val="12"/>
                <w:szCs w:val="12"/>
                <w:color w:val="auto"/>
              </w:rPr>
              <w:t>1,046</w:t>
            </w:r>
          </w:p>
        </w:tc>
        <w:tc>
          <w:tcPr>
            <w:tcW w:w="320" w:type="dxa"/>
            <w:vAlign w:val="bottom"/>
            <w:tcBorders>
              <w:bottom w:val="single" w:sz="8" w:color="7F7F7F"/>
            </w:tcBorders>
            <w:gridSpan w:val="3"/>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7F7F7F"/>
            </w:tcBorders>
            <w:gridSpan w:val="2"/>
          </w:tcPr>
          <w:p>
            <w:pPr>
              <w:jc w:val="right"/>
              <w:ind w:right="60"/>
              <w:spacing w:after="0"/>
              <w:rPr>
                <w:sz w:val="20"/>
                <w:szCs w:val="20"/>
                <w:color w:val="auto"/>
              </w:rPr>
            </w:pPr>
            <w:r>
              <w:rPr>
                <w:rFonts w:ascii="Arial" w:cs="Arial" w:eastAsia="Arial" w:hAnsi="Arial"/>
                <w:sz w:val="12"/>
                <w:szCs w:val="12"/>
                <w:color w:val="auto"/>
              </w:rPr>
              <w:t>92,371</w:t>
            </w:r>
            <w:r>
              <w:rPr>
                <w:rFonts w:ascii="Arial" w:cs="Arial" w:eastAsia="Arial" w:hAnsi="Arial"/>
                <w:sz w:val="18"/>
                <w:szCs w:val="18"/>
                <w:color w:val="auto"/>
                <w:vertAlign w:val="superscript"/>
              </w:rPr>
              <w:t>(F)</w:t>
            </w:r>
          </w:p>
        </w:tc>
        <w:tc>
          <w:tcPr>
            <w:tcW w:w="200" w:type="dxa"/>
            <w:vAlign w:val="bottom"/>
            <w:tcBorders>
              <w:bottom w:val="single" w:sz="8" w:color="7F7F7F"/>
            </w:tcBorders>
          </w:tcPr>
          <w:p>
            <w:pPr>
              <w:spacing w:after="0"/>
              <w:rPr>
                <w:sz w:val="21"/>
                <w:szCs w:val="21"/>
                <w:color w:val="auto"/>
              </w:rPr>
            </w:pPr>
          </w:p>
        </w:tc>
        <w:tc>
          <w:tcPr>
            <w:tcW w:w="160" w:type="dxa"/>
            <w:vAlign w:val="bottom"/>
            <w:tcBorders>
              <w:bottom w:val="single" w:sz="8" w:color="7F7F7F"/>
            </w:tcBorders>
          </w:tcPr>
          <w:p>
            <w:pPr>
              <w:spacing w:after="0"/>
              <w:rPr>
                <w:sz w:val="21"/>
                <w:szCs w:val="21"/>
                <w:color w:val="auto"/>
              </w:rPr>
            </w:pPr>
          </w:p>
        </w:tc>
        <w:tc>
          <w:tcPr>
            <w:tcW w:w="420" w:type="dxa"/>
            <w:vAlign w:val="bottom"/>
            <w:tcBorders>
              <w:bottom w:val="single" w:sz="8" w:color="7F7F7F"/>
            </w:tcBorders>
          </w:tcPr>
          <w:p>
            <w:pPr>
              <w:spacing w:after="0"/>
              <w:rPr>
                <w:sz w:val="21"/>
                <w:szCs w:val="21"/>
                <w:color w:val="auto"/>
              </w:rPr>
            </w:pPr>
          </w:p>
        </w:tc>
        <w:tc>
          <w:tcPr>
            <w:tcW w:w="40" w:type="dxa"/>
            <w:vAlign w:val="bottom"/>
            <w:tcBorders>
              <w:bottom w:val="single" w:sz="8" w:color="7F7F7F"/>
            </w:tcBorders>
          </w:tcPr>
          <w:p>
            <w:pPr>
              <w:spacing w:after="0"/>
              <w:rPr>
                <w:sz w:val="21"/>
                <w:szCs w:val="21"/>
                <w:color w:val="auto"/>
              </w:rPr>
            </w:pPr>
          </w:p>
        </w:tc>
        <w:tc>
          <w:tcPr>
            <w:tcW w:w="200" w:type="dxa"/>
            <w:vAlign w:val="bottom"/>
            <w:tcBorders>
              <w:bottom w:val="single" w:sz="8" w:color="7F7F7F"/>
            </w:tcBorders>
          </w:tcPr>
          <w:p>
            <w:pPr>
              <w:spacing w:after="0"/>
              <w:rPr>
                <w:sz w:val="21"/>
                <w:szCs w:val="21"/>
                <w:color w:val="auto"/>
              </w:rPr>
            </w:pPr>
          </w:p>
        </w:tc>
        <w:tc>
          <w:tcPr>
            <w:tcW w:w="40" w:type="dxa"/>
            <w:vAlign w:val="bottom"/>
            <w:tcBorders>
              <w:bottom w:val="single" w:sz="8" w:color="7F7F7F"/>
            </w:tcBorders>
          </w:tcPr>
          <w:p>
            <w:pPr>
              <w:spacing w:after="0"/>
              <w:rPr>
                <w:sz w:val="21"/>
                <w:szCs w:val="21"/>
                <w:color w:val="auto"/>
              </w:rPr>
            </w:pPr>
          </w:p>
        </w:tc>
        <w:tc>
          <w:tcPr>
            <w:tcW w:w="80" w:type="dxa"/>
            <w:vAlign w:val="bottom"/>
            <w:tcBorders>
              <w:bottom w:val="single" w:sz="8" w:color="7F7F7F"/>
            </w:tcBorders>
          </w:tcPr>
          <w:p>
            <w:pPr>
              <w:spacing w:after="0"/>
              <w:rPr>
                <w:sz w:val="21"/>
                <w:szCs w:val="21"/>
                <w:color w:val="auto"/>
              </w:rPr>
            </w:pPr>
          </w:p>
        </w:tc>
        <w:tc>
          <w:tcPr>
            <w:tcW w:w="560" w:type="dxa"/>
            <w:vAlign w:val="bottom"/>
            <w:tcBorders>
              <w:bottom w:val="single" w:sz="8" w:color="7F7F7F"/>
            </w:tcBorders>
          </w:tcPr>
          <w:p>
            <w:pPr>
              <w:spacing w:after="0"/>
              <w:rPr>
                <w:sz w:val="21"/>
                <w:szCs w:val="21"/>
                <w:color w:val="auto"/>
              </w:rPr>
            </w:pPr>
          </w:p>
        </w:tc>
        <w:tc>
          <w:tcPr>
            <w:tcW w:w="180" w:type="dxa"/>
            <w:vAlign w:val="bottom"/>
            <w:tcBorders>
              <w:bottom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340" w:type="dxa"/>
            <w:vAlign w:val="bottom"/>
          </w:tcPr>
          <w:p>
            <w:pPr>
              <w:spacing w:after="0"/>
              <w:rPr>
                <w:sz w:val="21"/>
                <w:szCs w:val="21"/>
                <w:color w:val="auto"/>
              </w:rPr>
            </w:pPr>
          </w:p>
        </w:tc>
        <w:tc>
          <w:tcPr>
            <w:tcW w:w="820" w:type="dxa"/>
            <w:vAlign w:val="bottom"/>
            <w:tcBorders>
              <w:bottom w:val="single" w:sz="8" w:color="7F7F7F"/>
            </w:tcBorders>
            <w:gridSpan w:val="3"/>
            <w:shd w:val="clear" w:color="auto" w:fill="F2F2F2"/>
          </w:tcPr>
          <w:p>
            <w:pPr>
              <w:jc w:val="right"/>
              <w:spacing w:after="0"/>
              <w:rPr>
                <w:sz w:val="20"/>
                <w:szCs w:val="20"/>
                <w:color w:val="auto"/>
              </w:rPr>
            </w:pPr>
            <w:r>
              <w:rPr>
                <w:rFonts w:ascii="Arial" w:cs="Arial" w:eastAsia="Arial" w:hAnsi="Arial"/>
                <w:sz w:val="12"/>
                <w:szCs w:val="12"/>
                <w:color w:val="auto"/>
              </w:rPr>
              <w:t>01/03/23</w:t>
            </w:r>
          </w:p>
        </w:tc>
        <w:tc>
          <w:tcPr>
            <w:tcW w:w="200" w:type="dxa"/>
            <w:vAlign w:val="bottom"/>
            <w:tcBorders>
              <w:bottom w:val="single" w:sz="8" w:color="7F7F7F"/>
            </w:tcBorders>
            <w:shd w:val="clear" w:color="auto" w:fill="F2F2F2"/>
          </w:tcPr>
          <w:p>
            <w:pPr>
              <w:spacing w:after="0"/>
              <w:rPr>
                <w:sz w:val="21"/>
                <w:szCs w:val="21"/>
                <w:color w:val="auto"/>
              </w:rPr>
            </w:pPr>
          </w:p>
        </w:tc>
        <w:tc>
          <w:tcPr>
            <w:tcW w:w="34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32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20" w:type="dxa"/>
            <w:vAlign w:val="bottom"/>
            <w:tcBorders>
              <w:bottom w:val="single" w:sz="8" w:color="7F7F7F"/>
            </w:tcBorders>
            <w:shd w:val="clear" w:color="auto" w:fill="F2F2F2"/>
          </w:tcPr>
          <w:p>
            <w:pPr>
              <w:spacing w:after="0"/>
              <w:rPr>
                <w:sz w:val="21"/>
                <w:szCs w:val="21"/>
                <w:color w:val="auto"/>
              </w:rPr>
            </w:pPr>
          </w:p>
        </w:tc>
        <w:tc>
          <w:tcPr>
            <w:tcW w:w="2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30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460" w:type="dxa"/>
            <w:vAlign w:val="bottom"/>
            <w:tcBorders>
              <w:bottom w:val="single" w:sz="8" w:color="7F7F7F"/>
            </w:tcBorders>
            <w:gridSpan w:val="2"/>
            <w:shd w:val="clear" w:color="auto" w:fill="F2F2F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80" w:type="dxa"/>
            <w:vAlign w:val="bottom"/>
            <w:tcBorders>
              <w:bottom w:val="single" w:sz="8" w:color="7F7F7F"/>
            </w:tcBorders>
            <w:shd w:val="clear" w:color="auto" w:fill="F2F2F2"/>
          </w:tcPr>
          <w:p>
            <w:pPr>
              <w:spacing w:after="0"/>
              <w:rPr>
                <w:sz w:val="21"/>
                <w:szCs w:val="21"/>
                <w:color w:val="auto"/>
              </w:rPr>
            </w:pPr>
          </w:p>
        </w:tc>
        <w:tc>
          <w:tcPr>
            <w:tcW w:w="740" w:type="dxa"/>
            <w:vAlign w:val="bottom"/>
            <w:tcBorders>
              <w:bottom w:val="single" w:sz="8" w:color="7F7F7F"/>
            </w:tcBorders>
            <w:gridSpan w:val="2"/>
            <w:shd w:val="clear" w:color="auto" w:fill="F2F2F2"/>
          </w:tcPr>
          <w:p>
            <w:pPr>
              <w:jc w:val="right"/>
              <w:ind w:right="40"/>
              <w:spacing w:after="0" w:line="248"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9"/>
                <w:szCs w:val="9"/>
                <w:color w:val="auto"/>
              </w:rPr>
              <w:t>(G)</w:t>
            </w:r>
          </w:p>
        </w:tc>
        <w:tc>
          <w:tcPr>
            <w:tcW w:w="200" w:type="dxa"/>
            <w:vAlign w:val="bottom"/>
            <w:tcBorders>
              <w:bottom w:val="single" w:sz="8" w:color="7F7F7F"/>
            </w:tcBorders>
            <w:shd w:val="clear" w:color="auto" w:fill="F2F2F2"/>
          </w:tcPr>
          <w:p>
            <w:pPr>
              <w:spacing w:after="0"/>
              <w:rPr>
                <w:sz w:val="21"/>
                <w:szCs w:val="21"/>
                <w:color w:val="auto"/>
              </w:rPr>
            </w:pPr>
          </w:p>
        </w:tc>
        <w:tc>
          <w:tcPr>
            <w:tcW w:w="160" w:type="dxa"/>
            <w:vAlign w:val="bottom"/>
            <w:tcBorders>
              <w:bottom w:val="single" w:sz="8" w:color="7F7F7F"/>
            </w:tcBorders>
            <w:shd w:val="clear" w:color="auto" w:fill="F2F2F2"/>
          </w:tcPr>
          <w:p>
            <w:pPr>
              <w:spacing w:after="0"/>
              <w:rPr>
                <w:sz w:val="21"/>
                <w:szCs w:val="21"/>
                <w:color w:val="auto"/>
              </w:rPr>
            </w:pPr>
          </w:p>
        </w:tc>
        <w:tc>
          <w:tcPr>
            <w:tcW w:w="42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200" w:type="dxa"/>
            <w:vAlign w:val="bottom"/>
            <w:tcBorders>
              <w:bottom w:val="single" w:sz="8" w:color="7F7F7F"/>
            </w:tcBorders>
            <w:shd w:val="clear" w:color="auto" w:fill="F2F2F2"/>
          </w:tcPr>
          <w:p>
            <w:pPr>
              <w:spacing w:after="0"/>
              <w:rPr>
                <w:sz w:val="21"/>
                <w:szCs w:val="21"/>
                <w:color w:val="auto"/>
              </w:rPr>
            </w:pPr>
          </w:p>
        </w:tc>
        <w:tc>
          <w:tcPr>
            <w:tcW w:w="40" w:type="dxa"/>
            <w:vAlign w:val="bottom"/>
            <w:tcBorders>
              <w:bottom w:val="single" w:sz="8" w:color="7F7F7F"/>
            </w:tcBorders>
            <w:shd w:val="clear" w:color="auto" w:fill="F2F2F2"/>
          </w:tcPr>
          <w:p>
            <w:pPr>
              <w:spacing w:after="0"/>
              <w:rPr>
                <w:sz w:val="21"/>
                <w:szCs w:val="21"/>
                <w:color w:val="auto"/>
              </w:rPr>
            </w:pPr>
          </w:p>
        </w:tc>
        <w:tc>
          <w:tcPr>
            <w:tcW w:w="80" w:type="dxa"/>
            <w:vAlign w:val="bottom"/>
            <w:tcBorders>
              <w:bottom w:val="single" w:sz="8" w:color="7F7F7F"/>
            </w:tcBorders>
            <w:shd w:val="clear" w:color="auto" w:fill="F2F2F2"/>
          </w:tcPr>
          <w:p>
            <w:pPr>
              <w:spacing w:after="0"/>
              <w:rPr>
                <w:sz w:val="21"/>
                <w:szCs w:val="21"/>
                <w:color w:val="auto"/>
              </w:rPr>
            </w:pPr>
          </w:p>
        </w:tc>
        <w:tc>
          <w:tcPr>
            <w:tcW w:w="560" w:type="dxa"/>
            <w:vAlign w:val="bottom"/>
            <w:tcBorders>
              <w:bottom w:val="single" w:sz="8" w:color="7F7F7F"/>
            </w:tcBorders>
            <w:shd w:val="clear" w:color="auto" w:fill="F2F2F2"/>
          </w:tcPr>
          <w:p>
            <w:pPr>
              <w:spacing w:after="0"/>
              <w:rPr>
                <w:sz w:val="21"/>
                <w:szCs w:val="21"/>
                <w:color w:val="auto"/>
              </w:rPr>
            </w:pPr>
          </w:p>
        </w:tc>
        <w:tc>
          <w:tcPr>
            <w:tcW w:w="180" w:type="dxa"/>
            <w:vAlign w:val="bottom"/>
            <w:tcBorders>
              <w:bottom w:val="single" w:sz="8" w:color="7F7F7F"/>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2"/>
                <w:szCs w:val="12"/>
                <w:color w:val="auto"/>
              </w:rPr>
              <w:t>01/03/23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Arial" w:cs="Arial" w:eastAsia="Arial" w:hAnsi="Arial"/>
                <w:sz w:val="12"/>
                <w:szCs w:val="12"/>
                <w:color w:val="auto"/>
              </w:rPr>
              <w:t>855</w:t>
            </w:r>
          </w:p>
        </w:tc>
        <w:tc>
          <w:tcPr>
            <w:tcW w:w="4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ind w:left="180"/>
              <w:spacing w:after="0" w:line="181" w:lineRule="exact"/>
              <w:rPr>
                <w:sz w:val="20"/>
                <w:szCs w:val="20"/>
                <w:color w:val="auto"/>
              </w:rPr>
            </w:pPr>
            <w:r>
              <w:rPr>
                <w:rFonts w:ascii="Arial" w:cs="Arial" w:eastAsia="Arial" w:hAnsi="Arial"/>
                <w:sz w:val="12"/>
                <w:szCs w:val="12"/>
                <w:color w:val="auto"/>
              </w:rPr>
              <w:t>75,459</w:t>
            </w:r>
            <w:r>
              <w:rPr>
                <w:rFonts w:ascii="Arial" w:cs="Arial" w:eastAsia="Arial" w:hAnsi="Arial"/>
                <w:sz w:val="18"/>
                <w:szCs w:val="18"/>
                <w:color w:val="auto"/>
                <w:vertAlign w:val="superscript"/>
              </w:rPr>
              <w:t>(J)</w:t>
            </w:r>
          </w:p>
        </w:tc>
        <w:tc>
          <w:tcPr>
            <w:tcW w:w="0" w:type="dxa"/>
            <w:vAlign w:val="bottom"/>
          </w:tcPr>
          <w:p>
            <w:pPr>
              <w:spacing w:after="0"/>
              <w:rPr>
                <w:sz w:val="1"/>
                <w:szCs w:val="1"/>
                <w:color w:val="auto"/>
              </w:rPr>
            </w:pPr>
          </w:p>
        </w:tc>
      </w:tr>
      <w:tr>
        <w:trPr>
          <w:trHeight w:val="267"/>
        </w:trPr>
        <w:tc>
          <w:tcPr>
            <w:tcW w:w="2340" w:type="dxa"/>
            <w:vAlign w:val="bottom"/>
            <w:tcBorders>
              <w:bottom w:val="single" w:sz="8" w:color="7F7F7F"/>
            </w:tcBorders>
          </w:tcPr>
          <w:p>
            <w:pPr>
              <w:spacing w:after="0"/>
              <w:rPr>
                <w:sz w:val="23"/>
                <w:szCs w:val="23"/>
                <w:color w:val="auto"/>
              </w:rPr>
            </w:pPr>
          </w:p>
        </w:tc>
        <w:tc>
          <w:tcPr>
            <w:tcW w:w="200" w:type="dxa"/>
            <w:vAlign w:val="bottom"/>
            <w:tcBorders>
              <w:bottom w:val="single" w:sz="8" w:color="7F7F7F"/>
            </w:tcBorders>
            <w:shd w:val="clear" w:color="auto" w:fill="F2F2F2"/>
          </w:tcPr>
          <w:p>
            <w:pPr>
              <w:spacing w:after="0"/>
              <w:rPr>
                <w:sz w:val="23"/>
                <w:szCs w:val="23"/>
                <w:color w:val="auto"/>
              </w:rPr>
            </w:pPr>
          </w:p>
        </w:tc>
        <w:tc>
          <w:tcPr>
            <w:tcW w:w="40" w:type="dxa"/>
            <w:vAlign w:val="bottom"/>
            <w:tcBorders>
              <w:bottom w:val="single" w:sz="8" w:color="7F7F7F"/>
            </w:tcBorders>
            <w:shd w:val="clear" w:color="auto" w:fill="F2F2F2"/>
          </w:tcPr>
          <w:p>
            <w:pPr>
              <w:spacing w:after="0"/>
              <w:rPr>
                <w:sz w:val="23"/>
                <w:szCs w:val="23"/>
                <w:color w:val="auto"/>
              </w:rPr>
            </w:pPr>
          </w:p>
        </w:tc>
        <w:tc>
          <w:tcPr>
            <w:tcW w:w="580" w:type="dxa"/>
            <w:vAlign w:val="bottom"/>
            <w:tcBorders>
              <w:bottom w:val="single" w:sz="8" w:color="7F7F7F"/>
            </w:tcBorders>
            <w:shd w:val="clear" w:color="auto" w:fill="F2F2F2"/>
          </w:tcPr>
          <w:p>
            <w:pPr>
              <w:spacing w:after="0"/>
              <w:rPr>
                <w:sz w:val="23"/>
                <w:szCs w:val="23"/>
                <w:color w:val="auto"/>
              </w:rPr>
            </w:pPr>
          </w:p>
        </w:tc>
        <w:tc>
          <w:tcPr>
            <w:tcW w:w="200" w:type="dxa"/>
            <w:vAlign w:val="bottom"/>
            <w:tcBorders>
              <w:bottom w:val="single" w:sz="8" w:color="7F7F7F"/>
            </w:tcBorders>
            <w:shd w:val="clear" w:color="auto" w:fill="F2F2F2"/>
          </w:tcPr>
          <w:p>
            <w:pPr>
              <w:spacing w:after="0"/>
              <w:rPr>
                <w:sz w:val="23"/>
                <w:szCs w:val="23"/>
                <w:color w:val="auto"/>
              </w:rPr>
            </w:pPr>
          </w:p>
        </w:tc>
        <w:tc>
          <w:tcPr>
            <w:tcW w:w="340" w:type="dxa"/>
            <w:vAlign w:val="bottom"/>
            <w:tcBorders>
              <w:bottom w:val="single" w:sz="8" w:color="7F7F7F"/>
            </w:tcBorders>
            <w:shd w:val="clear" w:color="auto" w:fill="F2F2F2"/>
          </w:tcPr>
          <w:p>
            <w:pPr>
              <w:spacing w:after="0"/>
              <w:rPr>
                <w:sz w:val="23"/>
                <w:szCs w:val="23"/>
                <w:color w:val="auto"/>
              </w:rPr>
            </w:pPr>
          </w:p>
        </w:tc>
        <w:tc>
          <w:tcPr>
            <w:tcW w:w="500" w:type="dxa"/>
            <w:vAlign w:val="bottom"/>
            <w:tcBorders>
              <w:top w:val="single" w:sz="8" w:color="7F7F7F"/>
              <w:bottom w:val="single" w:sz="8" w:color="7F7F7F"/>
            </w:tcBorders>
            <w:gridSpan w:val="2"/>
            <w:shd w:val="clear" w:color="auto" w:fill="F2F2F2"/>
          </w:tcPr>
          <w:p>
            <w:pPr>
              <w:ind w:left="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7F7F7F"/>
            </w:tcBorders>
            <w:shd w:val="clear" w:color="auto" w:fill="F2F2F2"/>
          </w:tcPr>
          <w:p>
            <w:pPr>
              <w:spacing w:after="0"/>
              <w:rPr>
                <w:sz w:val="23"/>
                <w:szCs w:val="23"/>
                <w:color w:val="auto"/>
              </w:rPr>
            </w:pPr>
          </w:p>
        </w:tc>
        <w:tc>
          <w:tcPr>
            <w:tcW w:w="400" w:type="dxa"/>
            <w:vAlign w:val="bottom"/>
            <w:tcBorders>
              <w:bottom w:val="single" w:sz="8" w:color="7F7F7F"/>
            </w:tcBorders>
            <w:shd w:val="clear" w:color="auto" w:fill="F2F2F2"/>
          </w:tcPr>
          <w:p>
            <w:pPr>
              <w:spacing w:after="0"/>
              <w:rPr>
                <w:sz w:val="23"/>
                <w:szCs w:val="23"/>
                <w:color w:val="auto"/>
              </w:rPr>
            </w:pPr>
          </w:p>
        </w:tc>
        <w:tc>
          <w:tcPr>
            <w:tcW w:w="580" w:type="dxa"/>
            <w:vAlign w:val="bottom"/>
            <w:tcBorders>
              <w:top w:val="single" w:sz="8" w:color="7F7F7F"/>
              <w:bottom w:val="single" w:sz="8" w:color="7F7F7F"/>
            </w:tcBorders>
            <w:gridSpan w:val="2"/>
            <w:shd w:val="clear" w:color="auto" w:fill="F2F2F2"/>
          </w:tcPr>
          <w:p>
            <w:pPr>
              <w:ind w:left="6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7F7F7F"/>
            </w:tcBorders>
            <w:shd w:val="clear" w:color="auto" w:fill="F2F2F2"/>
          </w:tcPr>
          <w:p>
            <w:pPr>
              <w:spacing w:after="0"/>
              <w:rPr>
                <w:sz w:val="23"/>
                <w:szCs w:val="23"/>
                <w:color w:val="auto"/>
              </w:rPr>
            </w:pPr>
          </w:p>
        </w:tc>
        <w:tc>
          <w:tcPr>
            <w:tcW w:w="700" w:type="dxa"/>
            <w:vAlign w:val="bottom"/>
            <w:tcBorders>
              <w:bottom w:val="single" w:sz="8" w:color="7F7F7F"/>
            </w:tcBorders>
            <w:gridSpan w:val="3"/>
            <w:shd w:val="clear" w:color="auto" w:fill="F2F2F2"/>
          </w:tcPr>
          <w:p>
            <w:pPr>
              <w:jc w:val="right"/>
              <w:ind w:right="120"/>
              <w:spacing w:after="0" w:line="267" w:lineRule="exact"/>
              <w:rPr>
                <w:sz w:val="20"/>
                <w:szCs w:val="20"/>
                <w:color w:val="auto"/>
              </w:rPr>
            </w:pPr>
            <w:r>
              <w:rPr>
                <w:rFonts w:ascii="Arial" w:cs="Arial" w:eastAsia="Arial" w:hAnsi="Arial"/>
                <w:sz w:val="24"/>
                <w:szCs w:val="24"/>
                <w:color w:val="auto"/>
                <w:vertAlign w:val="subscript"/>
              </w:rPr>
              <w:t>$ —</w:t>
            </w:r>
            <w:r>
              <w:rPr>
                <w:rFonts w:ascii="Arial" w:cs="Arial" w:eastAsia="Arial" w:hAnsi="Arial"/>
                <w:sz w:val="9"/>
                <w:szCs w:val="9"/>
                <w:color w:val="auto"/>
              </w:rPr>
              <w:t>(E)</w:t>
            </w:r>
          </w:p>
        </w:tc>
        <w:tc>
          <w:tcPr>
            <w:tcW w:w="200" w:type="dxa"/>
            <w:vAlign w:val="bottom"/>
            <w:tcBorders>
              <w:bottom w:val="single" w:sz="8" w:color="7F7F7F"/>
            </w:tcBorders>
            <w:shd w:val="clear" w:color="auto" w:fill="F2F2F2"/>
          </w:tcPr>
          <w:p>
            <w:pPr>
              <w:spacing w:after="0"/>
              <w:rPr>
                <w:sz w:val="23"/>
                <w:szCs w:val="23"/>
                <w:color w:val="auto"/>
              </w:rPr>
            </w:pPr>
          </w:p>
        </w:tc>
        <w:tc>
          <w:tcPr>
            <w:tcW w:w="300" w:type="dxa"/>
            <w:vAlign w:val="bottom"/>
            <w:tcBorders>
              <w:bottom w:val="single" w:sz="8" w:color="7F7F7F"/>
            </w:tcBorders>
            <w:shd w:val="clear" w:color="auto" w:fill="F2F2F2"/>
          </w:tcPr>
          <w:p>
            <w:pPr>
              <w:spacing w:after="0"/>
              <w:rPr>
                <w:sz w:val="23"/>
                <w:szCs w:val="23"/>
                <w:color w:val="auto"/>
              </w:rPr>
            </w:pPr>
          </w:p>
        </w:tc>
        <w:tc>
          <w:tcPr>
            <w:tcW w:w="560" w:type="dxa"/>
            <w:vAlign w:val="bottom"/>
            <w:tcBorders>
              <w:bottom w:val="single" w:sz="8" w:color="7F7F7F"/>
            </w:tcBorders>
            <w:shd w:val="clear" w:color="auto" w:fill="F2F2F2"/>
          </w:tcPr>
          <w:p>
            <w:pPr>
              <w:spacing w:after="0"/>
              <w:rPr>
                <w:sz w:val="23"/>
                <w:szCs w:val="23"/>
                <w:color w:val="auto"/>
              </w:rPr>
            </w:pPr>
          </w:p>
        </w:tc>
        <w:tc>
          <w:tcPr>
            <w:tcW w:w="640" w:type="dxa"/>
            <w:vAlign w:val="bottom"/>
            <w:tcBorders>
              <w:bottom w:val="single" w:sz="8" w:color="7F7F7F"/>
            </w:tcBorders>
            <w:gridSpan w:val="3"/>
            <w:shd w:val="clear" w:color="auto" w:fill="F2F2F2"/>
          </w:tcPr>
          <w:p>
            <w:pPr>
              <w:jc w:val="right"/>
              <w:ind w:right="40"/>
              <w:spacing w:after="0"/>
              <w:rPr>
                <w:sz w:val="20"/>
                <w:szCs w:val="20"/>
                <w:color w:val="auto"/>
              </w:rPr>
            </w:pPr>
            <w:r>
              <w:rPr>
                <w:rFonts w:ascii="Arial" w:cs="Arial" w:eastAsia="Arial" w:hAnsi="Arial"/>
                <w:sz w:val="12"/>
                <w:szCs w:val="12"/>
                <w:color w:val="auto"/>
              </w:rPr>
              <w:t>13,096</w:t>
            </w:r>
          </w:p>
        </w:tc>
        <w:tc>
          <w:tcPr>
            <w:tcW w:w="320" w:type="dxa"/>
            <w:vAlign w:val="bottom"/>
            <w:tcBorders>
              <w:bottom w:val="single" w:sz="8" w:color="7F7F7F"/>
            </w:tcBorders>
            <w:gridSpan w:val="3"/>
            <w:shd w:val="clear" w:color="auto" w:fill="F2F2F2"/>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bottom w:val="single" w:sz="8" w:color="7F7F7F"/>
            </w:tcBorders>
            <w:gridSpan w:val="2"/>
            <w:shd w:val="clear" w:color="auto" w:fill="F2F2F2"/>
          </w:tcPr>
          <w:p>
            <w:pPr>
              <w:jc w:val="right"/>
              <w:ind w:right="180"/>
              <w:spacing w:after="0"/>
              <w:rPr>
                <w:sz w:val="20"/>
                <w:szCs w:val="20"/>
                <w:color w:val="auto"/>
              </w:rPr>
            </w:pPr>
            <w:r>
              <w:rPr>
                <w:rFonts w:ascii="Arial" w:cs="Arial" w:eastAsia="Arial" w:hAnsi="Arial"/>
                <w:sz w:val="12"/>
                <w:szCs w:val="12"/>
                <w:color w:val="auto"/>
              </w:rPr>
              <w:t>1,156,292</w:t>
            </w:r>
          </w:p>
        </w:tc>
        <w:tc>
          <w:tcPr>
            <w:tcW w:w="820" w:type="dxa"/>
            <w:vAlign w:val="bottom"/>
            <w:tcBorders>
              <w:bottom w:val="single" w:sz="8" w:color="7F7F7F"/>
            </w:tcBorders>
            <w:gridSpan w:val="4"/>
            <w:shd w:val="clear" w:color="auto" w:fill="F2F2F2"/>
          </w:tcPr>
          <w:p>
            <w:pPr>
              <w:jc w:val="right"/>
              <w:ind w:right="40"/>
              <w:spacing w:after="0"/>
              <w:rPr>
                <w:sz w:val="20"/>
                <w:szCs w:val="20"/>
                <w:color w:val="auto"/>
              </w:rPr>
            </w:pPr>
            <w:r>
              <w:rPr>
                <w:rFonts w:ascii="Arial" w:cs="Arial" w:eastAsia="Arial" w:hAnsi="Arial"/>
                <w:sz w:val="12"/>
                <w:szCs w:val="12"/>
                <w:color w:val="auto"/>
              </w:rPr>
              <w:t>8,290</w:t>
            </w:r>
          </w:p>
        </w:tc>
        <w:tc>
          <w:tcPr>
            <w:tcW w:w="320" w:type="dxa"/>
            <w:vAlign w:val="bottom"/>
            <w:tcBorders>
              <w:bottom w:val="single" w:sz="8" w:color="7F7F7F"/>
            </w:tcBorders>
            <w:gridSpan w:val="3"/>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F7F7F"/>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731,890</w:t>
            </w:r>
          </w:p>
        </w:tc>
        <w:tc>
          <w:tcPr>
            <w:tcW w:w="180" w:type="dxa"/>
            <w:vAlign w:val="bottom"/>
            <w:tcBorders>
              <w:bottom w:val="single" w:sz="8" w:color="7F7F7F"/>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2237740</wp:posOffset>
            </wp:positionH>
            <wp:positionV relativeFrom="paragraph">
              <wp:posOffset>-4704080</wp:posOffset>
            </wp:positionV>
            <wp:extent cx="128206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82065" cy="8255"/>
                    </a:xfrm>
                    <a:prstGeom prst="rect">
                      <a:avLst/>
                    </a:prstGeom>
                    <a:noFill/>
                  </pic:spPr>
                </pic:pic>
              </a:graphicData>
            </a:graphic>
          </wp:anchor>
        </w:drawing>
        <w:drawing>
          <wp:anchor simplePos="0" relativeHeight="251657728" behindDoc="1" locked="0" layoutInCell="0" allowOverlap="1">
            <wp:simplePos x="0" y="0"/>
            <wp:positionH relativeFrom="column">
              <wp:posOffset>2237740</wp:posOffset>
            </wp:positionH>
            <wp:positionV relativeFrom="paragraph">
              <wp:posOffset>-4993005</wp:posOffset>
            </wp:positionV>
            <wp:extent cx="47980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7980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-5340985</wp:posOffset>
            </wp:positionV>
            <wp:extent cx="226758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42" w:lineRule="exact"/>
        <w:rPr>
          <w:sz w:val="20"/>
          <w:szCs w:val="20"/>
          <w:color w:val="auto"/>
        </w:rPr>
      </w:pPr>
    </w:p>
    <w:p>
      <w:pPr>
        <w:ind w:left="480" w:right="280" w:hanging="313"/>
        <w:spacing w:after="0" w:line="255" w:lineRule="auto"/>
        <w:tabs>
          <w:tab w:leader="none" w:pos="4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Stock options generally will vest and become exercisable ratably over three years and remain exercisable until expiration at the end of a 10-year term, subject to earlier expiration following termination of employment except in certain circumstances. For information about the treatment of stock options in the event of a termination of employment before the end of the vesting period or a change in control, see “Severance and Change in Control Benefits” below.</w:t>
      </w:r>
    </w:p>
    <w:p>
      <w:pPr>
        <w:spacing w:after="0" w:line="1" w:lineRule="exact"/>
        <w:rPr>
          <w:rFonts w:ascii="Arial" w:cs="Arial" w:eastAsia="Arial" w:hAnsi="Arial"/>
          <w:sz w:val="12"/>
          <w:szCs w:val="12"/>
          <w:color w:val="auto"/>
        </w:rPr>
      </w:pPr>
    </w:p>
    <w:p>
      <w:pPr>
        <w:ind w:left="480" w:right="140" w:hanging="313"/>
        <w:spacing w:after="0" w:line="248" w:lineRule="auto"/>
        <w:tabs>
          <w:tab w:leader="none" w:pos="4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Performance-based restricted stock units generally will vest, in whole or in part, or be forfeited at the end of a three-year performance period to the extent certified by the Compensation and Talent Development Committee based on our total shareholder return compared to market and peer group indices and our EPS growth (as adjusted for LTIP purposes). For information about the treatment of performance-based restricted stock units in the event of a termination of employment before the end of the performance period or a change in control, see “Severance and Change in Control Benefits” below.</w:t>
      </w:r>
    </w:p>
    <w:p>
      <w:pPr>
        <w:spacing w:after="0" w:line="5" w:lineRule="exact"/>
        <w:rPr>
          <w:sz w:val="20"/>
          <w:szCs w:val="20"/>
          <w:color w:val="auto"/>
        </w:rPr>
      </w:pPr>
    </w:p>
    <w:p>
      <w:pPr>
        <w:jc w:val="both"/>
        <w:ind w:left="480" w:right="160" w:hanging="313"/>
        <w:spacing w:after="0" w:line="261" w:lineRule="auto"/>
        <w:tabs>
          <w:tab w:leader="none" w:pos="48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For total shareholder return-based awards, we have reported the number and market value of shares subject to the awards (together with reinvested dividends and dividend equivalents) that would have vested at December 31, 2025 had the applicable performance periods ended at that date. As of December 31, 2025, the performance for these awards as a percentage of target was:</w:t>
      </w:r>
    </w:p>
    <w:p>
      <w:pPr>
        <w:spacing w:after="0" w:line="239" w:lineRule="exact"/>
        <w:rPr>
          <w:sz w:val="20"/>
          <w:szCs w:val="20"/>
          <w:color w:val="auto"/>
        </w:rPr>
      </w:pPr>
    </w:p>
    <w:tbl>
      <w:tblPr>
        <w:tblLayout w:type="fixed"/>
        <w:tblInd w:w="1060" w:type="dxa"/>
        <w:tblCellMar>
          <w:top w:w="0" w:type="dxa"/>
          <w:left w:w="0" w:type="dxa"/>
          <w:bottom w:w="0" w:type="dxa"/>
          <w:right w:w="0" w:type="dxa"/>
        </w:tblCellMar>
      </w:tblPr>
      <w:tr>
        <w:trPr>
          <w:trHeight w:val="247"/>
        </w:trPr>
        <w:tc>
          <w:tcPr>
            <w:tcW w:w="5480" w:type="dxa"/>
            <w:vAlign w:val="bottom"/>
            <w:tcBorders>
              <w:bottom w:val="single" w:sz="8" w:color="005CB9"/>
            </w:tcBorders>
            <w:gridSpan w:val="2"/>
            <w:shd w:val="clear" w:color="auto" w:fill="005CB9"/>
          </w:tcPr>
          <w:p>
            <w:pPr>
              <w:ind w:left="60"/>
              <w:spacing w:after="0"/>
              <w:rPr>
                <w:sz w:val="20"/>
                <w:szCs w:val="20"/>
                <w:color w:val="auto"/>
              </w:rPr>
            </w:pPr>
            <w:r>
              <w:rPr>
                <w:rFonts w:ascii="Arial" w:cs="Arial" w:eastAsia="Arial" w:hAnsi="Arial"/>
                <w:sz w:val="12"/>
                <w:szCs w:val="12"/>
                <w:b w:val="1"/>
                <w:bCs w:val="1"/>
                <w:color w:val="FFFFFF"/>
              </w:rPr>
              <w:t>Total Shareholder Return-Based Awards</w:t>
            </w:r>
          </w:p>
        </w:tc>
        <w:tc>
          <w:tcPr>
            <w:tcW w:w="4540" w:type="dxa"/>
            <w:vAlign w:val="bottom"/>
            <w:tcBorders>
              <w:bottom w:val="single" w:sz="8" w:color="005CB9"/>
            </w:tcBorders>
            <w:shd w:val="clear" w:color="auto" w:fill="005CB9"/>
          </w:tcPr>
          <w:p>
            <w:pPr>
              <w:jc w:val="right"/>
              <w:ind w:right="198"/>
              <w:spacing w:after="0"/>
              <w:rPr>
                <w:sz w:val="20"/>
                <w:szCs w:val="20"/>
                <w:color w:val="auto"/>
              </w:rPr>
            </w:pPr>
            <w:r>
              <w:rPr>
                <w:rFonts w:ascii="Arial" w:cs="Arial" w:eastAsia="Arial" w:hAnsi="Arial"/>
                <w:sz w:val="12"/>
                <w:szCs w:val="12"/>
                <w:b w:val="1"/>
                <w:bCs w:val="1"/>
                <w:color w:val="FFFFFF"/>
              </w:rPr>
              <w:t>  Performance as of December 31, 2025</w:t>
            </w:r>
          </w:p>
        </w:tc>
      </w:tr>
      <w:tr>
        <w:trPr>
          <w:trHeight w:val="227"/>
        </w:trPr>
        <w:tc>
          <w:tcPr>
            <w:tcW w:w="5480" w:type="dxa"/>
            <w:vAlign w:val="bottom"/>
            <w:gridSpan w:val="2"/>
          </w:tcPr>
          <w:p>
            <w:pPr>
              <w:ind w:left="60"/>
              <w:spacing w:after="0"/>
              <w:rPr>
                <w:sz w:val="20"/>
                <w:szCs w:val="20"/>
                <w:color w:val="auto"/>
              </w:rPr>
            </w:pPr>
            <w:r>
              <w:rPr>
                <w:rFonts w:ascii="Arial" w:cs="Arial" w:eastAsia="Arial" w:hAnsi="Arial"/>
                <w:sz w:val="12"/>
                <w:szCs w:val="12"/>
                <w:color w:val="auto"/>
              </w:rPr>
              <w:t>01/02/25 Award (TSR vs. S&amp;P 500 Utilities Index)</w:t>
            </w:r>
          </w:p>
        </w:tc>
        <w:tc>
          <w:tcPr>
            <w:tcW w:w="4540" w:type="dxa"/>
            <w:vAlign w:val="bottom"/>
          </w:tcPr>
          <w:p>
            <w:pPr>
              <w:jc w:val="right"/>
              <w:ind w:right="998"/>
              <w:spacing w:after="0"/>
              <w:rPr>
                <w:sz w:val="20"/>
                <w:szCs w:val="20"/>
                <w:color w:val="auto"/>
              </w:rPr>
            </w:pPr>
            <w:r>
              <w:rPr>
                <w:rFonts w:ascii="Arial" w:cs="Arial" w:eastAsia="Arial" w:hAnsi="Arial"/>
                <w:sz w:val="12"/>
                <w:szCs w:val="12"/>
                <w:color w:val="auto"/>
              </w:rPr>
              <w:t>0.00%</w:t>
            </w:r>
          </w:p>
        </w:tc>
      </w:tr>
      <w:tr>
        <w:trPr>
          <w:trHeight w:val="54"/>
        </w:trPr>
        <w:tc>
          <w:tcPr>
            <w:tcW w:w="5480" w:type="dxa"/>
            <w:vAlign w:val="bottom"/>
            <w:tcBorders>
              <w:bottom w:val="single" w:sz="8" w:color="7F7F7F"/>
            </w:tcBorders>
            <w:gridSpan w:val="2"/>
          </w:tcPr>
          <w:p>
            <w:pPr>
              <w:spacing w:after="0"/>
              <w:rPr>
                <w:sz w:val="4"/>
                <w:szCs w:val="4"/>
                <w:color w:val="auto"/>
              </w:rPr>
            </w:pPr>
          </w:p>
        </w:tc>
        <w:tc>
          <w:tcPr>
            <w:tcW w:w="4540" w:type="dxa"/>
            <w:vAlign w:val="bottom"/>
            <w:tcBorders>
              <w:bottom w:val="single" w:sz="8" w:color="7F7F7F"/>
            </w:tcBorders>
          </w:tcPr>
          <w:p>
            <w:pPr>
              <w:spacing w:after="0"/>
              <w:rPr>
                <w:sz w:val="4"/>
                <w:szCs w:val="4"/>
                <w:color w:val="auto"/>
              </w:rPr>
            </w:pPr>
          </w:p>
        </w:tc>
      </w:tr>
      <w:tr>
        <w:trPr>
          <w:trHeight w:val="252"/>
        </w:trPr>
        <w:tc>
          <w:tcPr>
            <w:tcW w:w="5480" w:type="dxa"/>
            <w:vAlign w:val="bottom"/>
            <w:tcBorders>
              <w:bottom w:val="single" w:sz="8" w:color="F2F2F2"/>
            </w:tcBorders>
            <w:gridSpan w:val="2"/>
            <w:shd w:val="clear" w:color="auto" w:fill="F2F2F2"/>
          </w:tcPr>
          <w:p>
            <w:pPr>
              <w:ind w:left="60"/>
              <w:spacing w:after="0"/>
              <w:rPr>
                <w:sz w:val="20"/>
                <w:szCs w:val="20"/>
                <w:color w:val="auto"/>
              </w:rPr>
            </w:pPr>
            <w:r>
              <w:rPr>
                <w:rFonts w:ascii="Arial" w:cs="Arial" w:eastAsia="Arial" w:hAnsi="Arial"/>
                <w:sz w:val="12"/>
                <w:szCs w:val="12"/>
                <w:color w:val="auto"/>
              </w:rPr>
              <w:t>01/02/25 Award (TSR vs. S&amp;P 500 Index)</w:t>
            </w:r>
          </w:p>
        </w:tc>
        <w:tc>
          <w:tcPr>
            <w:tcW w:w="4540" w:type="dxa"/>
            <w:vAlign w:val="bottom"/>
            <w:tcBorders>
              <w:bottom w:val="single" w:sz="8" w:color="F2F2F2"/>
            </w:tcBorders>
            <w:shd w:val="clear" w:color="auto" w:fill="F2F2F2"/>
          </w:tcPr>
          <w:p>
            <w:pPr>
              <w:jc w:val="right"/>
              <w:ind w:right="998"/>
              <w:spacing w:after="0"/>
              <w:rPr>
                <w:sz w:val="20"/>
                <w:szCs w:val="20"/>
                <w:color w:val="auto"/>
              </w:rPr>
            </w:pPr>
            <w:r>
              <w:rPr>
                <w:rFonts w:ascii="Arial" w:cs="Arial" w:eastAsia="Arial" w:hAnsi="Arial"/>
                <w:sz w:val="12"/>
                <w:szCs w:val="12"/>
                <w:color w:val="auto"/>
              </w:rPr>
              <w:t>88.60%</w:t>
            </w:r>
          </w:p>
        </w:tc>
      </w:tr>
      <w:tr>
        <w:trPr>
          <w:trHeight w:val="194"/>
        </w:trPr>
        <w:tc>
          <w:tcPr>
            <w:tcW w:w="200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01/02/24 Award (TSR vs. S&amp;P 500</w:t>
            </w:r>
          </w:p>
        </w:tc>
        <w:tc>
          <w:tcPr>
            <w:tcW w:w="3480" w:type="dxa"/>
            <w:vAlign w:val="bottom"/>
            <w:tcBorders>
              <w:top w:val="single" w:sz="8" w:color="7F7F7F"/>
            </w:tcBorders>
          </w:tcPr>
          <w:p>
            <w:pPr>
              <w:ind w:left="20"/>
              <w:spacing w:after="0"/>
              <w:rPr>
                <w:sz w:val="20"/>
                <w:szCs w:val="20"/>
                <w:color w:val="auto"/>
              </w:rPr>
            </w:pPr>
            <w:r>
              <w:rPr>
                <w:rFonts w:ascii="Arial" w:cs="Arial" w:eastAsia="Arial" w:hAnsi="Arial"/>
                <w:sz w:val="12"/>
                <w:szCs w:val="12"/>
                <w:color w:val="auto"/>
              </w:rPr>
              <w:t>Utilities Index)</w:t>
            </w:r>
          </w:p>
        </w:tc>
        <w:tc>
          <w:tcPr>
            <w:tcW w:w="4540" w:type="dxa"/>
            <w:vAlign w:val="bottom"/>
            <w:tcBorders>
              <w:top w:val="single" w:sz="8" w:color="7F7F7F"/>
            </w:tcBorders>
          </w:tcPr>
          <w:p>
            <w:pPr>
              <w:jc w:val="right"/>
              <w:ind w:right="998"/>
              <w:spacing w:after="0"/>
              <w:rPr>
                <w:sz w:val="20"/>
                <w:szCs w:val="20"/>
                <w:color w:val="auto"/>
              </w:rPr>
            </w:pPr>
            <w:r>
              <w:rPr>
                <w:rFonts w:ascii="Arial" w:cs="Arial" w:eastAsia="Arial" w:hAnsi="Arial"/>
                <w:sz w:val="12"/>
                <w:szCs w:val="12"/>
                <w:color w:val="auto"/>
              </w:rPr>
              <w:t>0.00%</w:t>
            </w:r>
          </w:p>
        </w:tc>
      </w:tr>
      <w:tr>
        <w:trPr>
          <w:trHeight w:val="54"/>
        </w:trPr>
        <w:tc>
          <w:tcPr>
            <w:tcW w:w="2000" w:type="dxa"/>
            <w:vAlign w:val="bottom"/>
            <w:tcBorders>
              <w:bottom w:val="single" w:sz="8" w:color="7F7F7F"/>
            </w:tcBorders>
          </w:tcPr>
          <w:p>
            <w:pPr>
              <w:spacing w:after="0"/>
              <w:rPr>
                <w:sz w:val="4"/>
                <w:szCs w:val="4"/>
                <w:color w:val="auto"/>
              </w:rPr>
            </w:pPr>
          </w:p>
        </w:tc>
        <w:tc>
          <w:tcPr>
            <w:tcW w:w="3480" w:type="dxa"/>
            <w:vAlign w:val="bottom"/>
            <w:tcBorders>
              <w:bottom w:val="single" w:sz="8" w:color="7F7F7F"/>
            </w:tcBorders>
          </w:tcPr>
          <w:p>
            <w:pPr>
              <w:spacing w:after="0"/>
              <w:rPr>
                <w:sz w:val="4"/>
                <w:szCs w:val="4"/>
                <w:color w:val="auto"/>
              </w:rPr>
            </w:pPr>
          </w:p>
        </w:tc>
        <w:tc>
          <w:tcPr>
            <w:tcW w:w="4540" w:type="dxa"/>
            <w:vAlign w:val="bottom"/>
            <w:tcBorders>
              <w:bottom w:val="single" w:sz="8" w:color="7F7F7F"/>
            </w:tcBorders>
          </w:tcPr>
          <w:p>
            <w:pPr>
              <w:spacing w:after="0"/>
              <w:rPr>
                <w:sz w:val="4"/>
                <w:szCs w:val="4"/>
                <w:color w:val="auto"/>
              </w:rPr>
            </w:pPr>
          </w:p>
        </w:tc>
      </w:tr>
      <w:tr>
        <w:trPr>
          <w:trHeight w:val="252"/>
        </w:trPr>
        <w:tc>
          <w:tcPr>
            <w:tcW w:w="20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01/02/24 Award (TSR vs. S&amp;P 500</w:t>
            </w:r>
          </w:p>
        </w:tc>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2"/>
                <w:szCs w:val="12"/>
                <w:color w:val="auto"/>
              </w:rPr>
              <w:t>Index)</w:t>
            </w:r>
          </w:p>
        </w:tc>
        <w:tc>
          <w:tcPr>
            <w:tcW w:w="4540" w:type="dxa"/>
            <w:vAlign w:val="bottom"/>
            <w:tcBorders>
              <w:bottom w:val="single" w:sz="8" w:color="F2F2F2"/>
            </w:tcBorders>
            <w:shd w:val="clear" w:color="auto" w:fill="F2F2F2"/>
          </w:tcPr>
          <w:p>
            <w:pPr>
              <w:jc w:val="right"/>
              <w:ind w:right="998"/>
              <w:spacing w:after="0"/>
              <w:rPr>
                <w:sz w:val="20"/>
                <w:szCs w:val="20"/>
                <w:color w:val="auto"/>
              </w:rPr>
            </w:pPr>
            <w:r>
              <w:rPr>
                <w:rFonts w:ascii="Arial" w:cs="Arial" w:eastAsia="Arial" w:hAnsi="Arial"/>
                <w:sz w:val="12"/>
                <w:szCs w:val="12"/>
                <w:color w:val="auto"/>
              </w:rPr>
              <w:t>113.75%</w:t>
            </w:r>
          </w:p>
        </w:tc>
      </w:tr>
      <w:tr>
        <w:trPr>
          <w:trHeight w:val="194"/>
        </w:trPr>
        <w:tc>
          <w:tcPr>
            <w:tcW w:w="200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01/03/23 Award (TSR vs. S&amp;P 500</w:t>
            </w:r>
          </w:p>
        </w:tc>
        <w:tc>
          <w:tcPr>
            <w:tcW w:w="3480" w:type="dxa"/>
            <w:vAlign w:val="bottom"/>
            <w:tcBorders>
              <w:top w:val="single" w:sz="8" w:color="7F7F7F"/>
            </w:tcBorders>
          </w:tcPr>
          <w:p>
            <w:pPr>
              <w:ind w:left="20"/>
              <w:spacing w:after="0"/>
              <w:rPr>
                <w:sz w:val="20"/>
                <w:szCs w:val="20"/>
                <w:color w:val="auto"/>
              </w:rPr>
            </w:pPr>
            <w:r>
              <w:rPr>
                <w:rFonts w:ascii="Arial" w:cs="Arial" w:eastAsia="Arial" w:hAnsi="Arial"/>
                <w:sz w:val="12"/>
                <w:szCs w:val="12"/>
                <w:color w:val="auto"/>
              </w:rPr>
              <w:t>Utilities Index)</w:t>
            </w:r>
          </w:p>
        </w:tc>
        <w:tc>
          <w:tcPr>
            <w:tcW w:w="4540" w:type="dxa"/>
            <w:vAlign w:val="bottom"/>
            <w:tcBorders>
              <w:top w:val="single" w:sz="8" w:color="7F7F7F"/>
            </w:tcBorders>
          </w:tcPr>
          <w:p>
            <w:pPr>
              <w:jc w:val="right"/>
              <w:ind w:right="998"/>
              <w:spacing w:after="0"/>
              <w:rPr>
                <w:sz w:val="20"/>
                <w:szCs w:val="20"/>
                <w:color w:val="auto"/>
              </w:rPr>
            </w:pPr>
            <w:r>
              <w:rPr>
                <w:rFonts w:ascii="Arial" w:cs="Arial" w:eastAsia="Arial" w:hAnsi="Arial"/>
                <w:sz w:val="12"/>
                <w:szCs w:val="12"/>
                <w:color w:val="auto"/>
              </w:rPr>
              <w:t>58.30%</w:t>
            </w:r>
          </w:p>
        </w:tc>
      </w:tr>
      <w:tr>
        <w:trPr>
          <w:trHeight w:val="54"/>
        </w:trPr>
        <w:tc>
          <w:tcPr>
            <w:tcW w:w="2000" w:type="dxa"/>
            <w:vAlign w:val="bottom"/>
            <w:tcBorders>
              <w:bottom w:val="single" w:sz="8" w:color="7F7F7F"/>
            </w:tcBorders>
          </w:tcPr>
          <w:p>
            <w:pPr>
              <w:spacing w:after="0"/>
              <w:rPr>
                <w:sz w:val="4"/>
                <w:szCs w:val="4"/>
                <w:color w:val="auto"/>
              </w:rPr>
            </w:pPr>
          </w:p>
        </w:tc>
        <w:tc>
          <w:tcPr>
            <w:tcW w:w="3480" w:type="dxa"/>
            <w:vAlign w:val="bottom"/>
            <w:tcBorders>
              <w:bottom w:val="single" w:sz="8" w:color="7F7F7F"/>
            </w:tcBorders>
          </w:tcPr>
          <w:p>
            <w:pPr>
              <w:spacing w:after="0"/>
              <w:rPr>
                <w:sz w:val="4"/>
                <w:szCs w:val="4"/>
                <w:color w:val="auto"/>
              </w:rPr>
            </w:pPr>
          </w:p>
        </w:tc>
        <w:tc>
          <w:tcPr>
            <w:tcW w:w="4540" w:type="dxa"/>
            <w:vAlign w:val="bottom"/>
            <w:tcBorders>
              <w:bottom w:val="single" w:sz="8" w:color="7F7F7F"/>
            </w:tcBorders>
          </w:tcPr>
          <w:p>
            <w:pPr>
              <w:spacing w:after="0"/>
              <w:rPr>
                <w:sz w:val="4"/>
                <w:szCs w:val="4"/>
                <w:color w:val="auto"/>
              </w:rPr>
            </w:pPr>
          </w:p>
        </w:tc>
      </w:tr>
      <w:tr>
        <w:trPr>
          <w:trHeight w:val="227"/>
        </w:trPr>
        <w:tc>
          <w:tcPr>
            <w:tcW w:w="20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01/03/23 Award (TSR vs. S&amp;P 500</w:t>
            </w:r>
          </w:p>
        </w:tc>
        <w:tc>
          <w:tcPr>
            <w:tcW w:w="3480" w:type="dxa"/>
            <w:vAlign w:val="bottom"/>
            <w:tcBorders>
              <w:bottom w:val="single" w:sz="8" w:color="F2F2F2"/>
            </w:tcBorders>
            <w:shd w:val="clear" w:color="auto" w:fill="F2F2F2"/>
          </w:tcPr>
          <w:p>
            <w:pPr>
              <w:ind w:left="20"/>
              <w:spacing w:after="0"/>
              <w:rPr>
                <w:sz w:val="20"/>
                <w:szCs w:val="20"/>
                <w:color w:val="auto"/>
              </w:rPr>
            </w:pPr>
            <w:r>
              <w:rPr>
                <w:rFonts w:ascii="Arial" w:cs="Arial" w:eastAsia="Arial" w:hAnsi="Arial"/>
                <w:sz w:val="12"/>
                <w:szCs w:val="12"/>
                <w:color w:val="auto"/>
              </w:rPr>
              <w:t>Index)</w:t>
            </w:r>
          </w:p>
        </w:tc>
        <w:tc>
          <w:tcPr>
            <w:tcW w:w="4540" w:type="dxa"/>
            <w:vAlign w:val="bottom"/>
            <w:tcBorders>
              <w:bottom w:val="single" w:sz="8" w:color="F2F2F2"/>
            </w:tcBorders>
            <w:shd w:val="clear" w:color="auto" w:fill="F2F2F2"/>
          </w:tcPr>
          <w:p>
            <w:pPr>
              <w:jc w:val="right"/>
              <w:ind w:right="998"/>
              <w:spacing w:after="0"/>
              <w:rPr>
                <w:sz w:val="20"/>
                <w:szCs w:val="20"/>
                <w:color w:val="auto"/>
              </w:rPr>
            </w:pPr>
            <w:r>
              <w:rPr>
                <w:rFonts w:ascii="Arial" w:cs="Arial" w:eastAsia="Arial" w:hAnsi="Arial"/>
                <w:sz w:val="12"/>
                <w:szCs w:val="12"/>
                <w:color w:val="auto"/>
              </w:rPr>
              <w:t>81.40%</w:t>
            </w:r>
          </w:p>
        </w:tc>
      </w:tr>
      <w:tr>
        <w:trPr>
          <w:trHeight w:val="20"/>
        </w:trPr>
        <w:tc>
          <w:tcPr>
            <w:tcW w:w="2000" w:type="dxa"/>
            <w:vAlign w:val="bottom"/>
            <w:shd w:val="clear" w:color="auto" w:fill="7F7F7F"/>
          </w:tcPr>
          <w:p>
            <w:pPr>
              <w:spacing w:after="0" w:line="20" w:lineRule="exact"/>
              <w:rPr>
                <w:sz w:val="1"/>
                <w:szCs w:val="1"/>
                <w:color w:val="auto"/>
              </w:rPr>
            </w:pPr>
          </w:p>
        </w:tc>
        <w:tc>
          <w:tcPr>
            <w:tcW w:w="3480" w:type="dxa"/>
            <w:vAlign w:val="bottom"/>
            <w:shd w:val="clear" w:color="auto" w:fill="7F7F7F"/>
          </w:tcPr>
          <w:p>
            <w:pPr>
              <w:spacing w:after="0" w:line="20" w:lineRule="exact"/>
              <w:rPr>
                <w:sz w:val="1"/>
                <w:szCs w:val="1"/>
                <w:color w:val="auto"/>
              </w:rPr>
            </w:pPr>
          </w:p>
        </w:tc>
        <w:tc>
          <w:tcPr>
            <w:tcW w:w="4540" w:type="dxa"/>
            <w:vAlign w:val="bottom"/>
            <w:shd w:val="clear" w:color="auto" w:fill="7F7F7F"/>
          </w:tcPr>
          <w:p>
            <w:pPr>
              <w:spacing w:after="0" w:line="20" w:lineRule="exact"/>
              <w:rPr>
                <w:sz w:val="1"/>
                <w:szCs w:val="1"/>
                <w:color w:val="auto"/>
              </w:rPr>
            </w:pPr>
          </w:p>
        </w:tc>
      </w:tr>
    </w:tbl>
    <w:p>
      <w:pPr>
        <w:spacing w:after="0" w:line="22" w:lineRule="exact"/>
        <w:rPr>
          <w:sz w:val="20"/>
          <w:szCs w:val="20"/>
          <w:color w:val="auto"/>
        </w:rPr>
      </w:pPr>
    </w:p>
    <w:p>
      <w:pPr>
        <w:ind w:left="480" w:right="100" w:hanging="313"/>
        <w:spacing w:after="0" w:line="267" w:lineRule="auto"/>
        <w:tabs>
          <w:tab w:leader="none" w:pos="4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On January 27, 2026, the January 3, 2023 awards based on total shareholder return compared to the S&amp;P 500 Utilities Index vested at 58.6% of target and the January 3, 2023 awards based on total shareholder return compared to the S&amp;P 500 Index vested at 80.8% of target.</w:t>
      </w:r>
    </w:p>
    <w:p>
      <w:pPr>
        <w:ind w:left="480" w:right="280" w:hanging="313"/>
        <w:spacing w:after="0" w:line="248" w:lineRule="auto"/>
        <w:tabs>
          <w:tab w:leader="none" w:pos="48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EPS growth-based awards granted on January 2, 2024 and January 2, 2025 (together with related reinvested dividend equivalents) are reported based on target performance, as the applicable performance period has not yet ended and the EPS (as adjusted for LTIP purposes) for the final year(s) of the performance period has not yet been determined. The number of shares that ultimately vest will depend upon the extent to which the performance measures have been satisfied at the actual end of the applicable performance period and may be fewer or greater than the number reported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90805</wp:posOffset>
            </wp:positionV>
            <wp:extent cx="69297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76               </w:t>
      </w:r>
      <w:r>
        <w:rPr>
          <w:sz w:val="1"/>
          <w:szCs w:val="1"/>
          <w:color w:val="auto"/>
        </w:rPr>
        <w:drawing>
          <wp:inline distT="0" distB="0" distL="0" distR="0">
            <wp:extent cx="739140" cy="144145"/>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Executive Compensation</w:t>
      </w:r>
    </w:p>
    <w:p>
      <w:pPr>
        <w:spacing w:after="0" w:line="136" w:lineRule="exact"/>
        <w:rPr>
          <w:sz w:val="20"/>
          <w:szCs w:val="20"/>
          <w:color w:val="auto"/>
        </w:rPr>
      </w:pPr>
    </w:p>
    <w:p>
      <w:pPr>
        <w:ind w:left="480" w:right="40" w:hanging="313"/>
        <w:spacing w:after="0" w:line="255" w:lineRule="auto"/>
        <w:tabs>
          <w:tab w:leader="none" w:pos="48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On February 19, 2026, the January 3, 2023 awards based on EPS growth (as adjusted for LTIP purposes) with a performance period that ended on December 31, 2025 were scheduled to vest but failed to meet the minimum performance threshold required to vest. These awards are reported based on the final performance result of 0% of target. For additional detail, see footnote (B) to the 2025 Option Exercises and Stock Vested table below.</w:t>
      </w:r>
    </w:p>
    <w:p>
      <w:pPr>
        <w:spacing w:after="0" w:line="1" w:lineRule="exact"/>
        <w:rPr>
          <w:sz w:val="20"/>
          <w:szCs w:val="20"/>
          <w:color w:val="auto"/>
        </w:rPr>
      </w:pPr>
    </w:p>
    <w:p>
      <w:pPr>
        <w:ind w:left="480" w:right="120" w:hanging="313"/>
        <w:spacing w:after="0" w:line="255" w:lineRule="auto"/>
        <w:tabs>
          <w:tab w:leader="none" w:pos="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awards granted on January 2, 2025, January 2, 2024 and January 3, 2023 represent service-based restricted stock units that vest ratably over the three years following the grant date of the applicable award on the first NYSE trading day of each year. For information about the treatment of service-based restricted stock units in the event of a termination of employment before the end of the service period or a change in control, see “Severance and Change in Control Benefits” below.</w:t>
      </w:r>
    </w:p>
    <w:p>
      <w:pPr>
        <w:spacing w:after="0" w:line="1" w:lineRule="exact"/>
        <w:rPr>
          <w:rFonts w:ascii="Arial" w:cs="Arial" w:eastAsia="Arial" w:hAnsi="Arial"/>
          <w:sz w:val="12"/>
          <w:szCs w:val="12"/>
          <w:color w:val="auto"/>
        </w:rPr>
      </w:pPr>
    </w:p>
    <w:p>
      <w:pPr>
        <w:ind w:left="480" w:right="60" w:hanging="313"/>
        <w:spacing w:after="0" w:line="267" w:lineRule="auto"/>
        <w:tabs>
          <w:tab w:leader="none" w:pos="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Includes shares deemed purchased with reinvested dividends and dividend equivalents that become subject to the same forfeiture conditions as the shares to which the dividends relate. Does not include reinvested dividends and dividend equivalents with a record date of December 11, 2025, which were paid on January 15, 2026.</w:t>
      </w:r>
    </w:p>
    <w:p>
      <w:pPr>
        <w:ind w:left="480" w:right="140" w:hanging="313"/>
        <w:spacing w:after="0" w:line="255" w:lineRule="auto"/>
        <w:tabs>
          <w:tab w:leader="none" w:pos="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weighted-average exercise price for outstanding options as of December 31, 2025 was (1) $69.826 for Mr. Martin, $81.487 for Ms. Sedgwick and $81.571 for Mr. Bird for all outstanding options; (2) $81.363 for Mr. Martin, $82.618 for Ms. Sedgwick and $82.697 for Mr. Bird for all unexercisable options and (3) $65.684 for Mr. Martin and $75.820 for Ms. Sedgwick and Mr. Bird for all exercisable options.</w:t>
      </w:r>
    </w:p>
    <w:p>
      <w:pPr>
        <w:spacing w:after="0" w:line="1" w:lineRule="exact"/>
        <w:rPr>
          <w:rFonts w:ascii="Arial" w:cs="Arial" w:eastAsia="Arial" w:hAnsi="Arial"/>
          <w:sz w:val="12"/>
          <w:szCs w:val="12"/>
          <w:color w:val="auto"/>
        </w:rPr>
      </w:pPr>
    </w:p>
    <w:p>
      <w:pPr>
        <w:ind w:left="480" w:right="460" w:hanging="313"/>
        <w:spacing w:after="0" w:line="267" w:lineRule="auto"/>
        <w:tabs>
          <w:tab w:leader="none" w:pos="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These awards vested on January 27, 2026, immediately following the Compensation and Talent Development Committee’s determination and certification of the total shareholder return performance results. The value realized upon the vesting of these shares is set forth in footnote (B) to the 2025 Option Exercises and Stock Vested table below.</w:t>
      </w:r>
    </w:p>
    <w:p>
      <w:pPr>
        <w:ind w:left="480" w:right="20" w:hanging="313"/>
        <w:spacing w:after="0" w:line="267" w:lineRule="auto"/>
        <w:tabs>
          <w:tab w:leader="none" w:pos="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These awards were scheduled to vest on February 19, 2026, immediately following the Compensation and Talent Development Committee’s determination and certification of the EPS growth (as adjusted for LTIP purposes) performance results. The value realized upon the vesting of these shares is set forth in footnote (B) to the 2025 Option Exercises and Stock Vested table below.</w:t>
      </w:r>
    </w:p>
    <w:p>
      <w:pPr>
        <w:ind w:left="480" w:hanging="313"/>
        <w:spacing w:after="0"/>
        <w:tabs>
          <w:tab w:leader="none" w:pos="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first of three annual installments of these awards vested on January 2, 2026.</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second of three annual installments of these awards vested on January 2, 2026.</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third of three annual installments of these awards vested on January 2, 2026.</w:t>
      </w:r>
    </w:p>
    <w:p>
      <w:pPr>
        <w:spacing w:after="0" w:line="35" w:lineRule="exact"/>
        <w:rPr>
          <w:rFonts w:ascii="Arial" w:cs="Arial" w:eastAsia="Arial" w:hAnsi="Arial"/>
          <w:sz w:val="12"/>
          <w:szCs w:val="12"/>
          <w:color w:val="auto"/>
        </w:rPr>
      </w:pPr>
    </w:p>
    <w:p>
      <w:pPr>
        <w:ind w:left="480" w:hanging="313"/>
        <w:spacing w:after="0"/>
        <w:tabs>
          <w:tab w:leader="none" w:pos="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first of four annual installments of this award vested on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110490</wp:posOffset>
            </wp:positionV>
            <wp:extent cx="69297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238125</wp:posOffset>
            </wp:positionV>
            <wp:extent cx="739140" cy="144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77</w:t>
      </w:r>
    </w:p>
    <w:p>
      <w:pPr>
        <w:sectPr>
          <w:pgSz w:w="11900" w:h="16838" w:orient="portrait"/>
          <w:cols w:equalWidth="0" w:num="1">
            <w:col w:w="11080"/>
          </w:cols>
          <w:pgMar w:left="320" w:top="478"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Option Exercises and Stock Vested</w:t>
      </w:r>
    </w:p>
    <w:p>
      <w:pPr>
        <w:spacing w:after="0" w:line="129" w:lineRule="exact"/>
        <w:rPr>
          <w:sz w:val="20"/>
          <w:szCs w:val="20"/>
          <w:color w:val="auto"/>
        </w:rPr>
      </w:pPr>
    </w:p>
    <w:p>
      <w:pPr>
        <w:ind w:left="160" w:right="400"/>
        <w:spacing w:after="0" w:line="281" w:lineRule="auto"/>
        <w:rPr>
          <w:sz w:val="20"/>
          <w:szCs w:val="20"/>
          <w:color w:val="auto"/>
        </w:rPr>
      </w:pPr>
      <w:r>
        <w:rPr>
          <w:rFonts w:ascii="Arial" w:cs="Arial" w:eastAsia="Arial" w:hAnsi="Arial"/>
          <w:sz w:val="14"/>
          <w:szCs w:val="14"/>
          <w:color w:val="auto"/>
        </w:rPr>
        <w:t>We summarize below the restricted stock units that vested during 2025 for each of our executive officers named in the 2025 Summary Compensation Table. No named executive officers exercised stock options in 2025.</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2025 OPTION EXERCISES AND STOCK VESTED</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7840" w:type="dxa"/>
            <w:vAlign w:val="bottom"/>
            <w:shd w:val="clear" w:color="auto" w:fill="005CB9"/>
          </w:tcPr>
          <w:p>
            <w:pPr>
              <w:spacing w:after="0"/>
              <w:rPr>
                <w:sz w:val="21"/>
                <w:szCs w:val="21"/>
                <w:color w:val="auto"/>
              </w:rPr>
            </w:pPr>
          </w:p>
        </w:tc>
        <w:tc>
          <w:tcPr>
            <w:tcW w:w="3080" w:type="dxa"/>
            <w:vAlign w:val="bottom"/>
            <w:gridSpan w:val="3"/>
            <w:shd w:val="clear" w:color="auto" w:fill="005CB9"/>
          </w:tcPr>
          <w:p>
            <w:pPr>
              <w:jc w:val="right"/>
              <w:ind w:right="749"/>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93"/>
        </w:trPr>
        <w:tc>
          <w:tcPr>
            <w:tcW w:w="7840" w:type="dxa"/>
            <w:vAlign w:val="bottom"/>
            <w:shd w:val="clear" w:color="auto" w:fill="005CB9"/>
          </w:tcPr>
          <w:p>
            <w:pPr>
              <w:spacing w:after="0"/>
              <w:rPr>
                <w:sz w:val="16"/>
                <w:szCs w:val="16"/>
                <w:color w:val="auto"/>
              </w:rPr>
            </w:pPr>
          </w:p>
        </w:tc>
        <w:tc>
          <w:tcPr>
            <w:tcW w:w="1740" w:type="dxa"/>
            <w:vAlign w:val="bottom"/>
            <w:shd w:val="clear" w:color="auto" w:fill="005CB9"/>
          </w:tcPr>
          <w:p>
            <w:pPr>
              <w:jc w:val="center"/>
              <w:ind w:left="69"/>
              <w:spacing w:after="0"/>
              <w:rPr>
                <w:sz w:val="20"/>
                <w:szCs w:val="20"/>
                <w:color w:val="auto"/>
              </w:rPr>
            </w:pPr>
            <w:r>
              <w:rPr>
                <w:rFonts w:ascii="Arial" w:cs="Arial" w:eastAsia="Arial" w:hAnsi="Arial"/>
                <w:sz w:val="14"/>
                <w:szCs w:val="14"/>
                <w:b w:val="1"/>
                <w:bCs w:val="1"/>
                <w:color w:val="FFFFFF"/>
              </w:rPr>
              <w:t>Number of</w:t>
            </w:r>
          </w:p>
        </w:tc>
        <w:tc>
          <w:tcPr>
            <w:tcW w:w="480" w:type="dxa"/>
            <w:vAlign w:val="bottom"/>
            <w:shd w:val="clear" w:color="auto" w:fill="005CB9"/>
          </w:tcPr>
          <w:p>
            <w:pPr>
              <w:spacing w:after="0"/>
              <w:rPr>
                <w:sz w:val="16"/>
                <w:szCs w:val="16"/>
                <w:color w:val="auto"/>
              </w:rPr>
            </w:pPr>
          </w:p>
        </w:tc>
        <w:tc>
          <w:tcPr>
            <w:tcW w:w="860" w:type="dxa"/>
            <w:vAlign w:val="bottom"/>
            <w:vMerge w:val="restart"/>
            <w:shd w:val="clear" w:color="auto" w:fill="005CB9"/>
          </w:tcPr>
          <w:p>
            <w:pPr>
              <w:jc w:val="right"/>
              <w:ind w:right="229"/>
              <w:spacing w:after="0"/>
              <w:rPr>
                <w:sz w:val="20"/>
                <w:szCs w:val="20"/>
                <w:color w:val="auto"/>
              </w:rPr>
            </w:pPr>
            <w:r>
              <w:rPr>
                <w:rFonts w:ascii="Arial" w:cs="Arial" w:eastAsia="Arial" w:hAnsi="Arial"/>
                <w:sz w:val="14"/>
                <w:szCs w:val="14"/>
                <w:b w:val="1"/>
                <w:bCs w:val="1"/>
                <w:color w:val="FFFFFF"/>
              </w:rPr>
              <w:t>Value</w:t>
            </w:r>
          </w:p>
        </w:tc>
        <w:tc>
          <w:tcPr>
            <w:tcW w:w="0" w:type="dxa"/>
            <w:vAlign w:val="bottom"/>
          </w:tcPr>
          <w:p>
            <w:pPr>
              <w:spacing w:after="0"/>
              <w:rPr>
                <w:sz w:val="1"/>
                <w:szCs w:val="1"/>
                <w:color w:val="auto"/>
              </w:rPr>
            </w:pPr>
          </w:p>
        </w:tc>
      </w:tr>
      <w:tr>
        <w:trPr>
          <w:trHeight w:val="147"/>
        </w:trPr>
        <w:tc>
          <w:tcPr>
            <w:tcW w:w="7840" w:type="dxa"/>
            <w:vAlign w:val="bottom"/>
            <w:shd w:val="clear" w:color="auto" w:fill="005CB9"/>
          </w:tcPr>
          <w:p>
            <w:pPr>
              <w:spacing w:after="0"/>
              <w:rPr>
                <w:sz w:val="12"/>
                <w:szCs w:val="12"/>
                <w:color w:val="auto"/>
              </w:rPr>
            </w:pPr>
          </w:p>
        </w:tc>
        <w:tc>
          <w:tcPr>
            <w:tcW w:w="1740" w:type="dxa"/>
            <w:vAlign w:val="bottom"/>
            <w:shd w:val="clear" w:color="auto" w:fill="005CB9"/>
          </w:tcPr>
          <w:p>
            <w:pPr>
              <w:jc w:val="center"/>
              <w:ind w:left="69"/>
              <w:spacing w:after="0" w:line="147" w:lineRule="exact"/>
              <w:rPr>
                <w:sz w:val="20"/>
                <w:szCs w:val="20"/>
                <w:color w:val="auto"/>
              </w:rPr>
            </w:pPr>
            <w:r>
              <w:rPr>
                <w:rFonts w:ascii="Arial" w:cs="Arial" w:eastAsia="Arial" w:hAnsi="Arial"/>
                <w:sz w:val="14"/>
                <w:szCs w:val="14"/>
                <w:b w:val="1"/>
                <w:bCs w:val="1"/>
                <w:color w:val="FFFFFF"/>
              </w:rPr>
              <w:t>Shares</w:t>
            </w:r>
          </w:p>
        </w:tc>
        <w:tc>
          <w:tcPr>
            <w:tcW w:w="480" w:type="dxa"/>
            <w:vAlign w:val="bottom"/>
            <w:shd w:val="clear" w:color="auto" w:fill="005CB9"/>
          </w:tcPr>
          <w:p>
            <w:pPr>
              <w:spacing w:after="0"/>
              <w:rPr>
                <w:sz w:val="12"/>
                <w:szCs w:val="12"/>
                <w:color w:val="auto"/>
              </w:rPr>
            </w:pPr>
          </w:p>
        </w:tc>
        <w:tc>
          <w:tcPr>
            <w:tcW w:w="860" w:type="dxa"/>
            <w:vAlign w:val="bottom"/>
            <w:vMerge w:val="continue"/>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840" w:type="dxa"/>
            <w:vAlign w:val="bottom"/>
            <w:shd w:val="clear" w:color="auto" w:fill="005CB9"/>
          </w:tcPr>
          <w:p>
            <w:pPr>
              <w:spacing w:after="0"/>
              <w:rPr>
                <w:sz w:val="13"/>
                <w:szCs w:val="13"/>
                <w:color w:val="auto"/>
              </w:rPr>
            </w:pPr>
          </w:p>
        </w:tc>
        <w:tc>
          <w:tcPr>
            <w:tcW w:w="1740" w:type="dxa"/>
            <w:vAlign w:val="bottom"/>
            <w:shd w:val="clear" w:color="auto" w:fill="005CB9"/>
          </w:tcPr>
          <w:p>
            <w:pPr>
              <w:jc w:val="center"/>
              <w:ind w:left="49"/>
              <w:spacing w:after="0" w:line="157" w:lineRule="exact"/>
              <w:rPr>
                <w:sz w:val="20"/>
                <w:szCs w:val="20"/>
                <w:color w:val="auto"/>
              </w:rPr>
            </w:pPr>
            <w:r>
              <w:rPr>
                <w:rFonts w:ascii="Arial" w:cs="Arial" w:eastAsia="Arial" w:hAnsi="Arial"/>
                <w:sz w:val="14"/>
                <w:szCs w:val="14"/>
                <w:b w:val="1"/>
                <w:bCs w:val="1"/>
                <w:color w:val="FFFFFF"/>
              </w:rPr>
              <w:t>Acquired on</w:t>
            </w:r>
          </w:p>
        </w:tc>
        <w:tc>
          <w:tcPr>
            <w:tcW w:w="1340" w:type="dxa"/>
            <w:vAlign w:val="bottom"/>
            <w:gridSpan w:val="2"/>
            <w:shd w:val="clear" w:color="auto" w:fill="005CB9"/>
          </w:tcPr>
          <w:p>
            <w:pPr>
              <w:ind w:left="380"/>
              <w:spacing w:after="0" w:line="157" w:lineRule="exact"/>
              <w:rPr>
                <w:sz w:val="20"/>
                <w:szCs w:val="20"/>
                <w:color w:val="auto"/>
              </w:rPr>
            </w:pPr>
            <w:r>
              <w:rPr>
                <w:rFonts w:ascii="Arial" w:cs="Arial" w:eastAsia="Arial" w:hAnsi="Arial"/>
                <w:sz w:val="14"/>
                <w:szCs w:val="14"/>
                <w:b w:val="1"/>
                <w:bCs w:val="1"/>
                <w:color w:val="FFFFFF"/>
              </w:rPr>
              <w:t>  Realized on</w:t>
            </w:r>
          </w:p>
        </w:tc>
        <w:tc>
          <w:tcPr>
            <w:tcW w:w="0" w:type="dxa"/>
            <w:vAlign w:val="bottom"/>
          </w:tcPr>
          <w:p>
            <w:pPr>
              <w:spacing w:after="0"/>
              <w:rPr>
                <w:sz w:val="1"/>
                <w:szCs w:val="1"/>
                <w:color w:val="auto"/>
              </w:rPr>
            </w:pPr>
          </w:p>
        </w:tc>
      </w:tr>
      <w:tr>
        <w:trPr>
          <w:trHeight w:val="254"/>
        </w:trPr>
        <w:tc>
          <w:tcPr>
            <w:tcW w:w="7840" w:type="dxa"/>
            <w:vAlign w:val="bottom"/>
            <w:shd w:val="clear" w:color="auto" w:fill="005CB9"/>
          </w:tcPr>
          <w:p>
            <w:pPr>
              <w:spacing w:after="0"/>
              <w:rPr>
                <w:sz w:val="22"/>
                <w:szCs w:val="22"/>
                <w:color w:val="auto"/>
              </w:rPr>
            </w:pPr>
          </w:p>
        </w:tc>
        <w:tc>
          <w:tcPr>
            <w:tcW w:w="1740" w:type="dxa"/>
            <w:vAlign w:val="bottom"/>
            <w:shd w:val="clear" w:color="auto" w:fill="005CB9"/>
          </w:tcPr>
          <w:p>
            <w:pPr>
              <w:jc w:val="center"/>
              <w:ind w:left="49"/>
              <w:spacing w:after="0"/>
              <w:rPr>
                <w:sz w:val="20"/>
                <w:szCs w:val="20"/>
                <w:color w:val="auto"/>
              </w:rPr>
            </w:pPr>
            <w:r>
              <w:rPr>
                <w:rFonts w:ascii="Arial" w:cs="Arial" w:eastAsia="Arial" w:hAnsi="Arial"/>
                <w:sz w:val="14"/>
                <w:szCs w:val="14"/>
                <w:b w:val="1"/>
                <w:bCs w:val="1"/>
                <w:color w:val="FFFFFF"/>
                <w:w w:val="98"/>
              </w:rPr>
              <w:t>Vesting</w:t>
            </w:r>
          </w:p>
        </w:tc>
        <w:tc>
          <w:tcPr>
            <w:tcW w:w="1340" w:type="dxa"/>
            <w:vAlign w:val="bottom"/>
            <w:gridSpan w:val="2"/>
            <w:shd w:val="clear" w:color="auto" w:fill="005CB9"/>
          </w:tcPr>
          <w:p>
            <w:pPr>
              <w:jc w:val="right"/>
              <w:ind w:right="29"/>
              <w:spacing w:after="0"/>
              <w:rPr>
                <w:sz w:val="20"/>
                <w:szCs w:val="20"/>
                <w:color w:val="auto"/>
              </w:rPr>
            </w:pPr>
            <w:r>
              <w:rPr>
                <w:rFonts w:ascii="Arial" w:cs="Arial" w:eastAsia="Arial" w:hAnsi="Arial"/>
                <w:sz w:val="14"/>
                <w:szCs w:val="14"/>
                <w:b w:val="1"/>
                <w:bCs w:val="1"/>
                <w:color w:val="FFFFFF"/>
              </w:rPr>
              <w:t>Vesting</w:t>
            </w:r>
            <w:r>
              <w:rPr>
                <w:rFonts w:ascii="Arial" w:cs="Arial" w:eastAsia="Arial" w:hAnsi="Arial"/>
                <w:sz w:val="21"/>
                <w:szCs w:val="21"/>
                <w:b w:val="1"/>
                <w:bCs w:val="1"/>
                <w:color w:val="FFFFFF"/>
                <w:vertAlign w:val="superscript"/>
              </w:rPr>
              <w:t>(A)(B)</w:t>
            </w:r>
          </w:p>
        </w:tc>
        <w:tc>
          <w:tcPr>
            <w:tcW w:w="0" w:type="dxa"/>
            <w:vAlign w:val="bottom"/>
          </w:tcPr>
          <w:p>
            <w:pPr>
              <w:spacing w:after="0"/>
              <w:rPr>
                <w:sz w:val="1"/>
                <w:szCs w:val="1"/>
                <w:color w:val="auto"/>
              </w:rPr>
            </w:pPr>
          </w:p>
        </w:tc>
      </w:tr>
      <w:tr>
        <w:trPr>
          <w:trHeight w:val="247"/>
        </w:trPr>
        <w:tc>
          <w:tcPr>
            <w:tcW w:w="7840" w:type="dxa"/>
            <w:vAlign w:val="bottom"/>
          </w:tcPr>
          <w:p>
            <w:pPr>
              <w:ind w:left="80"/>
              <w:spacing w:after="0"/>
              <w:rPr>
                <w:sz w:val="20"/>
                <w:szCs w:val="20"/>
                <w:color w:val="auto"/>
              </w:rPr>
            </w:pPr>
            <w:r>
              <w:rPr>
                <w:rFonts w:ascii="Arial" w:cs="Arial" w:eastAsia="Arial" w:hAnsi="Arial"/>
                <w:sz w:val="14"/>
                <w:szCs w:val="14"/>
                <w:color w:val="auto"/>
              </w:rPr>
              <w:t>Jeffrey W. Martin</w:t>
            </w:r>
          </w:p>
        </w:tc>
        <w:tc>
          <w:tcPr>
            <w:tcW w:w="1740" w:type="dxa"/>
            <w:vAlign w:val="bottom"/>
          </w:tcPr>
          <w:p>
            <w:pPr>
              <w:jc w:val="right"/>
              <w:ind w:right="309"/>
              <w:spacing w:after="0"/>
              <w:rPr>
                <w:sz w:val="20"/>
                <w:szCs w:val="20"/>
                <w:color w:val="auto"/>
              </w:rPr>
            </w:pPr>
            <w:r>
              <w:rPr>
                <w:rFonts w:ascii="Arial" w:cs="Arial" w:eastAsia="Arial" w:hAnsi="Arial"/>
                <w:sz w:val="14"/>
                <w:szCs w:val="14"/>
                <w:color w:val="auto"/>
              </w:rPr>
              <w:t>200,405</w:t>
            </w:r>
          </w:p>
        </w:tc>
        <w:tc>
          <w:tcPr>
            <w:tcW w:w="480" w:type="dxa"/>
            <w:vAlign w:val="bottom"/>
          </w:tcPr>
          <w:p>
            <w:pPr>
              <w:ind w:left="40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w w:val="99"/>
              </w:rPr>
              <w:t>16,761,269</w:t>
            </w:r>
          </w:p>
        </w:tc>
        <w:tc>
          <w:tcPr>
            <w:tcW w:w="0" w:type="dxa"/>
            <w:vAlign w:val="bottom"/>
          </w:tcPr>
          <w:p>
            <w:pPr>
              <w:spacing w:after="0"/>
              <w:rPr>
                <w:sz w:val="1"/>
                <w:szCs w:val="1"/>
                <w:color w:val="auto"/>
              </w:rPr>
            </w:pPr>
          </w:p>
        </w:tc>
      </w:tr>
      <w:tr>
        <w:trPr>
          <w:trHeight w:val="48"/>
        </w:trPr>
        <w:tc>
          <w:tcPr>
            <w:tcW w:w="7840" w:type="dxa"/>
            <w:vAlign w:val="bottom"/>
            <w:tcBorders>
              <w:bottom w:val="single" w:sz="8" w:color="7F7F7F"/>
            </w:tcBorders>
          </w:tcPr>
          <w:p>
            <w:pPr>
              <w:spacing w:after="0"/>
              <w:rPr>
                <w:sz w:val="4"/>
                <w:szCs w:val="4"/>
                <w:color w:val="auto"/>
              </w:rPr>
            </w:pPr>
          </w:p>
        </w:tc>
        <w:tc>
          <w:tcPr>
            <w:tcW w:w="174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78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Karen L. Sedgwick</w:t>
            </w:r>
          </w:p>
        </w:tc>
        <w:tc>
          <w:tcPr>
            <w:tcW w:w="1740" w:type="dxa"/>
            <w:vAlign w:val="bottom"/>
            <w:tcBorders>
              <w:bottom w:val="single" w:sz="8" w:color="F2F2F2"/>
            </w:tcBorders>
            <w:shd w:val="clear" w:color="auto" w:fill="F2F2F2"/>
          </w:tcPr>
          <w:p>
            <w:pPr>
              <w:jc w:val="right"/>
              <w:ind w:right="309"/>
              <w:spacing w:after="0"/>
              <w:rPr>
                <w:sz w:val="20"/>
                <w:szCs w:val="20"/>
                <w:color w:val="auto"/>
              </w:rPr>
            </w:pPr>
            <w:r>
              <w:rPr>
                <w:rFonts w:ascii="Arial" w:cs="Arial" w:eastAsia="Arial" w:hAnsi="Arial"/>
                <w:sz w:val="14"/>
                <w:szCs w:val="14"/>
                <w:color w:val="auto"/>
              </w:rPr>
              <w:t>19,277</w:t>
            </w:r>
          </w:p>
        </w:tc>
        <w:tc>
          <w:tcPr>
            <w:tcW w:w="480" w:type="dxa"/>
            <w:vAlign w:val="bottom"/>
            <w:tcBorders>
              <w:bottom w:val="single" w:sz="8" w:color="F2F2F2"/>
            </w:tcBorders>
            <w:shd w:val="clear" w:color="auto" w:fill="F2F2F2"/>
          </w:tcPr>
          <w:p>
            <w:pPr>
              <w:ind w:left="40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1,625,190</w:t>
            </w:r>
          </w:p>
        </w:tc>
        <w:tc>
          <w:tcPr>
            <w:tcW w:w="0" w:type="dxa"/>
            <w:vAlign w:val="bottom"/>
          </w:tcPr>
          <w:p>
            <w:pPr>
              <w:spacing w:after="0"/>
              <w:rPr>
                <w:sz w:val="1"/>
                <w:szCs w:val="1"/>
                <w:color w:val="auto"/>
              </w:rPr>
            </w:pPr>
          </w:p>
        </w:tc>
      </w:tr>
      <w:tr>
        <w:trPr>
          <w:trHeight w:val="227"/>
        </w:trPr>
        <w:tc>
          <w:tcPr>
            <w:tcW w:w="784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Justin C. Bird</w:t>
            </w:r>
          </w:p>
        </w:tc>
        <w:tc>
          <w:tcPr>
            <w:tcW w:w="1740" w:type="dxa"/>
            <w:vAlign w:val="bottom"/>
            <w:tcBorders>
              <w:top w:val="single" w:sz="8" w:color="7F7F7F"/>
            </w:tcBorders>
          </w:tcPr>
          <w:p>
            <w:pPr>
              <w:jc w:val="right"/>
              <w:ind w:right="309"/>
              <w:spacing w:after="0"/>
              <w:rPr>
                <w:sz w:val="20"/>
                <w:szCs w:val="20"/>
                <w:color w:val="auto"/>
              </w:rPr>
            </w:pPr>
            <w:r>
              <w:rPr>
                <w:rFonts w:ascii="Arial" w:cs="Arial" w:eastAsia="Arial" w:hAnsi="Arial"/>
                <w:sz w:val="14"/>
                <w:szCs w:val="14"/>
                <w:color w:val="auto"/>
              </w:rPr>
              <w:t>29,553</w:t>
            </w:r>
          </w:p>
        </w:tc>
        <w:tc>
          <w:tcPr>
            <w:tcW w:w="480" w:type="dxa"/>
            <w:vAlign w:val="bottom"/>
            <w:tcBorders>
              <w:top w:val="single" w:sz="8" w:color="7F7F7F"/>
            </w:tcBorders>
          </w:tcPr>
          <w:p>
            <w:pPr>
              <w:ind w:left="40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2,487,127</w:t>
            </w:r>
          </w:p>
        </w:tc>
        <w:tc>
          <w:tcPr>
            <w:tcW w:w="0" w:type="dxa"/>
            <w:vAlign w:val="bottom"/>
          </w:tcPr>
          <w:p>
            <w:pPr>
              <w:spacing w:after="0"/>
              <w:rPr>
                <w:sz w:val="1"/>
                <w:szCs w:val="1"/>
                <w:color w:val="auto"/>
              </w:rPr>
            </w:pPr>
          </w:p>
        </w:tc>
      </w:tr>
      <w:tr>
        <w:trPr>
          <w:trHeight w:val="48"/>
        </w:trPr>
        <w:tc>
          <w:tcPr>
            <w:tcW w:w="7840" w:type="dxa"/>
            <w:vAlign w:val="bottom"/>
            <w:tcBorders>
              <w:bottom w:val="single" w:sz="8" w:color="7F7F7F"/>
            </w:tcBorders>
          </w:tcPr>
          <w:p>
            <w:pPr>
              <w:spacing w:after="0"/>
              <w:rPr>
                <w:sz w:val="4"/>
                <w:szCs w:val="4"/>
                <w:color w:val="auto"/>
              </w:rPr>
            </w:pPr>
          </w:p>
        </w:tc>
        <w:tc>
          <w:tcPr>
            <w:tcW w:w="1740" w:type="dxa"/>
            <w:vAlign w:val="bottom"/>
            <w:tcBorders>
              <w:bottom w:val="single" w:sz="8" w:color="7F7F7F"/>
            </w:tcBorders>
          </w:tcPr>
          <w:p>
            <w:pPr>
              <w:spacing w:after="0"/>
              <w:rPr>
                <w:sz w:val="4"/>
                <w:szCs w:val="4"/>
                <w:color w:val="auto"/>
              </w:rPr>
            </w:pPr>
          </w:p>
        </w:tc>
        <w:tc>
          <w:tcPr>
            <w:tcW w:w="48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78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Caroline A. Winn</w:t>
            </w:r>
          </w:p>
        </w:tc>
        <w:tc>
          <w:tcPr>
            <w:tcW w:w="1740" w:type="dxa"/>
            <w:vAlign w:val="bottom"/>
            <w:tcBorders>
              <w:bottom w:val="single" w:sz="8" w:color="F2F2F2"/>
            </w:tcBorders>
            <w:shd w:val="clear" w:color="auto" w:fill="F2F2F2"/>
          </w:tcPr>
          <w:p>
            <w:pPr>
              <w:jc w:val="right"/>
              <w:ind w:right="309"/>
              <w:spacing w:after="0"/>
              <w:rPr>
                <w:sz w:val="20"/>
                <w:szCs w:val="20"/>
                <w:color w:val="auto"/>
              </w:rPr>
            </w:pPr>
            <w:r>
              <w:rPr>
                <w:rFonts w:ascii="Arial" w:cs="Arial" w:eastAsia="Arial" w:hAnsi="Arial"/>
                <w:sz w:val="14"/>
                <w:szCs w:val="14"/>
                <w:color w:val="auto"/>
              </w:rPr>
              <w:t>34,637</w:t>
            </w:r>
          </w:p>
        </w:tc>
        <w:tc>
          <w:tcPr>
            <w:tcW w:w="480" w:type="dxa"/>
            <w:vAlign w:val="bottom"/>
            <w:tcBorders>
              <w:bottom w:val="single" w:sz="8" w:color="F2F2F2"/>
            </w:tcBorders>
            <w:shd w:val="clear" w:color="auto" w:fill="F2F2F2"/>
          </w:tcPr>
          <w:p>
            <w:pPr>
              <w:ind w:left="40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2,897,376</w:t>
            </w:r>
          </w:p>
        </w:tc>
        <w:tc>
          <w:tcPr>
            <w:tcW w:w="0" w:type="dxa"/>
            <w:vAlign w:val="bottom"/>
          </w:tcPr>
          <w:p>
            <w:pPr>
              <w:spacing w:after="0"/>
              <w:rPr>
                <w:sz w:val="1"/>
                <w:szCs w:val="1"/>
                <w:color w:val="auto"/>
              </w:rPr>
            </w:pPr>
          </w:p>
        </w:tc>
      </w:tr>
      <w:tr>
        <w:trPr>
          <w:trHeight w:val="227"/>
        </w:trPr>
        <w:tc>
          <w:tcPr>
            <w:tcW w:w="784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Diana L. Day</w:t>
            </w:r>
          </w:p>
        </w:tc>
        <w:tc>
          <w:tcPr>
            <w:tcW w:w="1740" w:type="dxa"/>
            <w:vAlign w:val="bottom"/>
            <w:tcBorders>
              <w:top w:val="single" w:sz="8" w:color="7F7F7F"/>
            </w:tcBorders>
          </w:tcPr>
          <w:p>
            <w:pPr>
              <w:jc w:val="right"/>
              <w:ind w:right="309"/>
              <w:spacing w:after="0"/>
              <w:rPr>
                <w:sz w:val="20"/>
                <w:szCs w:val="20"/>
                <w:color w:val="auto"/>
              </w:rPr>
            </w:pPr>
            <w:r>
              <w:rPr>
                <w:rFonts w:ascii="Arial" w:cs="Arial" w:eastAsia="Arial" w:hAnsi="Arial"/>
                <w:sz w:val="14"/>
                <w:szCs w:val="14"/>
                <w:color w:val="auto"/>
              </w:rPr>
              <w:t>12,591</w:t>
            </w:r>
          </w:p>
        </w:tc>
        <w:tc>
          <w:tcPr>
            <w:tcW w:w="480" w:type="dxa"/>
            <w:vAlign w:val="bottom"/>
            <w:tcBorders>
              <w:top w:val="single" w:sz="8" w:color="7F7F7F"/>
            </w:tcBorders>
          </w:tcPr>
          <w:p>
            <w:pPr>
              <w:ind w:left="40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1,063,136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-1395730</wp:posOffset>
            </wp:positionV>
            <wp:extent cx="16306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spacing w:after="0" w:line="103" w:lineRule="exact"/>
        <w:rPr>
          <w:sz w:val="20"/>
          <w:szCs w:val="20"/>
          <w:color w:val="auto"/>
        </w:rPr>
      </w:pPr>
    </w:p>
    <w:p>
      <w:pPr>
        <w:ind w:left="480" w:right="60" w:hanging="313"/>
        <w:spacing w:after="0" w:line="267" w:lineRule="auto"/>
        <w:tabs>
          <w:tab w:leader="none" w:pos="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Reflects the market value of vesting stock (including reinvested dividends) at the vesting date, determined by multiplying the number of shares vested by the closing price of our common stock on the vesting date. Also includes the dividend equivalent with a record date of December 5, 2024, which was paid on January 15, 2025.</w:t>
      </w:r>
    </w:p>
    <w:p>
      <w:pPr>
        <w:ind w:left="480" w:right="60" w:hanging="313"/>
        <w:spacing w:after="0" w:line="241" w:lineRule="auto"/>
        <w:tabs>
          <w:tab w:leader="none" w:pos="48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performance-based restricted stock unit awards granted in January 2022 based on total shareholder return performance against the S&amp;P 500 Utilities Index companies and the S&amp;P 500 Index companies vested on January 28, 2025 at 191.5% of target performance and 169.5% of target performance, respectively. The performance-based restricted stock unit awards granted in January 2022 based on EPS growth (as adjusted for LTIP purposes) vested on February 19, 2025 at 200% of target performance. Service-based restricted stock unit awards that vested on January 2, 2025 consisted of the third of three annual installments of the annual awards granted on January 3, 2022 to Mss. Sedgwick, Winn and Day and Mr. Bird, the second of three annual installments of the annual awards granted on January 3, 2023 to Mss. Sedgwick, Winn and Day and Mr. Bird, the first of three annual installments of the annual awards granted on January 2, 2024 to Mss. Winn and Day, and the first of four annual installments of the special award granted to Ms. Winn on October 1, 2024.</w:t>
      </w:r>
    </w:p>
    <w:p>
      <w:pPr>
        <w:spacing w:after="0" w:line="11" w:lineRule="exact"/>
        <w:rPr>
          <w:sz w:val="20"/>
          <w:szCs w:val="20"/>
          <w:color w:val="auto"/>
        </w:rPr>
      </w:pPr>
    </w:p>
    <w:p>
      <w:pPr>
        <w:ind w:left="480" w:right="60" w:hanging="313"/>
        <w:spacing w:after="0"/>
        <w:tabs>
          <w:tab w:leader="none" w:pos="48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The performance-based restricted stock unit awards granted in January 2023 based on total shareholder return performance against the S&amp;P 500 Utilities Index companies and the S&amp;P 500 Index companies vested on January 27, 2026 at 58.6% of target performance and 80.8% of target performance, respectively. The performance-based restricted stock unit awards granted in January 2023 based on EPS growth (as adjusted for LTIP purposes) failed to meet the minimum performance threshold required to vest. Service-based restricted stock unit awards that vested on January 2, 2026 consisted of the third of three annual installments of the annual awards granted on January 3, 2023 to Mss. Sedgwick, Winn and Day and Mr. Bird, the second of three annual installments of the annual awards granted on January 2, 2024 to Mss. Winn and Day, and the first of three annual installments of the annual awards granted to Mss. Winn and Day on January 2, 2025. The number of shares acquired upon the vesting of these awards and their market value (including the units and the value of the dividend equivalent with a record date of December 11, 2025, which was paid on January 15, 2026), none of which are reflected in this table due to the vesting of the applicable awards after December 31, 2025, were 38,264 shares and $3,333,210 for Mr. Martin; 7,615 shares and $669,801 for Ms. Sedgwick; 7,280 shares and $640,343 for Mr. Bird; 11,324 shares and $1,004,230 for Ms. Winn; and 5,586 shares and $496,514 for Ms.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176530</wp:posOffset>
            </wp:positionV>
            <wp:extent cx="69297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78               </w:t>
      </w:r>
      <w:r>
        <w:rPr>
          <w:sz w:val="1"/>
          <w:szCs w:val="1"/>
          <w:color w:val="auto"/>
        </w:rPr>
        <w:drawing>
          <wp:inline distT="0" distB="0" distL="0" distR="0">
            <wp:extent cx="739140" cy="144145"/>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9800"/>
        <w:spacing w:after="0"/>
        <w:rPr>
          <w:sz w:val="20"/>
          <w:szCs w:val="20"/>
          <w:color w:val="auto"/>
        </w:rPr>
      </w:pPr>
      <w:r>
        <w:rPr>
          <w:rFonts w:ascii="Arial" w:cs="Arial" w:eastAsia="Arial" w:hAnsi="Arial"/>
          <w:sz w:val="10"/>
          <w:szCs w:val="10"/>
          <w:b w:val="1"/>
          <w:bCs w:val="1"/>
          <w:color w:val="7F7F7F"/>
        </w:rPr>
        <w:t>Executive Compensation</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Pension Benefits</w:t>
      </w:r>
    </w:p>
    <w:p>
      <w:pPr>
        <w:spacing w:after="0" w:line="129" w:lineRule="exact"/>
        <w:rPr>
          <w:sz w:val="20"/>
          <w:szCs w:val="20"/>
          <w:color w:val="auto"/>
        </w:rPr>
      </w:pPr>
    </w:p>
    <w:p>
      <w:pPr>
        <w:ind w:left="160"/>
        <w:spacing w:after="0" w:line="260" w:lineRule="auto"/>
        <w:rPr>
          <w:sz w:val="20"/>
          <w:szCs w:val="20"/>
          <w:color w:val="auto"/>
        </w:rPr>
      </w:pPr>
      <w:r>
        <w:rPr>
          <w:rFonts w:ascii="Arial" w:cs="Arial" w:eastAsia="Arial" w:hAnsi="Arial"/>
          <w:sz w:val="14"/>
          <w:szCs w:val="14"/>
          <w:color w:val="auto"/>
        </w:rPr>
        <w:t>Our named executive officers participate in our Cash Balance Plan, a broad-based tax-qualified retirement plan that is subject to certain limits under the Internal Revenue Code. Under the plan, we annually credit to a notional account for each participant an amount equal to 7.5% of the participant’s salary and performance-based annual bonus. Account balances earn interest and are fully vested after three years of service.</w:t>
      </w:r>
    </w:p>
    <w:p>
      <w:pPr>
        <w:spacing w:after="0" w:line="65" w:lineRule="exact"/>
        <w:rPr>
          <w:sz w:val="20"/>
          <w:szCs w:val="20"/>
          <w:color w:val="auto"/>
        </w:rPr>
      </w:pPr>
    </w:p>
    <w:p>
      <w:pPr>
        <w:ind w:left="160" w:right="20"/>
        <w:spacing w:after="0" w:line="249" w:lineRule="auto"/>
        <w:rPr>
          <w:sz w:val="20"/>
          <w:szCs w:val="20"/>
          <w:color w:val="auto"/>
        </w:rPr>
      </w:pPr>
      <w:r>
        <w:rPr>
          <w:rFonts w:ascii="Arial" w:cs="Arial" w:eastAsia="Arial" w:hAnsi="Arial"/>
          <w:sz w:val="14"/>
          <w:szCs w:val="14"/>
          <w:color w:val="auto"/>
        </w:rPr>
        <w:t>In addition to the Cash Balance Plan, Messrs. Martin and Bird and Mss. Sedgwick and Winn participate in a Supplemental Executive Retirement Plan, a nonqualified pension plan designed to recruit and retain executive talent. Under the plan, benefits are calculated using a defined benefit formula based on final average earnings (average base salary for the two consecutive years of highest base salary prior to retirement plus the average of the three highest annual bonuses during the 10 years prior to retirement), years of service and age at retirement of the executive officer. Benefits payable under the Supplemental Executive Retirement Plan are reduced by benefits payable under the Cash Balance Plan.</w:t>
      </w:r>
    </w:p>
    <w:p>
      <w:pPr>
        <w:spacing w:after="0" w:line="74" w:lineRule="exact"/>
        <w:rPr>
          <w:sz w:val="20"/>
          <w:szCs w:val="20"/>
          <w:color w:val="auto"/>
        </w:rPr>
      </w:pPr>
    </w:p>
    <w:p>
      <w:pPr>
        <w:ind w:left="160" w:right="20"/>
        <w:spacing w:after="0" w:line="249" w:lineRule="auto"/>
        <w:rPr>
          <w:sz w:val="20"/>
          <w:szCs w:val="20"/>
          <w:color w:val="auto"/>
        </w:rPr>
      </w:pPr>
      <w:r>
        <w:rPr>
          <w:rFonts w:ascii="Arial" w:cs="Arial" w:eastAsia="Arial" w:hAnsi="Arial"/>
          <w:sz w:val="14"/>
          <w:szCs w:val="14"/>
          <w:color w:val="auto"/>
        </w:rPr>
        <w:t>Benefits under the Supplemental Executive Retirement Plan’s defined benefit formula begin to vest after five years of service and attainment of age 55, with full vesting when age plus years of service total 70 or the executive attains age 60, subject to exceptions for certain terminations in connection with a change in control. Benefits for</w:t>
      </w:r>
    </w:p>
    <w:p>
      <w:pPr>
        <w:spacing w:after="0" w:line="1" w:lineRule="exact"/>
        <w:rPr>
          <w:sz w:val="20"/>
          <w:szCs w:val="20"/>
          <w:color w:val="auto"/>
        </w:rPr>
      </w:pPr>
    </w:p>
    <w:p>
      <w:pPr>
        <w:ind w:left="160" w:right="160"/>
        <w:spacing w:after="0" w:line="244" w:lineRule="auto"/>
        <w:rPr>
          <w:sz w:val="20"/>
          <w:szCs w:val="20"/>
          <w:color w:val="auto"/>
        </w:rPr>
      </w:pPr>
      <w:r>
        <w:rPr>
          <w:rFonts w:ascii="Arial" w:cs="Arial" w:eastAsia="Arial" w:hAnsi="Arial"/>
          <w:sz w:val="14"/>
          <w:szCs w:val="14"/>
          <w:color w:val="auto"/>
        </w:rPr>
        <w:t>Ms. Sedgwick, who became a participant in the plan on November 14, 2023, will not begin vesting in the defined benefit until she has participated in the plan for five years, after which prior service will be considered. Upon normal retirement at age 62, the annual benefit (as a percentage of final average earnings) in the form of a 50% joint and survivor annuity is 20% after five years of service, 40% after 10 years of service, 50% after 15 years of service, 60% after 20 years of service, 62.5% after 30 years of service, and 65% after 40 years of service. Reduced benefits based on age and years of service are provided for retirement as early as age 55 and the completion of five years of service.</w:t>
      </w:r>
    </w:p>
    <w:p>
      <w:pPr>
        <w:spacing w:after="0" w:line="77" w:lineRule="exact"/>
        <w:rPr>
          <w:sz w:val="20"/>
          <w:szCs w:val="20"/>
          <w:color w:val="auto"/>
        </w:rPr>
      </w:pPr>
    </w:p>
    <w:p>
      <w:pPr>
        <w:ind w:left="160" w:right="180"/>
        <w:spacing w:after="0" w:line="253" w:lineRule="auto"/>
        <w:rPr>
          <w:sz w:val="20"/>
          <w:szCs w:val="20"/>
          <w:color w:val="auto"/>
        </w:rPr>
      </w:pPr>
      <w:r>
        <w:rPr>
          <w:rFonts w:ascii="Arial" w:cs="Arial" w:eastAsia="Arial" w:hAnsi="Arial"/>
          <w:sz w:val="14"/>
          <w:szCs w:val="14"/>
          <w:color w:val="auto"/>
        </w:rPr>
        <w:t>Supplemental Executive Retirement Plan participants who have at least three years of service and do not meet the minimum vesting criteria under the defined benefit formula, which includes Ms. Sedgwick and Mr. Bird, and Cash Balance Restoration Plan participants, which includes Ms. Day, are entitled to a benefit equal to the benefit that would have been received under the tax-qualified Cash Balance Plan but for Internal Revenue Code limitations on pay and benefits under tax-qualified plans. Account balances in the Cash Balance Restoration Plan earn interest and are fully vested after three years of service.</w:t>
      </w:r>
    </w:p>
    <w:p>
      <w:pPr>
        <w:spacing w:after="0" w:line="70" w:lineRule="exact"/>
        <w:rPr>
          <w:sz w:val="20"/>
          <w:szCs w:val="20"/>
          <w:color w:val="auto"/>
        </w:rPr>
      </w:pPr>
    </w:p>
    <w:p>
      <w:pPr>
        <w:ind w:left="160" w:right="140"/>
        <w:spacing w:after="0" w:line="281" w:lineRule="auto"/>
        <w:rPr>
          <w:sz w:val="20"/>
          <w:szCs w:val="20"/>
          <w:color w:val="auto"/>
        </w:rPr>
      </w:pPr>
      <w:r>
        <w:rPr>
          <w:rFonts w:ascii="Arial" w:cs="Arial" w:eastAsia="Arial" w:hAnsi="Arial"/>
          <w:sz w:val="14"/>
          <w:szCs w:val="14"/>
          <w:color w:val="auto"/>
        </w:rPr>
        <w:t>Retiring employees may elect to receive the retirement date present value of their vested accumulated retirement benefits in a single lump sum payment. Alternatively, they may elect an annuity that provides the actuarial equivalent of the lump sum benefit.</w:t>
      </w:r>
    </w:p>
    <w:p>
      <w:pPr>
        <w:spacing w:after="0" w:line="51" w:lineRule="exact"/>
        <w:rPr>
          <w:sz w:val="20"/>
          <w:szCs w:val="20"/>
          <w:color w:val="auto"/>
        </w:rPr>
      </w:pPr>
    </w:p>
    <w:p>
      <w:pPr>
        <w:ind w:left="160" w:right="220"/>
        <w:spacing w:after="0" w:line="281" w:lineRule="auto"/>
        <w:rPr>
          <w:sz w:val="20"/>
          <w:szCs w:val="20"/>
          <w:color w:val="auto"/>
        </w:rPr>
      </w:pPr>
      <w:r>
        <w:rPr>
          <w:rFonts w:ascii="Arial" w:cs="Arial" w:eastAsia="Arial" w:hAnsi="Arial"/>
          <w:sz w:val="14"/>
          <w:szCs w:val="14"/>
          <w:color w:val="auto"/>
        </w:rPr>
        <w:t>We summarize below the present value of accumulated benefits under our various retirement plans at December 31, 2025, for each of our executive officers named in the 2025 Summary Compensation Table.</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2025 PENSION BENEFITS AT YEAR-END</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3920" w:type="dxa"/>
            <w:vAlign w:val="bottom"/>
            <w:shd w:val="clear" w:color="auto" w:fill="005CB9"/>
          </w:tcPr>
          <w:p>
            <w:pPr>
              <w:spacing w:after="0"/>
              <w:rPr>
                <w:sz w:val="18"/>
                <w:szCs w:val="18"/>
                <w:color w:val="auto"/>
              </w:rPr>
            </w:pPr>
          </w:p>
        </w:tc>
        <w:tc>
          <w:tcPr>
            <w:tcW w:w="3780" w:type="dxa"/>
            <w:vAlign w:val="bottom"/>
            <w:shd w:val="clear" w:color="auto" w:fill="005CB9"/>
          </w:tcPr>
          <w:p>
            <w:pPr>
              <w:spacing w:after="0"/>
              <w:rPr>
                <w:sz w:val="18"/>
                <w:szCs w:val="18"/>
                <w:color w:val="auto"/>
              </w:rPr>
            </w:pPr>
          </w:p>
        </w:tc>
        <w:tc>
          <w:tcPr>
            <w:tcW w:w="1660" w:type="dxa"/>
            <w:vAlign w:val="bottom"/>
            <w:shd w:val="clear" w:color="auto" w:fill="005CB9"/>
          </w:tcPr>
          <w:p>
            <w:pPr>
              <w:jc w:val="center"/>
              <w:ind w:left="409"/>
              <w:spacing w:after="0"/>
              <w:rPr>
                <w:sz w:val="20"/>
                <w:szCs w:val="20"/>
                <w:color w:val="auto"/>
              </w:rPr>
            </w:pPr>
            <w:r>
              <w:rPr>
                <w:rFonts w:ascii="Arial" w:cs="Arial" w:eastAsia="Arial" w:hAnsi="Arial"/>
                <w:sz w:val="14"/>
                <w:szCs w:val="14"/>
                <w:b w:val="1"/>
                <w:bCs w:val="1"/>
                <w:color w:val="FFFFFF"/>
                <w:w w:val="97"/>
              </w:rPr>
              <w:t>Years of</w:t>
            </w:r>
          </w:p>
        </w:tc>
        <w:tc>
          <w:tcPr>
            <w:tcW w:w="1560" w:type="dxa"/>
            <w:vAlign w:val="bottom"/>
            <w:gridSpan w:val="2"/>
            <w:shd w:val="clear" w:color="auto" w:fill="005CB9"/>
          </w:tcPr>
          <w:p>
            <w:pPr>
              <w:jc w:val="right"/>
              <w:ind w:right="9"/>
              <w:spacing w:after="0"/>
              <w:rPr>
                <w:sz w:val="20"/>
                <w:szCs w:val="20"/>
                <w:color w:val="auto"/>
              </w:rPr>
            </w:pPr>
            <w:r>
              <w:rPr>
                <w:rFonts w:ascii="Arial" w:cs="Arial" w:eastAsia="Arial" w:hAnsi="Arial"/>
                <w:sz w:val="14"/>
                <w:szCs w:val="14"/>
                <w:b w:val="1"/>
                <w:bCs w:val="1"/>
                <w:color w:val="FFFFFF"/>
              </w:rPr>
              <w:t>  Present Value of</w:t>
            </w:r>
          </w:p>
        </w:tc>
      </w:tr>
      <w:tr>
        <w:trPr>
          <w:trHeight w:val="157"/>
        </w:trPr>
        <w:tc>
          <w:tcPr>
            <w:tcW w:w="3920" w:type="dxa"/>
            <w:vAlign w:val="bottom"/>
            <w:shd w:val="clear" w:color="auto" w:fill="005CB9"/>
          </w:tcPr>
          <w:p>
            <w:pPr>
              <w:spacing w:after="0"/>
              <w:rPr>
                <w:sz w:val="13"/>
                <w:szCs w:val="13"/>
                <w:color w:val="auto"/>
              </w:rPr>
            </w:pPr>
          </w:p>
        </w:tc>
        <w:tc>
          <w:tcPr>
            <w:tcW w:w="3780" w:type="dxa"/>
            <w:vAlign w:val="bottom"/>
            <w:shd w:val="clear" w:color="auto" w:fill="005CB9"/>
          </w:tcPr>
          <w:p>
            <w:pPr>
              <w:spacing w:after="0"/>
              <w:rPr>
                <w:sz w:val="13"/>
                <w:szCs w:val="13"/>
                <w:color w:val="auto"/>
              </w:rPr>
            </w:pPr>
          </w:p>
        </w:tc>
        <w:tc>
          <w:tcPr>
            <w:tcW w:w="1660" w:type="dxa"/>
            <w:vAlign w:val="bottom"/>
            <w:shd w:val="clear" w:color="auto" w:fill="005CB9"/>
          </w:tcPr>
          <w:p>
            <w:pPr>
              <w:jc w:val="center"/>
              <w:ind w:left="409"/>
              <w:spacing w:after="0" w:line="157" w:lineRule="exact"/>
              <w:rPr>
                <w:sz w:val="20"/>
                <w:szCs w:val="20"/>
                <w:color w:val="auto"/>
              </w:rPr>
            </w:pPr>
            <w:r>
              <w:rPr>
                <w:rFonts w:ascii="Arial" w:cs="Arial" w:eastAsia="Arial" w:hAnsi="Arial"/>
                <w:sz w:val="14"/>
                <w:szCs w:val="14"/>
                <w:b w:val="1"/>
                <w:bCs w:val="1"/>
                <w:color w:val="FFFFFF"/>
              </w:rPr>
              <w:t>Credited</w:t>
            </w:r>
          </w:p>
        </w:tc>
        <w:tc>
          <w:tcPr>
            <w:tcW w:w="1560" w:type="dxa"/>
            <w:vAlign w:val="bottom"/>
            <w:gridSpan w:val="2"/>
            <w:shd w:val="clear" w:color="auto" w:fill="005CB9"/>
          </w:tcPr>
          <w:p>
            <w:pPr>
              <w:jc w:val="right"/>
              <w:ind w:right="109"/>
              <w:spacing w:after="0" w:line="157" w:lineRule="exact"/>
              <w:rPr>
                <w:sz w:val="20"/>
                <w:szCs w:val="20"/>
                <w:color w:val="auto"/>
              </w:rPr>
            </w:pPr>
            <w:r>
              <w:rPr>
                <w:rFonts w:ascii="Arial" w:cs="Arial" w:eastAsia="Arial" w:hAnsi="Arial"/>
                <w:sz w:val="14"/>
                <w:szCs w:val="14"/>
                <w:b w:val="1"/>
                <w:bCs w:val="1"/>
                <w:color w:val="FFFFFF"/>
              </w:rPr>
              <w:t>Accumulated</w:t>
            </w:r>
          </w:p>
        </w:tc>
      </w:tr>
      <w:tr>
        <w:trPr>
          <w:trHeight w:val="241"/>
        </w:trPr>
        <w:tc>
          <w:tcPr>
            <w:tcW w:w="3920" w:type="dxa"/>
            <w:vAlign w:val="bottom"/>
            <w:shd w:val="clear" w:color="auto" w:fill="005CB9"/>
          </w:tcPr>
          <w:p>
            <w:pPr>
              <w:spacing w:after="0"/>
              <w:rPr>
                <w:sz w:val="20"/>
                <w:szCs w:val="20"/>
                <w:color w:val="auto"/>
              </w:rPr>
            </w:pPr>
          </w:p>
        </w:tc>
        <w:tc>
          <w:tcPr>
            <w:tcW w:w="3780" w:type="dxa"/>
            <w:vAlign w:val="bottom"/>
            <w:shd w:val="clear" w:color="auto" w:fill="005CB9"/>
          </w:tcPr>
          <w:p>
            <w:pPr>
              <w:ind w:left="2080"/>
              <w:spacing w:after="0"/>
              <w:rPr>
                <w:sz w:val="20"/>
                <w:szCs w:val="20"/>
                <w:color w:val="auto"/>
              </w:rPr>
            </w:pPr>
            <w:r>
              <w:rPr>
                <w:rFonts w:ascii="Arial" w:cs="Arial" w:eastAsia="Arial" w:hAnsi="Arial"/>
                <w:sz w:val="14"/>
                <w:szCs w:val="14"/>
                <w:b w:val="1"/>
                <w:bCs w:val="1"/>
                <w:color w:val="FFFFFF"/>
              </w:rPr>
              <w:t>Plan</w:t>
            </w:r>
          </w:p>
        </w:tc>
        <w:tc>
          <w:tcPr>
            <w:tcW w:w="1660" w:type="dxa"/>
            <w:vAlign w:val="bottom"/>
            <w:shd w:val="clear" w:color="auto" w:fill="005CB9"/>
          </w:tcPr>
          <w:p>
            <w:pPr>
              <w:jc w:val="center"/>
              <w:ind w:left="409"/>
              <w:spacing w:after="0"/>
              <w:rPr>
                <w:sz w:val="20"/>
                <w:szCs w:val="20"/>
                <w:color w:val="auto"/>
              </w:rPr>
            </w:pPr>
            <w:r>
              <w:rPr>
                <w:rFonts w:ascii="Arial" w:cs="Arial" w:eastAsia="Arial" w:hAnsi="Arial"/>
                <w:sz w:val="14"/>
                <w:szCs w:val="14"/>
                <w:b w:val="1"/>
                <w:bCs w:val="1"/>
                <w:color w:val="FFFFFF"/>
              </w:rPr>
              <w:t>Service</w:t>
            </w:r>
          </w:p>
        </w:tc>
        <w:tc>
          <w:tcPr>
            <w:tcW w:w="1560" w:type="dxa"/>
            <w:vAlign w:val="bottom"/>
            <w:gridSpan w:val="2"/>
            <w:shd w:val="clear" w:color="auto" w:fill="005CB9"/>
          </w:tcPr>
          <w:p>
            <w:pPr>
              <w:jc w:val="right"/>
              <w:ind w:right="249"/>
              <w:spacing w:after="0"/>
              <w:rPr>
                <w:sz w:val="20"/>
                <w:szCs w:val="20"/>
                <w:color w:val="auto"/>
              </w:rPr>
            </w:pPr>
            <w:r>
              <w:rPr>
                <w:rFonts w:ascii="Arial" w:cs="Arial" w:eastAsia="Arial" w:hAnsi="Arial"/>
                <w:sz w:val="14"/>
                <w:szCs w:val="14"/>
                <w:b w:val="1"/>
                <w:bCs w:val="1"/>
                <w:color w:val="FFFFFF"/>
              </w:rPr>
              <w:t>Benefit</w:t>
            </w:r>
            <w:r>
              <w:rPr>
                <w:rFonts w:ascii="Arial" w:cs="Arial" w:eastAsia="Arial" w:hAnsi="Arial"/>
                <w:sz w:val="21"/>
                <w:szCs w:val="21"/>
                <w:b w:val="1"/>
                <w:bCs w:val="1"/>
                <w:color w:val="FFFFFF"/>
                <w:vertAlign w:val="superscript"/>
              </w:rPr>
              <w:t>(A)</w:t>
            </w:r>
          </w:p>
        </w:tc>
      </w:tr>
      <w:tr>
        <w:trPr>
          <w:trHeight w:val="294"/>
        </w:trPr>
        <w:tc>
          <w:tcPr>
            <w:tcW w:w="3920" w:type="dxa"/>
            <w:vAlign w:val="bottom"/>
          </w:tcPr>
          <w:p>
            <w:pPr>
              <w:ind w:left="80"/>
              <w:spacing w:after="0"/>
              <w:rPr>
                <w:sz w:val="20"/>
                <w:szCs w:val="20"/>
                <w:color w:val="auto"/>
              </w:rPr>
            </w:pPr>
            <w:r>
              <w:rPr>
                <w:rFonts w:ascii="Arial" w:cs="Arial" w:eastAsia="Arial" w:hAnsi="Arial"/>
                <w:sz w:val="14"/>
                <w:szCs w:val="14"/>
                <w:color w:val="auto"/>
              </w:rPr>
              <w:t>Jeffrey W. Martin</w:t>
            </w:r>
            <w:r>
              <w:rPr>
                <w:rFonts w:ascii="Arial" w:cs="Arial" w:eastAsia="Arial" w:hAnsi="Arial"/>
                <w:sz w:val="21"/>
                <w:szCs w:val="21"/>
                <w:color w:val="auto"/>
                <w:vertAlign w:val="superscript"/>
              </w:rPr>
              <w:t>(B)</w:t>
            </w:r>
          </w:p>
        </w:tc>
        <w:tc>
          <w:tcPr>
            <w:tcW w:w="3780" w:type="dxa"/>
            <w:vAlign w:val="bottom"/>
            <w:tcBorders>
              <w:bottom w:val="single" w:sz="8" w:color="7F7F7F"/>
            </w:tcBorders>
          </w:tcPr>
          <w:p>
            <w:pPr>
              <w:ind w:left="400"/>
              <w:spacing w:after="0"/>
              <w:rPr>
                <w:sz w:val="20"/>
                <w:szCs w:val="20"/>
                <w:color w:val="auto"/>
              </w:rPr>
            </w:pPr>
            <w:r>
              <w:rPr>
                <w:rFonts w:ascii="Arial" w:cs="Arial" w:eastAsia="Arial" w:hAnsi="Arial"/>
                <w:sz w:val="14"/>
                <w:szCs w:val="14"/>
                <w:color w:val="auto"/>
              </w:rPr>
              <w:t>Cash Balance Plan</w:t>
            </w:r>
          </w:p>
        </w:tc>
        <w:tc>
          <w:tcPr>
            <w:tcW w:w="1660" w:type="dxa"/>
            <w:vAlign w:val="bottom"/>
            <w:tcBorders>
              <w:bottom w:val="single" w:sz="8" w:color="7F7F7F"/>
            </w:tcBorders>
          </w:tcPr>
          <w:p>
            <w:pPr>
              <w:jc w:val="right"/>
              <w:ind w:right="369"/>
              <w:spacing w:after="0"/>
              <w:rPr>
                <w:sz w:val="20"/>
                <w:szCs w:val="20"/>
                <w:color w:val="auto"/>
              </w:rPr>
            </w:pPr>
            <w:r>
              <w:rPr>
                <w:rFonts w:ascii="Arial" w:cs="Arial" w:eastAsia="Arial" w:hAnsi="Arial"/>
                <w:sz w:val="14"/>
                <w:szCs w:val="14"/>
                <w:color w:val="auto"/>
              </w:rPr>
              <w:t>21</w:t>
            </w: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4"/>
                <w:szCs w:val="14"/>
                <w:color w:val="auto"/>
              </w:rPr>
              <w:t>573,625</w:t>
            </w:r>
          </w:p>
        </w:tc>
      </w:tr>
      <w:tr>
        <w:trPr>
          <w:trHeight w:val="279"/>
        </w:trPr>
        <w:tc>
          <w:tcPr>
            <w:tcW w:w="3920" w:type="dxa"/>
            <w:vAlign w:val="bottom"/>
          </w:tcPr>
          <w:p>
            <w:pPr>
              <w:spacing w:after="0"/>
              <w:rPr>
                <w:sz w:val="23"/>
                <w:szCs w:val="23"/>
                <w:color w:val="auto"/>
              </w:rPr>
            </w:pPr>
          </w:p>
        </w:tc>
        <w:tc>
          <w:tcPr>
            <w:tcW w:w="3780" w:type="dxa"/>
            <w:vAlign w:val="bottom"/>
            <w:tcBorders>
              <w:bottom w:val="single" w:sz="8" w:color="F2F2F2"/>
            </w:tcBorders>
            <w:shd w:val="clear" w:color="auto" w:fill="F2F2F2"/>
          </w:tcPr>
          <w:p>
            <w:pPr>
              <w:ind w:left="400"/>
              <w:spacing w:after="0"/>
              <w:rPr>
                <w:sz w:val="20"/>
                <w:szCs w:val="20"/>
                <w:color w:val="auto"/>
              </w:rPr>
            </w:pPr>
            <w:r>
              <w:rPr>
                <w:rFonts w:ascii="Arial" w:cs="Arial" w:eastAsia="Arial" w:hAnsi="Arial"/>
                <w:sz w:val="14"/>
                <w:szCs w:val="14"/>
                <w:color w:val="auto"/>
              </w:rPr>
              <w:t>Supplemental Executive Retirement Plan</w:t>
            </w:r>
          </w:p>
        </w:tc>
        <w:tc>
          <w:tcPr>
            <w:tcW w:w="1660" w:type="dxa"/>
            <w:vAlign w:val="bottom"/>
            <w:tcBorders>
              <w:bottom w:val="single" w:sz="8" w:color="F2F2F2"/>
            </w:tcBorders>
            <w:shd w:val="clear" w:color="auto" w:fill="F2F2F2"/>
          </w:tcPr>
          <w:p>
            <w:pPr>
              <w:jc w:val="right"/>
              <w:ind w:right="369"/>
              <w:spacing w:after="0"/>
              <w:rPr>
                <w:sz w:val="20"/>
                <w:szCs w:val="20"/>
                <w:color w:val="auto"/>
              </w:rPr>
            </w:pPr>
            <w:r>
              <w:rPr>
                <w:rFonts w:ascii="Arial" w:cs="Arial" w:eastAsia="Arial" w:hAnsi="Arial"/>
                <w:sz w:val="14"/>
                <w:szCs w:val="14"/>
                <w:color w:val="auto"/>
              </w:rPr>
              <w:t>21</w:t>
            </w: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w w:val="99"/>
              </w:rPr>
              <w:t>45,340,402</w:t>
            </w:r>
          </w:p>
        </w:tc>
      </w:tr>
      <w:tr>
        <w:trPr>
          <w:trHeight w:val="227"/>
        </w:trPr>
        <w:tc>
          <w:tcPr>
            <w:tcW w:w="3920" w:type="dxa"/>
            <w:vAlign w:val="bottom"/>
          </w:tcPr>
          <w:p>
            <w:pPr>
              <w:spacing w:after="0"/>
              <w:rPr>
                <w:sz w:val="19"/>
                <w:szCs w:val="19"/>
                <w:color w:val="auto"/>
              </w:rPr>
            </w:pPr>
          </w:p>
        </w:tc>
        <w:tc>
          <w:tcPr>
            <w:tcW w:w="3780" w:type="dxa"/>
            <w:vAlign w:val="bottom"/>
            <w:tcBorders>
              <w:top w:val="single" w:sz="8" w:color="7F7F7F"/>
            </w:tcBorders>
          </w:tcPr>
          <w:p>
            <w:pPr>
              <w:ind w:left="400"/>
              <w:spacing w:after="0"/>
              <w:rPr>
                <w:sz w:val="20"/>
                <w:szCs w:val="20"/>
                <w:color w:val="auto"/>
              </w:rPr>
            </w:pPr>
            <w:r>
              <w:rPr>
                <w:rFonts w:ascii="Arial" w:cs="Arial" w:eastAsia="Arial" w:hAnsi="Arial"/>
                <w:sz w:val="14"/>
                <w:szCs w:val="14"/>
                <w:color w:val="auto"/>
              </w:rPr>
              <w:t>   Total</w:t>
            </w:r>
          </w:p>
        </w:tc>
        <w:tc>
          <w:tcPr>
            <w:tcW w:w="1660" w:type="dxa"/>
            <w:vAlign w:val="bottom"/>
            <w:tcBorders>
              <w:top w:val="single" w:sz="8" w:color="7F7F7F"/>
            </w:tcBorders>
          </w:tcPr>
          <w:p>
            <w:pPr>
              <w:spacing w:after="0"/>
              <w:rPr>
                <w:sz w:val="19"/>
                <w:szCs w:val="19"/>
                <w:color w:val="auto"/>
              </w:rPr>
            </w:pPr>
          </w:p>
        </w:tc>
        <w:tc>
          <w:tcPr>
            <w:tcW w:w="8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w w:val="99"/>
              </w:rPr>
              <w:t>45,914,027</w:t>
            </w:r>
          </w:p>
        </w:tc>
      </w:tr>
      <w:tr>
        <w:trPr>
          <w:trHeight w:val="48"/>
        </w:trPr>
        <w:tc>
          <w:tcPr>
            <w:tcW w:w="3920" w:type="dxa"/>
            <w:vAlign w:val="bottom"/>
            <w:tcBorders>
              <w:bottom w:val="single" w:sz="8" w:color="7F7F7F"/>
            </w:tcBorders>
          </w:tcPr>
          <w:p>
            <w:pPr>
              <w:spacing w:after="0"/>
              <w:rPr>
                <w:sz w:val="4"/>
                <w:szCs w:val="4"/>
                <w:color w:val="auto"/>
              </w:rPr>
            </w:pPr>
          </w:p>
        </w:tc>
        <w:tc>
          <w:tcPr>
            <w:tcW w:w="378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r>
        <w:trPr>
          <w:trHeight w:val="274"/>
        </w:trPr>
        <w:tc>
          <w:tcPr>
            <w:tcW w:w="3920" w:type="dxa"/>
            <w:vAlign w:val="bottom"/>
          </w:tcPr>
          <w:p>
            <w:pPr>
              <w:ind w:left="80"/>
              <w:spacing w:after="0"/>
              <w:rPr>
                <w:sz w:val="20"/>
                <w:szCs w:val="20"/>
                <w:color w:val="auto"/>
              </w:rPr>
            </w:pPr>
            <w:r>
              <w:rPr>
                <w:rFonts w:ascii="Arial" w:cs="Arial" w:eastAsia="Arial" w:hAnsi="Arial"/>
                <w:sz w:val="14"/>
                <w:szCs w:val="14"/>
                <w:color w:val="auto"/>
              </w:rPr>
              <w:t>Karen L. Sedgwick</w:t>
            </w:r>
            <w:r>
              <w:rPr>
                <w:rFonts w:ascii="Arial" w:cs="Arial" w:eastAsia="Arial" w:hAnsi="Arial"/>
                <w:sz w:val="21"/>
                <w:szCs w:val="21"/>
                <w:color w:val="auto"/>
                <w:vertAlign w:val="superscript"/>
              </w:rPr>
              <w:t>(B)</w:t>
            </w:r>
          </w:p>
        </w:tc>
        <w:tc>
          <w:tcPr>
            <w:tcW w:w="3780" w:type="dxa"/>
            <w:vAlign w:val="bottom"/>
            <w:tcBorders>
              <w:bottom w:val="single" w:sz="8" w:color="7F7F7F"/>
            </w:tcBorders>
            <w:shd w:val="clear" w:color="auto" w:fill="F2F2F2"/>
          </w:tcPr>
          <w:p>
            <w:pPr>
              <w:ind w:left="400"/>
              <w:spacing w:after="0"/>
              <w:rPr>
                <w:sz w:val="20"/>
                <w:szCs w:val="20"/>
                <w:color w:val="auto"/>
              </w:rPr>
            </w:pPr>
            <w:r>
              <w:rPr>
                <w:rFonts w:ascii="Arial" w:cs="Arial" w:eastAsia="Arial" w:hAnsi="Arial"/>
                <w:sz w:val="14"/>
                <w:szCs w:val="14"/>
                <w:color w:val="auto"/>
              </w:rPr>
              <w:t>Cash Balance Plan</w:t>
            </w:r>
          </w:p>
        </w:tc>
        <w:tc>
          <w:tcPr>
            <w:tcW w:w="1660" w:type="dxa"/>
            <w:vAlign w:val="bottom"/>
            <w:tcBorders>
              <w:bottom w:val="single" w:sz="8" w:color="7F7F7F"/>
            </w:tcBorders>
            <w:shd w:val="clear" w:color="auto" w:fill="F2F2F2"/>
          </w:tcPr>
          <w:p>
            <w:pPr>
              <w:jc w:val="right"/>
              <w:ind w:right="369"/>
              <w:spacing w:after="0"/>
              <w:rPr>
                <w:sz w:val="20"/>
                <w:szCs w:val="20"/>
                <w:color w:val="auto"/>
              </w:rPr>
            </w:pPr>
            <w:r>
              <w:rPr>
                <w:rFonts w:ascii="Arial" w:cs="Arial" w:eastAsia="Arial" w:hAnsi="Arial"/>
                <w:sz w:val="14"/>
                <w:szCs w:val="14"/>
                <w:color w:val="auto"/>
              </w:rPr>
              <w:t>34</w:t>
            </w:r>
          </w:p>
        </w:tc>
        <w:tc>
          <w:tcPr>
            <w:tcW w:w="8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4"/>
                <w:szCs w:val="14"/>
                <w:color w:val="auto"/>
              </w:rPr>
              <w:t>853,318</w:t>
            </w:r>
          </w:p>
        </w:tc>
      </w:tr>
      <w:tr>
        <w:trPr>
          <w:trHeight w:val="227"/>
        </w:trPr>
        <w:tc>
          <w:tcPr>
            <w:tcW w:w="3920" w:type="dxa"/>
            <w:vAlign w:val="bottom"/>
          </w:tcPr>
          <w:p>
            <w:pPr>
              <w:spacing w:after="0"/>
              <w:rPr>
                <w:sz w:val="19"/>
                <w:szCs w:val="19"/>
                <w:color w:val="auto"/>
              </w:rPr>
            </w:pPr>
          </w:p>
        </w:tc>
        <w:tc>
          <w:tcPr>
            <w:tcW w:w="3780" w:type="dxa"/>
            <w:vAlign w:val="bottom"/>
          </w:tcPr>
          <w:p>
            <w:pPr>
              <w:ind w:left="400"/>
              <w:spacing w:after="0"/>
              <w:rPr>
                <w:sz w:val="20"/>
                <w:szCs w:val="20"/>
                <w:color w:val="auto"/>
              </w:rPr>
            </w:pPr>
            <w:r>
              <w:rPr>
                <w:rFonts w:ascii="Arial" w:cs="Arial" w:eastAsia="Arial" w:hAnsi="Arial"/>
                <w:sz w:val="14"/>
                <w:szCs w:val="14"/>
                <w:color w:val="auto"/>
              </w:rPr>
              <w:t>Supplemental Executive Retirement Plan</w:t>
            </w:r>
          </w:p>
        </w:tc>
        <w:tc>
          <w:tcPr>
            <w:tcW w:w="1660" w:type="dxa"/>
            <w:vAlign w:val="bottom"/>
          </w:tcPr>
          <w:p>
            <w:pPr>
              <w:jc w:val="right"/>
              <w:ind w:right="369"/>
              <w:spacing w:after="0"/>
              <w:rPr>
                <w:sz w:val="20"/>
                <w:szCs w:val="20"/>
                <w:color w:val="auto"/>
              </w:rPr>
            </w:pPr>
            <w:r>
              <w:rPr>
                <w:rFonts w:ascii="Arial" w:cs="Arial" w:eastAsia="Arial" w:hAnsi="Arial"/>
                <w:sz w:val="14"/>
                <w:szCs w:val="14"/>
                <w:color w:val="auto"/>
              </w:rPr>
              <w:t>34</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8,901,878</w:t>
            </w:r>
          </w:p>
        </w:tc>
      </w:tr>
      <w:tr>
        <w:trPr>
          <w:trHeight w:val="48"/>
        </w:trPr>
        <w:tc>
          <w:tcPr>
            <w:tcW w:w="3920" w:type="dxa"/>
            <w:vAlign w:val="bottom"/>
          </w:tcPr>
          <w:p>
            <w:pPr>
              <w:spacing w:after="0"/>
              <w:rPr>
                <w:sz w:val="4"/>
                <w:szCs w:val="4"/>
                <w:color w:val="auto"/>
              </w:rPr>
            </w:pPr>
          </w:p>
        </w:tc>
        <w:tc>
          <w:tcPr>
            <w:tcW w:w="378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r>
        <w:trPr>
          <w:trHeight w:val="274"/>
        </w:trPr>
        <w:tc>
          <w:tcPr>
            <w:tcW w:w="3920" w:type="dxa"/>
            <w:vAlign w:val="bottom"/>
          </w:tcPr>
          <w:p>
            <w:pPr>
              <w:spacing w:after="0"/>
              <w:rPr>
                <w:sz w:val="23"/>
                <w:szCs w:val="23"/>
                <w:color w:val="auto"/>
              </w:rPr>
            </w:pPr>
          </w:p>
        </w:tc>
        <w:tc>
          <w:tcPr>
            <w:tcW w:w="3780" w:type="dxa"/>
            <w:vAlign w:val="bottom"/>
            <w:tcBorders>
              <w:bottom w:val="single" w:sz="8" w:color="F2F2F2"/>
            </w:tcBorders>
            <w:shd w:val="clear" w:color="auto" w:fill="F2F2F2"/>
          </w:tcPr>
          <w:p>
            <w:pPr>
              <w:ind w:left="400"/>
              <w:spacing w:after="0"/>
              <w:rPr>
                <w:sz w:val="20"/>
                <w:szCs w:val="20"/>
                <w:color w:val="auto"/>
              </w:rPr>
            </w:pPr>
            <w:r>
              <w:rPr>
                <w:rFonts w:ascii="Arial" w:cs="Arial" w:eastAsia="Arial" w:hAnsi="Arial"/>
                <w:sz w:val="14"/>
                <w:szCs w:val="14"/>
                <w:color w:val="auto"/>
              </w:rPr>
              <w:t>   Total</w:t>
            </w:r>
          </w:p>
        </w:tc>
        <w:tc>
          <w:tcPr>
            <w:tcW w:w="1660" w:type="dxa"/>
            <w:vAlign w:val="bottom"/>
            <w:tcBorders>
              <w:bottom w:val="single" w:sz="8" w:color="F2F2F2"/>
            </w:tcBorders>
            <w:shd w:val="clear" w:color="auto" w:fill="F2F2F2"/>
          </w:tcPr>
          <w:p>
            <w:pPr>
              <w:spacing w:after="0"/>
              <w:rPr>
                <w:sz w:val="23"/>
                <w:szCs w:val="23"/>
                <w:color w:val="auto"/>
              </w:rPr>
            </w:pP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9,755,196</w:t>
            </w:r>
          </w:p>
        </w:tc>
      </w:tr>
      <w:tr>
        <w:trPr>
          <w:trHeight w:val="274"/>
        </w:trPr>
        <w:tc>
          <w:tcPr>
            <w:tcW w:w="392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Justin C. Bird</w:t>
            </w:r>
            <w:r>
              <w:rPr>
                <w:rFonts w:ascii="Arial" w:cs="Arial" w:eastAsia="Arial" w:hAnsi="Arial"/>
                <w:sz w:val="21"/>
                <w:szCs w:val="21"/>
                <w:color w:val="auto"/>
                <w:vertAlign w:val="superscript"/>
              </w:rPr>
              <w:t>(B)</w:t>
            </w:r>
          </w:p>
        </w:tc>
        <w:tc>
          <w:tcPr>
            <w:tcW w:w="3780" w:type="dxa"/>
            <w:vAlign w:val="bottom"/>
            <w:tcBorders>
              <w:top w:val="single" w:sz="8" w:color="7F7F7F"/>
              <w:bottom w:val="single" w:sz="8" w:color="7F7F7F"/>
            </w:tcBorders>
          </w:tcPr>
          <w:p>
            <w:pPr>
              <w:ind w:left="400"/>
              <w:spacing w:after="0"/>
              <w:rPr>
                <w:sz w:val="20"/>
                <w:szCs w:val="20"/>
                <w:color w:val="auto"/>
              </w:rPr>
            </w:pPr>
            <w:r>
              <w:rPr>
                <w:rFonts w:ascii="Arial" w:cs="Arial" w:eastAsia="Arial" w:hAnsi="Arial"/>
                <w:sz w:val="14"/>
                <w:szCs w:val="14"/>
                <w:color w:val="auto"/>
              </w:rPr>
              <w:t>Cash Balance Plan</w:t>
            </w:r>
          </w:p>
        </w:tc>
        <w:tc>
          <w:tcPr>
            <w:tcW w:w="1660" w:type="dxa"/>
            <w:vAlign w:val="bottom"/>
            <w:tcBorders>
              <w:top w:val="single" w:sz="8" w:color="7F7F7F"/>
              <w:bottom w:val="single" w:sz="8" w:color="7F7F7F"/>
            </w:tcBorders>
          </w:tcPr>
          <w:p>
            <w:pPr>
              <w:jc w:val="right"/>
              <w:ind w:right="369"/>
              <w:spacing w:after="0"/>
              <w:rPr>
                <w:sz w:val="20"/>
                <w:szCs w:val="20"/>
                <w:color w:val="auto"/>
              </w:rPr>
            </w:pPr>
            <w:r>
              <w:rPr>
                <w:rFonts w:ascii="Arial" w:cs="Arial" w:eastAsia="Arial" w:hAnsi="Arial"/>
                <w:sz w:val="14"/>
                <w:szCs w:val="14"/>
                <w:color w:val="auto"/>
              </w:rPr>
              <w:t>21</w:t>
            </w:r>
          </w:p>
        </w:tc>
        <w:tc>
          <w:tcPr>
            <w:tcW w:w="8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586,793</w:t>
            </w:r>
          </w:p>
        </w:tc>
      </w:tr>
      <w:tr>
        <w:trPr>
          <w:trHeight w:val="279"/>
        </w:trPr>
        <w:tc>
          <w:tcPr>
            <w:tcW w:w="3920" w:type="dxa"/>
            <w:vAlign w:val="bottom"/>
          </w:tcPr>
          <w:p>
            <w:pPr>
              <w:spacing w:after="0"/>
              <w:rPr>
                <w:sz w:val="23"/>
                <w:szCs w:val="23"/>
                <w:color w:val="auto"/>
              </w:rPr>
            </w:pPr>
          </w:p>
        </w:tc>
        <w:tc>
          <w:tcPr>
            <w:tcW w:w="3780" w:type="dxa"/>
            <w:vAlign w:val="bottom"/>
            <w:tcBorders>
              <w:bottom w:val="single" w:sz="8" w:color="F2F2F2"/>
            </w:tcBorders>
            <w:shd w:val="clear" w:color="auto" w:fill="F2F2F2"/>
          </w:tcPr>
          <w:p>
            <w:pPr>
              <w:ind w:left="400"/>
              <w:spacing w:after="0"/>
              <w:rPr>
                <w:sz w:val="20"/>
                <w:szCs w:val="20"/>
                <w:color w:val="auto"/>
              </w:rPr>
            </w:pPr>
            <w:r>
              <w:rPr>
                <w:rFonts w:ascii="Arial" w:cs="Arial" w:eastAsia="Arial" w:hAnsi="Arial"/>
                <w:sz w:val="14"/>
                <w:szCs w:val="14"/>
                <w:color w:val="auto"/>
              </w:rPr>
              <w:t>Supplemental Executive Retirement Plan</w:t>
            </w:r>
          </w:p>
        </w:tc>
        <w:tc>
          <w:tcPr>
            <w:tcW w:w="1660" w:type="dxa"/>
            <w:vAlign w:val="bottom"/>
            <w:tcBorders>
              <w:bottom w:val="single" w:sz="8" w:color="F2F2F2"/>
            </w:tcBorders>
            <w:shd w:val="clear" w:color="auto" w:fill="F2F2F2"/>
          </w:tcPr>
          <w:p>
            <w:pPr>
              <w:jc w:val="right"/>
              <w:ind w:right="369"/>
              <w:spacing w:after="0"/>
              <w:rPr>
                <w:sz w:val="20"/>
                <w:szCs w:val="20"/>
                <w:color w:val="auto"/>
              </w:rPr>
            </w:pPr>
            <w:r>
              <w:rPr>
                <w:rFonts w:ascii="Arial" w:cs="Arial" w:eastAsia="Arial" w:hAnsi="Arial"/>
                <w:sz w:val="14"/>
                <w:szCs w:val="14"/>
                <w:color w:val="auto"/>
              </w:rPr>
              <w:t>21</w:t>
            </w: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9,495,827</w:t>
            </w:r>
          </w:p>
        </w:tc>
      </w:tr>
      <w:tr>
        <w:trPr>
          <w:trHeight w:val="227"/>
        </w:trPr>
        <w:tc>
          <w:tcPr>
            <w:tcW w:w="3920" w:type="dxa"/>
            <w:vAlign w:val="bottom"/>
          </w:tcPr>
          <w:p>
            <w:pPr>
              <w:spacing w:after="0"/>
              <w:rPr>
                <w:sz w:val="19"/>
                <w:szCs w:val="19"/>
                <w:color w:val="auto"/>
              </w:rPr>
            </w:pPr>
          </w:p>
        </w:tc>
        <w:tc>
          <w:tcPr>
            <w:tcW w:w="3780" w:type="dxa"/>
            <w:vAlign w:val="bottom"/>
            <w:tcBorders>
              <w:top w:val="single" w:sz="8" w:color="7F7F7F"/>
            </w:tcBorders>
          </w:tcPr>
          <w:p>
            <w:pPr>
              <w:ind w:left="400"/>
              <w:spacing w:after="0"/>
              <w:rPr>
                <w:sz w:val="20"/>
                <w:szCs w:val="20"/>
                <w:color w:val="auto"/>
              </w:rPr>
            </w:pPr>
            <w:r>
              <w:rPr>
                <w:rFonts w:ascii="Arial" w:cs="Arial" w:eastAsia="Arial" w:hAnsi="Arial"/>
                <w:sz w:val="14"/>
                <w:szCs w:val="14"/>
                <w:color w:val="auto"/>
              </w:rPr>
              <w:t>   Total</w:t>
            </w:r>
          </w:p>
        </w:tc>
        <w:tc>
          <w:tcPr>
            <w:tcW w:w="1660" w:type="dxa"/>
            <w:vAlign w:val="bottom"/>
            <w:tcBorders>
              <w:top w:val="single" w:sz="8" w:color="7F7F7F"/>
            </w:tcBorders>
          </w:tcPr>
          <w:p>
            <w:pPr>
              <w:spacing w:after="0"/>
              <w:rPr>
                <w:sz w:val="19"/>
                <w:szCs w:val="19"/>
                <w:color w:val="auto"/>
              </w:rPr>
            </w:pPr>
          </w:p>
        </w:tc>
        <w:tc>
          <w:tcPr>
            <w:tcW w:w="8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w w:val="99"/>
              </w:rPr>
              <w:t>10,082,620</w:t>
            </w:r>
          </w:p>
        </w:tc>
      </w:tr>
      <w:tr>
        <w:trPr>
          <w:trHeight w:val="48"/>
        </w:trPr>
        <w:tc>
          <w:tcPr>
            <w:tcW w:w="3920" w:type="dxa"/>
            <w:vAlign w:val="bottom"/>
            <w:tcBorders>
              <w:bottom w:val="single" w:sz="8" w:color="7F7F7F"/>
            </w:tcBorders>
          </w:tcPr>
          <w:p>
            <w:pPr>
              <w:spacing w:after="0"/>
              <w:rPr>
                <w:sz w:val="4"/>
                <w:szCs w:val="4"/>
                <w:color w:val="auto"/>
              </w:rPr>
            </w:pPr>
          </w:p>
        </w:tc>
        <w:tc>
          <w:tcPr>
            <w:tcW w:w="378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r>
        <w:trPr>
          <w:trHeight w:val="274"/>
        </w:trPr>
        <w:tc>
          <w:tcPr>
            <w:tcW w:w="3920" w:type="dxa"/>
            <w:vAlign w:val="bottom"/>
          </w:tcPr>
          <w:p>
            <w:pPr>
              <w:ind w:left="80"/>
              <w:spacing w:after="0"/>
              <w:rPr>
                <w:sz w:val="20"/>
                <w:szCs w:val="20"/>
                <w:color w:val="auto"/>
              </w:rPr>
            </w:pPr>
            <w:r>
              <w:rPr>
                <w:rFonts w:ascii="Arial" w:cs="Arial" w:eastAsia="Arial" w:hAnsi="Arial"/>
                <w:sz w:val="14"/>
                <w:szCs w:val="14"/>
                <w:color w:val="auto"/>
              </w:rPr>
              <w:t>Caroline A. Winn</w:t>
            </w:r>
            <w:r>
              <w:rPr>
                <w:rFonts w:ascii="Arial" w:cs="Arial" w:eastAsia="Arial" w:hAnsi="Arial"/>
                <w:sz w:val="21"/>
                <w:szCs w:val="21"/>
                <w:color w:val="auto"/>
                <w:vertAlign w:val="superscript"/>
              </w:rPr>
              <w:t>(B)</w:t>
            </w:r>
          </w:p>
        </w:tc>
        <w:tc>
          <w:tcPr>
            <w:tcW w:w="3780" w:type="dxa"/>
            <w:vAlign w:val="bottom"/>
            <w:tcBorders>
              <w:bottom w:val="single" w:sz="8" w:color="7F7F7F"/>
            </w:tcBorders>
            <w:shd w:val="clear" w:color="auto" w:fill="F2F2F2"/>
          </w:tcPr>
          <w:p>
            <w:pPr>
              <w:ind w:left="400"/>
              <w:spacing w:after="0"/>
              <w:rPr>
                <w:sz w:val="20"/>
                <w:szCs w:val="20"/>
                <w:color w:val="auto"/>
              </w:rPr>
            </w:pPr>
            <w:r>
              <w:rPr>
                <w:rFonts w:ascii="Arial" w:cs="Arial" w:eastAsia="Arial" w:hAnsi="Arial"/>
                <w:sz w:val="14"/>
                <w:szCs w:val="14"/>
                <w:color w:val="auto"/>
              </w:rPr>
              <w:t>Cash Balance Plan</w:t>
            </w:r>
          </w:p>
        </w:tc>
        <w:tc>
          <w:tcPr>
            <w:tcW w:w="1660" w:type="dxa"/>
            <w:vAlign w:val="bottom"/>
            <w:tcBorders>
              <w:bottom w:val="single" w:sz="8" w:color="7F7F7F"/>
            </w:tcBorders>
            <w:shd w:val="clear" w:color="auto" w:fill="F2F2F2"/>
          </w:tcPr>
          <w:p>
            <w:pPr>
              <w:jc w:val="right"/>
              <w:ind w:right="369"/>
              <w:spacing w:after="0"/>
              <w:rPr>
                <w:sz w:val="20"/>
                <w:szCs w:val="20"/>
                <w:color w:val="auto"/>
              </w:rPr>
            </w:pPr>
            <w:r>
              <w:rPr>
                <w:rFonts w:ascii="Arial" w:cs="Arial" w:eastAsia="Arial" w:hAnsi="Arial"/>
                <w:sz w:val="14"/>
                <w:szCs w:val="14"/>
                <w:color w:val="auto"/>
              </w:rPr>
              <w:t>40</w:t>
            </w:r>
          </w:p>
        </w:tc>
        <w:tc>
          <w:tcPr>
            <w:tcW w:w="8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4"/>
                <w:szCs w:val="14"/>
                <w:color w:val="auto"/>
              </w:rPr>
              <w:t>1,124,812</w:t>
            </w:r>
          </w:p>
        </w:tc>
      </w:tr>
      <w:tr>
        <w:trPr>
          <w:trHeight w:val="227"/>
        </w:trPr>
        <w:tc>
          <w:tcPr>
            <w:tcW w:w="3920" w:type="dxa"/>
            <w:vAlign w:val="bottom"/>
          </w:tcPr>
          <w:p>
            <w:pPr>
              <w:spacing w:after="0"/>
              <w:rPr>
                <w:sz w:val="19"/>
                <w:szCs w:val="19"/>
                <w:color w:val="auto"/>
              </w:rPr>
            </w:pPr>
          </w:p>
        </w:tc>
        <w:tc>
          <w:tcPr>
            <w:tcW w:w="3780" w:type="dxa"/>
            <w:vAlign w:val="bottom"/>
          </w:tcPr>
          <w:p>
            <w:pPr>
              <w:ind w:left="400"/>
              <w:spacing w:after="0"/>
              <w:rPr>
                <w:sz w:val="20"/>
                <w:szCs w:val="20"/>
                <w:color w:val="auto"/>
              </w:rPr>
            </w:pPr>
            <w:r>
              <w:rPr>
                <w:rFonts w:ascii="Arial" w:cs="Arial" w:eastAsia="Arial" w:hAnsi="Arial"/>
                <w:sz w:val="14"/>
                <w:szCs w:val="14"/>
                <w:color w:val="auto"/>
              </w:rPr>
              <w:t>Supplemental Executive Retirement Plan</w:t>
            </w:r>
          </w:p>
        </w:tc>
        <w:tc>
          <w:tcPr>
            <w:tcW w:w="1660" w:type="dxa"/>
            <w:vAlign w:val="bottom"/>
          </w:tcPr>
          <w:p>
            <w:pPr>
              <w:jc w:val="right"/>
              <w:ind w:right="369"/>
              <w:spacing w:after="0"/>
              <w:rPr>
                <w:sz w:val="20"/>
                <w:szCs w:val="20"/>
                <w:color w:val="auto"/>
              </w:rPr>
            </w:pPr>
            <w:r>
              <w:rPr>
                <w:rFonts w:ascii="Arial" w:cs="Arial" w:eastAsia="Arial" w:hAnsi="Arial"/>
                <w:sz w:val="14"/>
                <w:szCs w:val="14"/>
                <w:color w:val="auto"/>
              </w:rPr>
              <w:t>40</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14,426,829</w:t>
            </w:r>
          </w:p>
        </w:tc>
      </w:tr>
      <w:tr>
        <w:trPr>
          <w:trHeight w:val="48"/>
        </w:trPr>
        <w:tc>
          <w:tcPr>
            <w:tcW w:w="3920" w:type="dxa"/>
            <w:vAlign w:val="bottom"/>
          </w:tcPr>
          <w:p>
            <w:pPr>
              <w:spacing w:after="0"/>
              <w:rPr>
                <w:sz w:val="4"/>
                <w:szCs w:val="4"/>
                <w:color w:val="auto"/>
              </w:rPr>
            </w:pPr>
          </w:p>
        </w:tc>
        <w:tc>
          <w:tcPr>
            <w:tcW w:w="3780" w:type="dxa"/>
            <w:vAlign w:val="bottom"/>
            <w:tcBorders>
              <w:bottom w:val="single" w:sz="8" w:color="7F7F7F"/>
            </w:tcBorders>
          </w:tcPr>
          <w:p>
            <w:pPr>
              <w:spacing w:after="0"/>
              <w:rPr>
                <w:sz w:val="4"/>
                <w:szCs w:val="4"/>
                <w:color w:val="auto"/>
              </w:rPr>
            </w:pPr>
          </w:p>
        </w:tc>
        <w:tc>
          <w:tcPr>
            <w:tcW w:w="166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r>
        <w:trPr>
          <w:trHeight w:val="274"/>
        </w:trPr>
        <w:tc>
          <w:tcPr>
            <w:tcW w:w="3920" w:type="dxa"/>
            <w:vAlign w:val="bottom"/>
          </w:tcPr>
          <w:p>
            <w:pPr>
              <w:spacing w:after="0"/>
              <w:rPr>
                <w:sz w:val="23"/>
                <w:szCs w:val="23"/>
                <w:color w:val="auto"/>
              </w:rPr>
            </w:pPr>
          </w:p>
        </w:tc>
        <w:tc>
          <w:tcPr>
            <w:tcW w:w="3780" w:type="dxa"/>
            <w:vAlign w:val="bottom"/>
            <w:tcBorders>
              <w:bottom w:val="single" w:sz="8" w:color="F2F2F2"/>
            </w:tcBorders>
            <w:shd w:val="clear" w:color="auto" w:fill="F2F2F2"/>
          </w:tcPr>
          <w:p>
            <w:pPr>
              <w:ind w:left="400"/>
              <w:spacing w:after="0"/>
              <w:rPr>
                <w:sz w:val="20"/>
                <w:szCs w:val="20"/>
                <w:color w:val="auto"/>
              </w:rPr>
            </w:pPr>
            <w:r>
              <w:rPr>
                <w:rFonts w:ascii="Arial" w:cs="Arial" w:eastAsia="Arial" w:hAnsi="Arial"/>
                <w:sz w:val="14"/>
                <w:szCs w:val="14"/>
                <w:color w:val="auto"/>
              </w:rPr>
              <w:t>   Total</w:t>
            </w:r>
          </w:p>
        </w:tc>
        <w:tc>
          <w:tcPr>
            <w:tcW w:w="1660" w:type="dxa"/>
            <w:vAlign w:val="bottom"/>
            <w:tcBorders>
              <w:bottom w:val="single" w:sz="8" w:color="F2F2F2"/>
            </w:tcBorders>
            <w:shd w:val="clear" w:color="auto" w:fill="F2F2F2"/>
          </w:tcPr>
          <w:p>
            <w:pPr>
              <w:spacing w:after="0"/>
              <w:rPr>
                <w:sz w:val="23"/>
                <w:szCs w:val="23"/>
                <w:color w:val="auto"/>
              </w:rPr>
            </w:pP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w w:val="99"/>
              </w:rPr>
              <w:t>15,551,641</w:t>
            </w:r>
          </w:p>
        </w:tc>
      </w:tr>
      <w:tr>
        <w:trPr>
          <w:trHeight w:val="274"/>
        </w:trPr>
        <w:tc>
          <w:tcPr>
            <w:tcW w:w="392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Diana L. Day</w:t>
            </w:r>
            <w:r>
              <w:rPr>
                <w:rFonts w:ascii="Arial" w:cs="Arial" w:eastAsia="Arial" w:hAnsi="Arial"/>
                <w:sz w:val="21"/>
                <w:szCs w:val="21"/>
                <w:color w:val="auto"/>
                <w:vertAlign w:val="superscript"/>
              </w:rPr>
              <w:t>(C)</w:t>
            </w:r>
          </w:p>
        </w:tc>
        <w:tc>
          <w:tcPr>
            <w:tcW w:w="3780" w:type="dxa"/>
            <w:vAlign w:val="bottom"/>
            <w:tcBorders>
              <w:top w:val="single" w:sz="8" w:color="7F7F7F"/>
              <w:bottom w:val="single" w:sz="8" w:color="7F7F7F"/>
            </w:tcBorders>
          </w:tcPr>
          <w:p>
            <w:pPr>
              <w:ind w:left="400"/>
              <w:spacing w:after="0"/>
              <w:rPr>
                <w:sz w:val="20"/>
                <w:szCs w:val="20"/>
                <w:color w:val="auto"/>
              </w:rPr>
            </w:pPr>
            <w:r>
              <w:rPr>
                <w:rFonts w:ascii="Arial" w:cs="Arial" w:eastAsia="Arial" w:hAnsi="Arial"/>
                <w:sz w:val="14"/>
                <w:szCs w:val="14"/>
                <w:color w:val="auto"/>
              </w:rPr>
              <w:t>Cash Balance Plan</w:t>
            </w:r>
          </w:p>
        </w:tc>
        <w:tc>
          <w:tcPr>
            <w:tcW w:w="1660" w:type="dxa"/>
            <w:vAlign w:val="bottom"/>
            <w:tcBorders>
              <w:top w:val="single" w:sz="8" w:color="7F7F7F"/>
              <w:bottom w:val="single" w:sz="8" w:color="7F7F7F"/>
            </w:tcBorders>
          </w:tcPr>
          <w:p>
            <w:pPr>
              <w:jc w:val="right"/>
              <w:ind w:right="369"/>
              <w:spacing w:after="0"/>
              <w:rPr>
                <w:sz w:val="20"/>
                <w:szCs w:val="20"/>
                <w:color w:val="auto"/>
              </w:rPr>
            </w:pPr>
            <w:r>
              <w:rPr>
                <w:rFonts w:ascii="Arial" w:cs="Arial" w:eastAsia="Arial" w:hAnsi="Arial"/>
                <w:sz w:val="14"/>
                <w:szCs w:val="14"/>
                <w:color w:val="auto"/>
              </w:rPr>
              <w:t>29</w:t>
            </w:r>
          </w:p>
        </w:tc>
        <w:tc>
          <w:tcPr>
            <w:tcW w:w="8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auto"/>
              </w:rPr>
              <w:t>939,264</w:t>
            </w:r>
          </w:p>
        </w:tc>
      </w:tr>
      <w:tr>
        <w:trPr>
          <w:trHeight w:val="279"/>
        </w:trPr>
        <w:tc>
          <w:tcPr>
            <w:tcW w:w="3920" w:type="dxa"/>
            <w:vAlign w:val="bottom"/>
          </w:tcPr>
          <w:p>
            <w:pPr>
              <w:spacing w:after="0"/>
              <w:rPr>
                <w:sz w:val="23"/>
                <w:szCs w:val="23"/>
                <w:color w:val="auto"/>
              </w:rPr>
            </w:pPr>
          </w:p>
        </w:tc>
        <w:tc>
          <w:tcPr>
            <w:tcW w:w="3780" w:type="dxa"/>
            <w:vAlign w:val="bottom"/>
            <w:tcBorders>
              <w:bottom w:val="single" w:sz="8" w:color="F2F2F2"/>
            </w:tcBorders>
            <w:shd w:val="clear" w:color="auto" w:fill="F2F2F2"/>
          </w:tcPr>
          <w:p>
            <w:pPr>
              <w:ind w:left="400"/>
              <w:spacing w:after="0"/>
              <w:rPr>
                <w:sz w:val="20"/>
                <w:szCs w:val="20"/>
                <w:color w:val="auto"/>
              </w:rPr>
            </w:pPr>
            <w:r>
              <w:rPr>
                <w:rFonts w:ascii="Arial" w:cs="Arial" w:eastAsia="Arial" w:hAnsi="Arial"/>
                <w:sz w:val="14"/>
                <w:szCs w:val="14"/>
                <w:color w:val="auto"/>
              </w:rPr>
              <w:t>Cash Balance Restoration Plan</w:t>
            </w:r>
          </w:p>
        </w:tc>
        <w:tc>
          <w:tcPr>
            <w:tcW w:w="1660" w:type="dxa"/>
            <w:vAlign w:val="bottom"/>
            <w:tcBorders>
              <w:bottom w:val="single" w:sz="8" w:color="F2F2F2"/>
            </w:tcBorders>
            <w:shd w:val="clear" w:color="auto" w:fill="F2F2F2"/>
          </w:tcPr>
          <w:p>
            <w:pPr>
              <w:jc w:val="right"/>
              <w:ind w:right="369"/>
              <w:spacing w:after="0"/>
              <w:rPr>
                <w:sz w:val="20"/>
                <w:szCs w:val="20"/>
                <w:color w:val="auto"/>
              </w:rPr>
            </w:pPr>
            <w:r>
              <w:rPr>
                <w:rFonts w:ascii="Arial" w:cs="Arial" w:eastAsia="Arial" w:hAnsi="Arial"/>
                <w:sz w:val="14"/>
                <w:szCs w:val="14"/>
                <w:color w:val="auto"/>
              </w:rPr>
              <w:t>29</w:t>
            </w:r>
          </w:p>
        </w:tc>
        <w:tc>
          <w:tcPr>
            <w:tcW w:w="8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663,945</w:t>
            </w:r>
          </w:p>
        </w:tc>
      </w:tr>
      <w:tr>
        <w:trPr>
          <w:trHeight w:val="227"/>
        </w:trPr>
        <w:tc>
          <w:tcPr>
            <w:tcW w:w="3920" w:type="dxa"/>
            <w:vAlign w:val="bottom"/>
          </w:tcPr>
          <w:p>
            <w:pPr>
              <w:spacing w:after="0"/>
              <w:rPr>
                <w:sz w:val="19"/>
                <w:szCs w:val="19"/>
                <w:color w:val="auto"/>
              </w:rPr>
            </w:pPr>
          </w:p>
        </w:tc>
        <w:tc>
          <w:tcPr>
            <w:tcW w:w="3780" w:type="dxa"/>
            <w:vAlign w:val="bottom"/>
            <w:tcBorders>
              <w:top w:val="single" w:sz="8" w:color="7F7F7F"/>
            </w:tcBorders>
          </w:tcPr>
          <w:p>
            <w:pPr>
              <w:ind w:left="400"/>
              <w:spacing w:after="0"/>
              <w:rPr>
                <w:sz w:val="20"/>
                <w:szCs w:val="20"/>
                <w:color w:val="auto"/>
              </w:rPr>
            </w:pPr>
            <w:r>
              <w:rPr>
                <w:rFonts w:ascii="Arial" w:cs="Arial" w:eastAsia="Arial" w:hAnsi="Arial"/>
                <w:sz w:val="14"/>
                <w:szCs w:val="14"/>
                <w:color w:val="auto"/>
              </w:rPr>
              <w:t>   Total</w:t>
            </w:r>
          </w:p>
        </w:tc>
        <w:tc>
          <w:tcPr>
            <w:tcW w:w="1660" w:type="dxa"/>
            <w:vAlign w:val="bottom"/>
            <w:tcBorders>
              <w:top w:val="single" w:sz="8" w:color="7F7F7F"/>
            </w:tcBorders>
          </w:tcPr>
          <w:p>
            <w:pPr>
              <w:spacing w:after="0"/>
              <w:rPr>
                <w:sz w:val="19"/>
                <w:szCs w:val="19"/>
                <w:color w:val="auto"/>
              </w:rPr>
            </w:pPr>
          </w:p>
        </w:tc>
        <w:tc>
          <w:tcPr>
            <w:tcW w:w="84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1,603,209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3" w:lineRule="exact"/>
        <w:rPr>
          <w:sz w:val="20"/>
          <w:szCs w:val="20"/>
          <w:color w:val="auto"/>
        </w:rPr>
      </w:pPr>
    </w:p>
    <w:p>
      <w:pPr>
        <w:ind w:left="480" w:right="300" w:hanging="313"/>
        <w:spacing w:after="0" w:line="267" w:lineRule="auto"/>
        <w:tabs>
          <w:tab w:leader="none" w:pos="48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Amounts are based on the assumptions used for financial reporting purposes set forth in Note 9 of the Notes to Consolidated Financial Statements contained in our 2025 Annual Report to Shareholders, except that retirement age has been assumed to be the earliest time at which the executive could retire under each of the plans without any benefit reduction due to age.</w:t>
      </w:r>
    </w:p>
    <w:p>
      <w:pPr>
        <w:spacing w:after="0" w:line="1" w:lineRule="exact"/>
        <w:rPr>
          <w:sz w:val="20"/>
          <w:szCs w:val="20"/>
          <w:color w:val="auto"/>
        </w:rPr>
      </w:pPr>
    </w:p>
    <w:p>
      <w:pPr>
        <w:jc w:val="both"/>
        <w:ind w:left="480" w:right="100" w:hanging="313"/>
        <w:spacing w:after="0" w:line="256" w:lineRule="auto"/>
        <w:tabs>
          <w:tab w:leader="none" w:pos="48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Amounts shown for the Cash Balance Plan are based on the greater of the amounts payable under the plan or the sum of the present value of the accumulated benefit payable under a frozen predecessor plan plus future cash balance accruals. The amounts shown for the Supplemental Executive Retirement Plan and the Cash Balance Restoration Plan are the present value of the incremental benefit over that provided by the Cash Balance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87630</wp:posOffset>
            </wp:positionV>
            <wp:extent cx="69297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215265</wp:posOffset>
            </wp:positionV>
            <wp:extent cx="739140" cy="144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41" w:lineRule="exact"/>
        <w:rPr>
          <w:sz w:val="20"/>
          <w:szCs w:val="20"/>
          <w:color w:val="auto"/>
        </w:rPr>
      </w:pPr>
    </w:p>
    <w:p>
      <w:pPr>
        <w:ind w:left="8960"/>
        <w:spacing w:after="0"/>
        <w:rPr>
          <w:sz w:val="20"/>
          <w:szCs w:val="20"/>
          <w:color w:val="auto"/>
        </w:rPr>
      </w:pPr>
      <w:r>
        <w:rPr>
          <w:rFonts w:ascii="Arial" w:cs="Arial" w:eastAsia="Arial" w:hAnsi="Arial"/>
          <w:sz w:val="12"/>
          <w:szCs w:val="12"/>
          <w:color w:val="auto"/>
        </w:rPr>
        <w:t>      2026 Proxy Statement            79</w:t>
      </w:r>
    </w:p>
    <w:p>
      <w:pPr>
        <w:sectPr>
          <w:pgSz w:w="11900" w:h="16838" w:orient="portrait"/>
          <w:cols w:equalWidth="0" w:num="1">
            <w:col w:w="11080"/>
          </w:cols>
          <w:pgMar w:left="320" w:top="478"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36" w:lineRule="exact"/>
        <w:rPr>
          <w:sz w:val="20"/>
          <w:szCs w:val="20"/>
          <w:color w:val="auto"/>
        </w:rPr>
      </w:pPr>
    </w:p>
    <w:p>
      <w:pPr>
        <w:ind w:left="480" w:right="20" w:hanging="313"/>
        <w:spacing w:after="0" w:line="244" w:lineRule="auto"/>
        <w:tabs>
          <w:tab w:leader="none" w:pos="48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Mr. Martin and Ms. Winn are eligible for early retirement benefits under the defined benefit formula of the Supplemental Executive Retirement Plan. Ms. Sedgwick and Mr. Bird are not yet vested in a benefit under the defined benefit formula of the Supplemental Executive Retirement Plan. However, Ms. Sedgwick and Mr. Bird would have been entitled to the benefit that would have been received under the tax-qualified Cash Balance Plan but for Internal Revenue Code limitations on pay and benefits under tax-qualified plans. At December 31, 2025, Mr. Martin was age 63, Ms. Sedgwick was age 59, Mr. Bird was age 54 and Ms. Winn was age 62. Had they retired at December 31, 2025 and received their benefits under the plans as a lump sum, their early retirement benefits would have been $46,080,866 for Mr. Martin; $1,406,600 for Ms. Sedgwick; $1,394,464 for Mr. Bird; and $15,710,493 for Ms. Winn.</w:t>
      </w:r>
    </w:p>
    <w:p>
      <w:pPr>
        <w:spacing w:after="0" w:line="7" w:lineRule="exact"/>
        <w:rPr>
          <w:rFonts w:ascii="Arial" w:cs="Arial" w:eastAsia="Arial" w:hAnsi="Arial"/>
          <w:sz w:val="12"/>
          <w:szCs w:val="12"/>
          <w:color w:val="auto"/>
        </w:rPr>
      </w:pPr>
    </w:p>
    <w:p>
      <w:pPr>
        <w:ind w:left="480" w:hanging="313"/>
        <w:spacing w:after="0" w:line="279" w:lineRule="auto"/>
        <w:tabs>
          <w:tab w:leader="none" w:pos="48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Ms. Day, who is not a participant in the Supplemental Executive Retirement Plan, is vested in benefits under the Cash Balance Plan and nonqualified Cash Balance Restoration Plan. Had her employment terminated on December 31, 2025, Ms. Day’s benefit would have been $1,651,361.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80               </w:t>
      </w:r>
      <w:r>
        <w:rPr>
          <w:sz w:val="1"/>
          <w:szCs w:val="1"/>
          <w:color w:val="auto"/>
        </w:rPr>
        <w:drawing>
          <wp:inline distT="0" distB="0" distL="0" distR="0">
            <wp:extent cx="739140" cy="144145"/>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0980"/>
          </w:cols>
          <w:pgMar w:left="320" w:top="478" w:right="5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Executive Compensation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Nonqualified Deferred Compensation</w:t>
      </w:r>
    </w:p>
    <w:p>
      <w:pPr>
        <w:spacing w:after="0" w:line="129" w:lineRule="exact"/>
        <w:rPr>
          <w:sz w:val="20"/>
          <w:szCs w:val="20"/>
          <w:color w:val="auto"/>
        </w:rPr>
      </w:pPr>
    </w:p>
    <w:p>
      <w:pPr>
        <w:ind w:left="160" w:right="140"/>
        <w:spacing w:after="0" w:line="260" w:lineRule="auto"/>
        <w:rPr>
          <w:sz w:val="20"/>
          <w:szCs w:val="20"/>
          <w:color w:val="auto"/>
        </w:rPr>
      </w:pPr>
      <w:r>
        <w:rPr>
          <w:rFonts w:ascii="Arial" w:cs="Arial" w:eastAsia="Arial" w:hAnsi="Arial"/>
          <w:sz w:val="14"/>
          <w:szCs w:val="14"/>
          <w:color w:val="auto"/>
        </w:rPr>
        <w:t>Our nonqualified Employee and Director Savings Plan permits executives to elect on a year-by-year basis to defer the receipt of up to 85% of their annual salary and performance-based annual bonus for payment in installments or in a lump sum at a future date in connection with an executive’s separation of service from the company or on a fixed in-service distribution date. Executive officers also may defer all or a portion of certain performance-based restricted stock unit awards upon vesting.</w:t>
      </w:r>
    </w:p>
    <w:p>
      <w:pPr>
        <w:spacing w:after="0" w:line="65" w:lineRule="exact"/>
        <w:rPr>
          <w:sz w:val="20"/>
          <w:szCs w:val="20"/>
          <w:color w:val="auto"/>
        </w:rPr>
      </w:pPr>
    </w:p>
    <w:p>
      <w:pPr>
        <w:ind w:left="160" w:right="80"/>
        <w:spacing w:after="0" w:line="247" w:lineRule="auto"/>
        <w:rPr>
          <w:sz w:val="20"/>
          <w:szCs w:val="20"/>
          <w:color w:val="auto"/>
        </w:rPr>
      </w:pPr>
      <w:r>
        <w:rPr>
          <w:rFonts w:ascii="Arial" w:cs="Arial" w:eastAsia="Arial" w:hAnsi="Arial"/>
          <w:sz w:val="14"/>
          <w:szCs w:val="14"/>
          <w:color w:val="auto"/>
        </w:rPr>
        <w:t>The timing and form of distribution are selected by the executive at the time of the deferral election, and subsequent changes are limited. In the event of a change in control, participant accounts are distributed in a lump sum immediately prior to the date of the change in control. Deferred amounts are fully vested and earn interest at a rate reset annually to the higher of 110% of the Moody’s Corporate Bond Yield Average Rate or the Moody’s Corporate Bond Yield Average Rate plus 1% (6.45% for 2025) or, at the election of the executive, are deemed invested in investment accounts that mirror the investment accounts available under our tax-qualified 401(k) savings plan in which all employees may participate. Deferrals of performance-based restricted stock unit awards cannot be transferred into other investments and are paid out in shares of common stock in accordance with the officer’s payout elections following separation of service from the company.</w:t>
      </w:r>
    </w:p>
    <w:p>
      <w:pPr>
        <w:spacing w:after="0" w:line="76" w:lineRule="exact"/>
        <w:rPr>
          <w:sz w:val="20"/>
          <w:szCs w:val="20"/>
          <w:color w:val="auto"/>
        </w:rPr>
      </w:pPr>
    </w:p>
    <w:p>
      <w:pPr>
        <w:ind w:left="160" w:right="140"/>
        <w:spacing w:after="0" w:line="253" w:lineRule="auto"/>
        <w:rPr>
          <w:sz w:val="20"/>
          <w:szCs w:val="20"/>
          <w:color w:val="auto"/>
        </w:rPr>
      </w:pPr>
      <w:r>
        <w:rPr>
          <w:rFonts w:ascii="Arial" w:cs="Arial" w:eastAsia="Arial" w:hAnsi="Arial"/>
          <w:sz w:val="14"/>
          <w:szCs w:val="14"/>
          <w:color w:val="auto"/>
        </w:rPr>
        <w:t>The Internal Revenue Code places annual limits on the amounts that employees and employers can defer into a 401(k) savings plan. Because of these limits, the company makes matching contributions for deferred compensation plan participants through the deferred compensation plan. The deferred compensation matching contribution is equal to one-half of the first 6% of the employee’s contributions plus one-fifth of the next 5% of the employee’s contributions less an offset for 401(k) savings plan matching contributions. There are no company matching contributions on deferrals of performance-based restricted stock unit awards.</w:t>
      </w:r>
    </w:p>
    <w:p>
      <w:pPr>
        <w:spacing w:after="0" w:line="70" w:lineRule="exact"/>
        <w:rPr>
          <w:sz w:val="20"/>
          <w:szCs w:val="20"/>
          <w:color w:val="auto"/>
        </w:rPr>
      </w:pPr>
    </w:p>
    <w:p>
      <w:pPr>
        <w:ind w:left="160" w:right="420"/>
        <w:spacing w:after="0" w:line="281" w:lineRule="auto"/>
        <w:rPr>
          <w:sz w:val="20"/>
          <w:szCs w:val="20"/>
          <w:color w:val="auto"/>
        </w:rPr>
      </w:pPr>
      <w:r>
        <w:rPr>
          <w:rFonts w:ascii="Arial" w:cs="Arial" w:eastAsia="Arial" w:hAnsi="Arial"/>
          <w:sz w:val="14"/>
          <w:szCs w:val="14"/>
          <w:color w:val="auto"/>
        </w:rPr>
        <w:t>All employee contributions and related investment earnings in the deferred compensation plan vest immediately. New participants are immediately eligible for company matching contributions and company matching contributions (including related earnings) vest after one year of service.</w:t>
      </w:r>
    </w:p>
    <w:p>
      <w:pPr>
        <w:spacing w:after="0" w:line="51" w:lineRule="exact"/>
        <w:rPr>
          <w:sz w:val="20"/>
          <w:szCs w:val="20"/>
          <w:color w:val="auto"/>
        </w:rPr>
      </w:pPr>
    </w:p>
    <w:p>
      <w:pPr>
        <w:ind w:left="160" w:right="60"/>
        <w:spacing w:after="0" w:line="281" w:lineRule="auto"/>
        <w:rPr>
          <w:sz w:val="20"/>
          <w:szCs w:val="20"/>
          <w:color w:val="auto"/>
        </w:rPr>
      </w:pPr>
      <w:r>
        <w:rPr>
          <w:rFonts w:ascii="Arial" w:cs="Arial" w:eastAsia="Arial" w:hAnsi="Arial"/>
          <w:sz w:val="14"/>
          <w:szCs w:val="14"/>
          <w:color w:val="auto"/>
        </w:rPr>
        <w:t>We summarize below information regarding the participation by each of our executive officers named in the 2025 Summary Compensation Table in our nonqualified deferred compensation plans.</w:t>
      </w:r>
    </w:p>
    <w:p>
      <w:pPr>
        <w:spacing w:after="0" w:line="15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2025 NONQUALIFIED DEFERRED COMPENSATION</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5500" w:type="dxa"/>
            <w:vAlign w:val="bottom"/>
            <w:shd w:val="clear" w:color="auto" w:fill="005CB9"/>
          </w:tcPr>
          <w:p>
            <w:pPr>
              <w:spacing w:after="0"/>
              <w:rPr>
                <w:sz w:val="18"/>
                <w:szCs w:val="18"/>
                <w:color w:val="auto"/>
              </w:rPr>
            </w:pPr>
          </w:p>
        </w:tc>
        <w:tc>
          <w:tcPr>
            <w:tcW w:w="1500" w:type="dxa"/>
            <w:vAlign w:val="bottom"/>
            <w:gridSpan w:val="2"/>
            <w:shd w:val="clear" w:color="auto" w:fill="005CB9"/>
          </w:tcPr>
          <w:p>
            <w:pPr>
              <w:jc w:val="center"/>
              <w:spacing w:after="0"/>
              <w:rPr>
                <w:sz w:val="20"/>
                <w:szCs w:val="20"/>
                <w:color w:val="auto"/>
              </w:rPr>
            </w:pPr>
            <w:r>
              <w:rPr>
                <w:rFonts w:ascii="Arial" w:cs="Arial" w:eastAsia="Arial" w:hAnsi="Arial"/>
                <w:sz w:val="14"/>
                <w:szCs w:val="14"/>
                <w:b w:val="1"/>
                <w:bCs w:val="1"/>
                <w:color w:val="FFFFFF"/>
              </w:rPr>
              <w:t>Executive</w:t>
            </w:r>
          </w:p>
        </w:tc>
        <w:tc>
          <w:tcPr>
            <w:tcW w:w="1440" w:type="dxa"/>
            <w:vAlign w:val="bottom"/>
            <w:gridSpan w:val="2"/>
            <w:shd w:val="clear" w:color="auto" w:fill="005CB9"/>
          </w:tcPr>
          <w:p>
            <w:pPr>
              <w:jc w:val="center"/>
              <w:spacing w:after="0"/>
              <w:rPr>
                <w:sz w:val="20"/>
                <w:szCs w:val="20"/>
                <w:color w:val="auto"/>
              </w:rPr>
            </w:pPr>
            <w:r>
              <w:rPr>
                <w:rFonts w:ascii="Arial" w:cs="Arial" w:eastAsia="Arial" w:hAnsi="Arial"/>
                <w:sz w:val="14"/>
                <w:szCs w:val="14"/>
                <w:b w:val="1"/>
                <w:bCs w:val="1"/>
                <w:color w:val="FFFFFF"/>
              </w:rPr>
              <w:t>Company</w:t>
            </w:r>
          </w:p>
        </w:tc>
        <w:tc>
          <w:tcPr>
            <w:tcW w:w="1260" w:type="dxa"/>
            <w:vAlign w:val="bottom"/>
            <w:gridSpan w:val="2"/>
            <w:shd w:val="clear" w:color="auto" w:fill="005CB9"/>
          </w:tcPr>
          <w:p>
            <w:pPr>
              <w:ind w:left="260"/>
              <w:spacing w:after="0"/>
              <w:rPr>
                <w:sz w:val="20"/>
                <w:szCs w:val="20"/>
                <w:color w:val="auto"/>
              </w:rPr>
            </w:pPr>
            <w:r>
              <w:rPr>
                <w:rFonts w:ascii="Arial" w:cs="Arial" w:eastAsia="Arial" w:hAnsi="Arial"/>
                <w:sz w:val="14"/>
                <w:szCs w:val="14"/>
                <w:b w:val="1"/>
                <w:bCs w:val="1"/>
                <w:color w:val="FFFFFF"/>
              </w:rPr>
              <w:t>Aggregate</w:t>
            </w:r>
          </w:p>
        </w:tc>
        <w:tc>
          <w:tcPr>
            <w:tcW w:w="1220" w:type="dxa"/>
            <w:vAlign w:val="bottom"/>
            <w:gridSpan w:val="2"/>
            <w:shd w:val="clear" w:color="auto" w:fill="005CB9"/>
          </w:tcPr>
          <w:p>
            <w:pPr>
              <w:ind w:left="300"/>
              <w:spacing w:after="0"/>
              <w:rPr>
                <w:sz w:val="20"/>
                <w:szCs w:val="20"/>
                <w:color w:val="auto"/>
              </w:rPr>
            </w:pPr>
            <w:r>
              <w:rPr>
                <w:rFonts w:ascii="Arial" w:cs="Arial" w:eastAsia="Arial" w:hAnsi="Arial"/>
                <w:sz w:val="14"/>
                <w:szCs w:val="14"/>
                <w:b w:val="1"/>
                <w:bCs w:val="1"/>
                <w:color w:val="FFFFFF"/>
              </w:rPr>
              <w:t>Aggregate</w:t>
            </w:r>
          </w:p>
        </w:tc>
      </w:tr>
      <w:tr>
        <w:trPr>
          <w:trHeight w:val="157"/>
        </w:trPr>
        <w:tc>
          <w:tcPr>
            <w:tcW w:w="5500" w:type="dxa"/>
            <w:vAlign w:val="bottom"/>
            <w:shd w:val="clear" w:color="auto" w:fill="005CB9"/>
          </w:tcPr>
          <w:p>
            <w:pPr>
              <w:spacing w:after="0"/>
              <w:rPr>
                <w:sz w:val="13"/>
                <w:szCs w:val="13"/>
                <w:color w:val="auto"/>
              </w:rPr>
            </w:pPr>
          </w:p>
        </w:tc>
        <w:tc>
          <w:tcPr>
            <w:tcW w:w="1500" w:type="dxa"/>
            <w:vAlign w:val="bottom"/>
            <w:gridSpan w:val="2"/>
            <w:shd w:val="clear" w:color="auto" w:fill="005CB9"/>
          </w:tcPr>
          <w:p>
            <w:pPr>
              <w:jc w:val="center"/>
              <w:spacing w:after="0" w:line="157" w:lineRule="exact"/>
              <w:rPr>
                <w:sz w:val="20"/>
                <w:szCs w:val="20"/>
                <w:color w:val="auto"/>
              </w:rPr>
            </w:pPr>
            <w:r>
              <w:rPr>
                <w:rFonts w:ascii="Arial" w:cs="Arial" w:eastAsia="Arial" w:hAnsi="Arial"/>
                <w:sz w:val="14"/>
                <w:szCs w:val="14"/>
                <w:b w:val="1"/>
                <w:bCs w:val="1"/>
                <w:color w:val="FFFFFF"/>
              </w:rPr>
              <w:t>Contributions</w:t>
            </w:r>
          </w:p>
        </w:tc>
        <w:tc>
          <w:tcPr>
            <w:tcW w:w="1440" w:type="dxa"/>
            <w:vAlign w:val="bottom"/>
            <w:gridSpan w:val="2"/>
            <w:shd w:val="clear" w:color="auto" w:fill="005CB9"/>
          </w:tcPr>
          <w:p>
            <w:pPr>
              <w:jc w:val="center"/>
              <w:spacing w:after="0" w:line="157" w:lineRule="exact"/>
              <w:rPr>
                <w:sz w:val="20"/>
                <w:szCs w:val="20"/>
                <w:color w:val="auto"/>
              </w:rPr>
            </w:pPr>
            <w:r>
              <w:rPr>
                <w:rFonts w:ascii="Arial" w:cs="Arial" w:eastAsia="Arial" w:hAnsi="Arial"/>
                <w:sz w:val="14"/>
                <w:szCs w:val="14"/>
                <w:b w:val="1"/>
                <w:bCs w:val="1"/>
                <w:color w:val="FFFFFF"/>
              </w:rPr>
              <w:t>Contributions</w:t>
            </w:r>
          </w:p>
        </w:tc>
        <w:tc>
          <w:tcPr>
            <w:tcW w:w="1260" w:type="dxa"/>
            <w:vAlign w:val="bottom"/>
            <w:gridSpan w:val="2"/>
            <w:shd w:val="clear" w:color="auto" w:fill="005CB9"/>
          </w:tcPr>
          <w:p>
            <w:pPr>
              <w:ind w:left="320"/>
              <w:spacing w:after="0" w:line="157" w:lineRule="exact"/>
              <w:rPr>
                <w:sz w:val="20"/>
                <w:szCs w:val="20"/>
                <w:color w:val="auto"/>
              </w:rPr>
            </w:pPr>
            <w:r>
              <w:rPr>
                <w:rFonts w:ascii="Arial" w:cs="Arial" w:eastAsia="Arial" w:hAnsi="Arial"/>
                <w:sz w:val="14"/>
                <w:szCs w:val="14"/>
                <w:b w:val="1"/>
                <w:bCs w:val="1"/>
                <w:color w:val="FFFFFF"/>
              </w:rPr>
              <w:t>Earnings</w:t>
            </w:r>
          </w:p>
        </w:tc>
        <w:tc>
          <w:tcPr>
            <w:tcW w:w="1220" w:type="dxa"/>
            <w:vAlign w:val="bottom"/>
            <w:gridSpan w:val="2"/>
            <w:shd w:val="clear" w:color="auto" w:fill="005CB9"/>
          </w:tcPr>
          <w:p>
            <w:pPr>
              <w:ind w:left="300"/>
              <w:spacing w:after="0" w:line="157" w:lineRule="exact"/>
              <w:rPr>
                <w:sz w:val="20"/>
                <w:szCs w:val="20"/>
                <w:color w:val="auto"/>
              </w:rPr>
            </w:pPr>
            <w:r>
              <w:rPr>
                <w:rFonts w:ascii="Arial" w:cs="Arial" w:eastAsia="Arial" w:hAnsi="Arial"/>
                <w:sz w:val="14"/>
                <w:szCs w:val="14"/>
                <w:b w:val="1"/>
                <w:bCs w:val="1"/>
                <w:color w:val="FFFFFF"/>
              </w:rPr>
              <w:t>Balance at</w:t>
            </w:r>
          </w:p>
        </w:tc>
      </w:tr>
      <w:tr>
        <w:trPr>
          <w:trHeight w:val="241"/>
        </w:trPr>
        <w:tc>
          <w:tcPr>
            <w:tcW w:w="5500" w:type="dxa"/>
            <w:vAlign w:val="bottom"/>
            <w:shd w:val="clear" w:color="auto" w:fill="005CB9"/>
          </w:tcPr>
          <w:p>
            <w:pPr>
              <w:spacing w:after="0"/>
              <w:rPr>
                <w:sz w:val="20"/>
                <w:szCs w:val="20"/>
                <w:color w:val="auto"/>
              </w:rPr>
            </w:pPr>
          </w:p>
        </w:tc>
        <w:tc>
          <w:tcPr>
            <w:tcW w:w="1500" w:type="dxa"/>
            <w:vAlign w:val="bottom"/>
            <w:gridSpan w:val="2"/>
            <w:shd w:val="clear" w:color="auto" w:fill="005CB9"/>
          </w:tcPr>
          <w:p>
            <w:pPr>
              <w:jc w:val="center"/>
              <w:spacing w:after="0"/>
              <w:rPr>
                <w:sz w:val="20"/>
                <w:szCs w:val="20"/>
                <w:color w:val="auto"/>
              </w:rPr>
            </w:pPr>
            <w:r>
              <w:rPr>
                <w:rFonts w:ascii="Arial" w:cs="Arial" w:eastAsia="Arial" w:hAnsi="Arial"/>
                <w:sz w:val="14"/>
                <w:szCs w:val="14"/>
                <w:b w:val="1"/>
                <w:bCs w:val="1"/>
                <w:color w:val="FFFFFF"/>
                <w:w w:val="95"/>
              </w:rPr>
              <w:t>in 2025</w:t>
            </w:r>
            <w:r>
              <w:rPr>
                <w:rFonts w:ascii="Arial" w:cs="Arial" w:eastAsia="Arial" w:hAnsi="Arial"/>
                <w:sz w:val="21"/>
                <w:szCs w:val="21"/>
                <w:b w:val="1"/>
                <w:bCs w:val="1"/>
                <w:color w:val="FFFFFF"/>
                <w:w w:val="95"/>
                <w:vertAlign w:val="superscript"/>
              </w:rPr>
              <w:t>(A)</w:t>
            </w:r>
          </w:p>
        </w:tc>
        <w:tc>
          <w:tcPr>
            <w:tcW w:w="1440" w:type="dxa"/>
            <w:vAlign w:val="bottom"/>
            <w:gridSpan w:val="2"/>
            <w:shd w:val="clear" w:color="auto" w:fill="005CB9"/>
          </w:tcPr>
          <w:p>
            <w:pPr>
              <w:jc w:val="center"/>
              <w:spacing w:after="0"/>
              <w:rPr>
                <w:sz w:val="20"/>
                <w:szCs w:val="20"/>
                <w:color w:val="auto"/>
              </w:rPr>
            </w:pPr>
            <w:r>
              <w:rPr>
                <w:rFonts w:ascii="Arial" w:cs="Arial" w:eastAsia="Arial" w:hAnsi="Arial"/>
                <w:sz w:val="14"/>
                <w:szCs w:val="14"/>
                <w:b w:val="1"/>
                <w:bCs w:val="1"/>
                <w:color w:val="FFFFFF"/>
                <w:w w:val="92"/>
              </w:rPr>
              <w:t>in 2025</w:t>
            </w:r>
            <w:r>
              <w:rPr>
                <w:rFonts w:ascii="Arial" w:cs="Arial" w:eastAsia="Arial" w:hAnsi="Arial"/>
                <w:sz w:val="21"/>
                <w:szCs w:val="21"/>
                <w:b w:val="1"/>
                <w:bCs w:val="1"/>
                <w:color w:val="FFFFFF"/>
                <w:w w:val="92"/>
                <w:vertAlign w:val="superscript"/>
              </w:rPr>
              <w:t>(B)</w:t>
            </w:r>
          </w:p>
        </w:tc>
        <w:tc>
          <w:tcPr>
            <w:tcW w:w="1260" w:type="dxa"/>
            <w:vAlign w:val="bottom"/>
            <w:gridSpan w:val="2"/>
            <w:shd w:val="clear" w:color="auto" w:fill="005CB9"/>
          </w:tcPr>
          <w:p>
            <w:pPr>
              <w:ind w:left="300"/>
              <w:spacing w:after="0"/>
              <w:rPr>
                <w:sz w:val="20"/>
                <w:szCs w:val="20"/>
                <w:color w:val="auto"/>
              </w:rPr>
            </w:pPr>
            <w:r>
              <w:rPr>
                <w:rFonts w:ascii="Arial" w:cs="Arial" w:eastAsia="Arial" w:hAnsi="Arial"/>
                <w:sz w:val="14"/>
                <w:szCs w:val="14"/>
                <w:b w:val="1"/>
                <w:bCs w:val="1"/>
                <w:color w:val="FFFFFF"/>
              </w:rPr>
              <w:t>in 2025</w:t>
            </w:r>
            <w:r>
              <w:rPr>
                <w:rFonts w:ascii="Arial" w:cs="Arial" w:eastAsia="Arial" w:hAnsi="Arial"/>
                <w:sz w:val="21"/>
                <w:szCs w:val="21"/>
                <w:b w:val="1"/>
                <w:bCs w:val="1"/>
                <w:color w:val="FFFFFF"/>
                <w:vertAlign w:val="superscript"/>
              </w:rPr>
              <w:t>(C)</w:t>
            </w:r>
          </w:p>
        </w:tc>
        <w:tc>
          <w:tcPr>
            <w:tcW w:w="1220" w:type="dxa"/>
            <w:vAlign w:val="bottom"/>
            <w:gridSpan w:val="2"/>
            <w:shd w:val="clear" w:color="auto" w:fill="005CB9"/>
          </w:tcPr>
          <w:p>
            <w:pPr>
              <w:ind w:left="300"/>
              <w:spacing w:after="0"/>
              <w:rPr>
                <w:sz w:val="20"/>
                <w:szCs w:val="20"/>
                <w:color w:val="auto"/>
              </w:rPr>
            </w:pPr>
            <w:r>
              <w:rPr>
                <w:rFonts w:ascii="Arial" w:cs="Arial" w:eastAsia="Arial" w:hAnsi="Arial"/>
                <w:sz w:val="14"/>
                <w:szCs w:val="14"/>
                <w:b w:val="1"/>
                <w:bCs w:val="1"/>
                <w:color w:val="FFFFFF"/>
              </w:rPr>
              <w:t>12/31/25</w:t>
            </w:r>
            <w:r>
              <w:rPr>
                <w:rFonts w:ascii="Arial" w:cs="Arial" w:eastAsia="Arial" w:hAnsi="Arial"/>
                <w:sz w:val="21"/>
                <w:szCs w:val="21"/>
                <w:b w:val="1"/>
                <w:bCs w:val="1"/>
                <w:color w:val="FFFFFF"/>
                <w:vertAlign w:val="superscript"/>
              </w:rPr>
              <w:t>(D)</w:t>
            </w:r>
            <w:r>
              <w:rPr>
                <w:rFonts w:ascii="Arial" w:cs="Arial" w:eastAsia="Arial" w:hAnsi="Arial"/>
                <w:sz w:val="14"/>
                <w:szCs w:val="14"/>
                <w:b w:val="1"/>
                <w:bCs w:val="1"/>
                <w:color w:val="FFFFFF"/>
              </w:rPr>
              <w:t xml:space="preserve"> </w:t>
            </w:r>
          </w:p>
        </w:tc>
      </w:tr>
      <w:tr>
        <w:trPr>
          <w:trHeight w:val="247"/>
        </w:trPr>
        <w:tc>
          <w:tcPr>
            <w:tcW w:w="5500" w:type="dxa"/>
            <w:vAlign w:val="bottom"/>
          </w:tcPr>
          <w:p>
            <w:pPr>
              <w:ind w:left="80"/>
              <w:spacing w:after="0"/>
              <w:rPr>
                <w:sz w:val="20"/>
                <w:szCs w:val="20"/>
                <w:color w:val="auto"/>
              </w:rPr>
            </w:pPr>
            <w:r>
              <w:rPr>
                <w:rFonts w:ascii="Arial" w:cs="Arial" w:eastAsia="Arial" w:hAnsi="Arial"/>
                <w:sz w:val="14"/>
                <w:szCs w:val="14"/>
                <w:color w:val="auto"/>
              </w:rPr>
              <w:t>Jeffrey W. Martin</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w w:val="99"/>
              </w:rPr>
              <w:t>1,139,882</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9"/>
              <w:spacing w:after="0"/>
              <w:rPr>
                <w:sz w:val="20"/>
                <w:szCs w:val="20"/>
                <w:color w:val="auto"/>
              </w:rPr>
            </w:pPr>
            <w:r>
              <w:rPr>
                <w:rFonts w:ascii="Arial" w:cs="Arial" w:eastAsia="Arial" w:hAnsi="Arial"/>
                <w:sz w:val="14"/>
                <w:szCs w:val="14"/>
                <w:color w:val="auto"/>
                <w:w w:val="98"/>
              </w:rPr>
              <w:t>214,701</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w w:val="99"/>
              </w:rPr>
              <w:t>1,382,072</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9"/>
              <w:spacing w:after="0"/>
              <w:rPr>
                <w:sz w:val="20"/>
                <w:szCs w:val="20"/>
                <w:color w:val="auto"/>
              </w:rPr>
            </w:pPr>
            <w:r>
              <w:rPr>
                <w:rFonts w:ascii="Arial" w:cs="Arial" w:eastAsia="Arial" w:hAnsi="Arial"/>
                <w:sz w:val="14"/>
                <w:szCs w:val="14"/>
                <w:color w:val="auto"/>
                <w:w w:val="99"/>
              </w:rPr>
              <w:t>21,184,850</w:t>
            </w:r>
          </w:p>
        </w:tc>
      </w:tr>
      <w:tr>
        <w:trPr>
          <w:trHeight w:val="48"/>
        </w:trPr>
        <w:tc>
          <w:tcPr>
            <w:tcW w:w="550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r>
      <w:tr>
        <w:trPr>
          <w:trHeight w:val="279"/>
        </w:trPr>
        <w:tc>
          <w:tcPr>
            <w:tcW w:w="55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Karen L. Sedgwick</w:t>
            </w:r>
          </w:p>
        </w:tc>
        <w:tc>
          <w:tcPr>
            <w:tcW w:w="6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193,873</w:t>
            </w:r>
          </w:p>
        </w:tc>
        <w:tc>
          <w:tcPr>
            <w:tcW w:w="6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49,357</w:t>
            </w:r>
          </w:p>
        </w:tc>
        <w:tc>
          <w:tcPr>
            <w:tcW w:w="36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190,602</w:t>
            </w:r>
          </w:p>
        </w:tc>
        <w:tc>
          <w:tcPr>
            <w:tcW w:w="3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1,682,639</w:t>
            </w:r>
          </w:p>
        </w:tc>
      </w:tr>
      <w:tr>
        <w:trPr>
          <w:trHeight w:val="227"/>
        </w:trPr>
        <w:tc>
          <w:tcPr>
            <w:tcW w:w="550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Justin C. Bird</w:t>
            </w:r>
          </w:p>
        </w:tc>
        <w:tc>
          <w:tcPr>
            <w:tcW w:w="6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F7F7F"/>
            </w:tcBorders>
          </w:tcPr>
          <w:p>
            <w:pPr>
              <w:jc w:val="right"/>
              <w:ind w:right="189"/>
              <w:spacing w:after="0"/>
              <w:rPr>
                <w:sz w:val="20"/>
                <w:szCs w:val="20"/>
                <w:color w:val="auto"/>
              </w:rPr>
            </w:pPr>
            <w:r>
              <w:rPr>
                <w:rFonts w:ascii="Arial" w:cs="Arial" w:eastAsia="Arial" w:hAnsi="Arial"/>
                <w:sz w:val="14"/>
                <w:szCs w:val="14"/>
                <w:color w:val="auto"/>
              </w:rPr>
              <w:t>180,720</w:t>
            </w:r>
          </w:p>
        </w:tc>
        <w:tc>
          <w:tcPr>
            <w:tcW w:w="6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7F7F7F"/>
            </w:tcBorders>
          </w:tcPr>
          <w:p>
            <w:pPr>
              <w:jc w:val="right"/>
              <w:ind w:right="189"/>
              <w:spacing w:after="0"/>
              <w:rPr>
                <w:sz w:val="20"/>
                <w:szCs w:val="20"/>
                <w:color w:val="auto"/>
              </w:rPr>
            </w:pPr>
            <w:r>
              <w:rPr>
                <w:rFonts w:ascii="Arial" w:cs="Arial" w:eastAsia="Arial" w:hAnsi="Arial"/>
                <w:sz w:val="14"/>
                <w:szCs w:val="14"/>
                <w:color w:val="auto"/>
              </w:rPr>
              <w:t>57,564</w:t>
            </w:r>
          </w:p>
        </w:tc>
        <w:tc>
          <w:tcPr>
            <w:tcW w:w="360" w:type="dxa"/>
            <w:vAlign w:val="bottom"/>
            <w:tcBorders>
              <w:top w:val="single" w:sz="8" w:color="7F7F7F"/>
            </w:tcBorders>
          </w:tcPr>
          <w:p>
            <w:pPr>
              <w:ind w:left="28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7F7F7F"/>
            </w:tcBorders>
          </w:tcPr>
          <w:p>
            <w:pPr>
              <w:jc w:val="right"/>
              <w:ind w:right="189"/>
              <w:spacing w:after="0"/>
              <w:rPr>
                <w:sz w:val="20"/>
                <w:szCs w:val="20"/>
                <w:color w:val="auto"/>
              </w:rPr>
            </w:pPr>
            <w:r>
              <w:rPr>
                <w:rFonts w:ascii="Arial" w:cs="Arial" w:eastAsia="Arial" w:hAnsi="Arial"/>
                <w:sz w:val="14"/>
                <w:szCs w:val="14"/>
                <w:color w:val="auto"/>
              </w:rPr>
              <w:t>312,697</w:t>
            </w:r>
          </w:p>
        </w:tc>
        <w:tc>
          <w:tcPr>
            <w:tcW w:w="3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3,098,613</w:t>
            </w:r>
          </w:p>
        </w:tc>
      </w:tr>
      <w:tr>
        <w:trPr>
          <w:trHeight w:val="48"/>
        </w:trPr>
        <w:tc>
          <w:tcPr>
            <w:tcW w:w="5500" w:type="dxa"/>
            <w:vAlign w:val="bottom"/>
            <w:tcBorders>
              <w:bottom w:val="single" w:sz="8" w:color="7F7F7F"/>
            </w:tcBorders>
          </w:tcPr>
          <w:p>
            <w:pPr>
              <w:spacing w:after="0"/>
              <w:rPr>
                <w:sz w:val="4"/>
                <w:szCs w:val="4"/>
                <w:color w:val="auto"/>
              </w:rPr>
            </w:pPr>
          </w:p>
        </w:tc>
        <w:tc>
          <w:tcPr>
            <w:tcW w:w="60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66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90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r>
      <w:tr>
        <w:trPr>
          <w:trHeight w:val="279"/>
        </w:trPr>
        <w:tc>
          <w:tcPr>
            <w:tcW w:w="550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Caroline A. Winn</w:t>
            </w:r>
          </w:p>
        </w:tc>
        <w:tc>
          <w:tcPr>
            <w:tcW w:w="6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407,168</w:t>
            </w:r>
          </w:p>
        </w:tc>
        <w:tc>
          <w:tcPr>
            <w:tcW w:w="6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67,894</w:t>
            </w:r>
          </w:p>
        </w:tc>
        <w:tc>
          <w:tcPr>
            <w:tcW w:w="36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F2F2F2"/>
            </w:tcBorders>
            <w:shd w:val="clear" w:color="auto" w:fill="F2F2F2"/>
          </w:tcPr>
          <w:p>
            <w:pPr>
              <w:jc w:val="right"/>
              <w:ind w:right="189"/>
              <w:spacing w:after="0"/>
              <w:rPr>
                <w:sz w:val="20"/>
                <w:szCs w:val="20"/>
                <w:color w:val="auto"/>
              </w:rPr>
            </w:pPr>
            <w:r>
              <w:rPr>
                <w:rFonts w:ascii="Arial" w:cs="Arial" w:eastAsia="Arial" w:hAnsi="Arial"/>
                <w:sz w:val="14"/>
                <w:szCs w:val="14"/>
                <w:color w:val="auto"/>
              </w:rPr>
              <w:t>173,465</w:t>
            </w:r>
          </w:p>
        </w:tc>
        <w:tc>
          <w:tcPr>
            <w:tcW w:w="3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2,901,257</w:t>
            </w:r>
          </w:p>
        </w:tc>
      </w:tr>
      <w:tr>
        <w:trPr>
          <w:trHeight w:val="227"/>
        </w:trPr>
        <w:tc>
          <w:tcPr>
            <w:tcW w:w="550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Diana L. Day</w:t>
            </w:r>
          </w:p>
        </w:tc>
        <w:tc>
          <w:tcPr>
            <w:tcW w:w="6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7F7F7F"/>
            </w:tcBorders>
          </w:tcPr>
          <w:p>
            <w:pPr>
              <w:jc w:val="right"/>
              <w:ind w:right="189"/>
              <w:spacing w:after="0"/>
              <w:rPr>
                <w:sz w:val="20"/>
                <w:szCs w:val="20"/>
                <w:color w:val="auto"/>
              </w:rPr>
            </w:pPr>
            <w:r>
              <w:rPr>
                <w:rFonts w:ascii="Arial" w:cs="Arial" w:eastAsia="Arial" w:hAnsi="Arial"/>
                <w:sz w:val="14"/>
                <w:szCs w:val="14"/>
                <w:color w:val="auto"/>
              </w:rPr>
              <w:t>206,996</w:t>
            </w:r>
          </w:p>
        </w:tc>
        <w:tc>
          <w:tcPr>
            <w:tcW w:w="6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7F7F7F"/>
            </w:tcBorders>
          </w:tcPr>
          <w:p>
            <w:pPr>
              <w:jc w:val="right"/>
              <w:ind w:right="189"/>
              <w:spacing w:after="0"/>
              <w:rPr>
                <w:sz w:val="20"/>
                <w:szCs w:val="20"/>
                <w:color w:val="auto"/>
              </w:rPr>
            </w:pPr>
            <w:r>
              <w:rPr>
                <w:rFonts w:ascii="Arial" w:cs="Arial" w:eastAsia="Arial" w:hAnsi="Arial"/>
                <w:sz w:val="14"/>
                <w:szCs w:val="14"/>
                <w:color w:val="auto"/>
              </w:rPr>
              <w:t>28,957</w:t>
            </w:r>
          </w:p>
        </w:tc>
        <w:tc>
          <w:tcPr>
            <w:tcW w:w="360" w:type="dxa"/>
            <w:vAlign w:val="bottom"/>
            <w:tcBorders>
              <w:top w:val="single" w:sz="8" w:color="7F7F7F"/>
            </w:tcBorders>
          </w:tcPr>
          <w:p>
            <w:pPr>
              <w:ind w:left="28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7F7F7F"/>
            </w:tcBorders>
          </w:tcPr>
          <w:p>
            <w:pPr>
              <w:jc w:val="right"/>
              <w:ind w:right="189"/>
              <w:spacing w:after="0"/>
              <w:rPr>
                <w:sz w:val="20"/>
                <w:szCs w:val="20"/>
                <w:color w:val="auto"/>
              </w:rPr>
            </w:pPr>
            <w:r>
              <w:rPr>
                <w:rFonts w:ascii="Arial" w:cs="Arial" w:eastAsia="Arial" w:hAnsi="Arial"/>
                <w:sz w:val="14"/>
                <w:szCs w:val="14"/>
                <w:color w:val="auto"/>
              </w:rPr>
              <w:t>593,083</w:t>
            </w:r>
          </w:p>
        </w:tc>
        <w:tc>
          <w:tcPr>
            <w:tcW w:w="36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4,614,049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3" w:lineRule="exact"/>
        <w:rPr>
          <w:sz w:val="20"/>
          <w:szCs w:val="20"/>
          <w:color w:val="auto"/>
        </w:rPr>
      </w:pPr>
    </w:p>
    <w:p>
      <w:pPr>
        <w:ind w:left="480" w:right="20" w:hanging="313"/>
        <w:spacing w:after="0" w:line="241" w:lineRule="auto"/>
        <w:tabs>
          <w:tab w:leader="none" w:pos="4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Executive contributions consist of deferrals of salary and performance-based annual bonuses that are also reported as compensation in the 2025 Summary Compensation Table. Timing differences between reporting bonus compensation in the 2025 Summary Compensation Table (which reports bonus amounts in the year for which they were earned) and related deferral dates (the date on which the bonuses would have been paid to the executive) may in any year result in lesser or greater amounts reported as executive contributions in this table than the amounts that have been reported as compensation for the same year in the 2025 Summary Compensation Table. Executive contributions in 2025 that are also included as 2025 salary reported in the 2025 Summary Compensation Table total $339,462 for Mr. Martin; $104,718 for Ms. Sedgwick; $80,380 for Mr. Bird; $165,028 for Ms. Winn; and $119,516 for Ms. Day. Deferrals of the 2025 performance-based annual bonus that was paid in March 2026 are not included in this table.</w:t>
      </w:r>
    </w:p>
    <w:p>
      <w:pPr>
        <w:spacing w:after="0" w:line="11" w:lineRule="exact"/>
        <w:rPr>
          <w:rFonts w:ascii="Arial" w:cs="Arial" w:eastAsia="Arial" w:hAnsi="Arial"/>
          <w:sz w:val="12"/>
          <w:szCs w:val="12"/>
          <w:color w:val="auto"/>
        </w:rPr>
      </w:pPr>
    </w:p>
    <w:p>
      <w:pPr>
        <w:ind w:left="480" w:right="180" w:hanging="313"/>
        <w:spacing w:after="0" w:line="267" w:lineRule="auto"/>
        <w:tabs>
          <w:tab w:leader="none" w:pos="4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Company contributions are equal to one-half of the first 6% of the employee’s contributions plus one-fifth of the next 5% of the employee’s contributions less an offset for 401(k) savings plan matching contributions.</w:t>
      </w:r>
    </w:p>
    <w:p>
      <w:pPr>
        <w:ind w:left="480" w:right="20" w:hanging="313"/>
        <w:spacing w:after="0" w:line="248" w:lineRule="auto"/>
        <w:tabs>
          <w:tab w:leader="none" w:pos="4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Earnings are measured as the difference in deferred account balances between the beginning and the end of the year plus nonqualified deferred compensation distributions (if applicable) and minus executive and company contributions made during the year. Earnings consisting of above-market interest also are reported in the 2025 Summary Compensation Table. Excluding above-market interest, earnings for 2025 were $1,353,684 for Mr. Martin; $183,979 for Ms. Sedgwick; $307,842 for Mr. Bird; $151,970 for Ms. Winn; and $583,992 for Ms. Day. These earnings are not reported in the 2025 Summary Compensation Table.</w:t>
      </w:r>
    </w:p>
    <w:p>
      <w:pPr>
        <w:spacing w:after="0" w:line="4" w:lineRule="exact"/>
        <w:rPr>
          <w:rFonts w:ascii="Arial" w:cs="Arial" w:eastAsia="Arial" w:hAnsi="Arial"/>
          <w:sz w:val="12"/>
          <w:szCs w:val="12"/>
          <w:color w:val="auto"/>
        </w:rPr>
      </w:pPr>
    </w:p>
    <w:p>
      <w:pPr>
        <w:ind w:left="480" w:right="60" w:hanging="313"/>
        <w:spacing w:after="0" w:line="244" w:lineRule="auto"/>
        <w:tabs>
          <w:tab w:leader="none" w:pos="4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Year-end balances consist of executive and company contributions and earnings on contributed amounts, less any distributions. All contributions and all earnings that consist of above-market interest have been included in the 2025 Summary Compensation Table for 2025 or reportable prior years. Such aggregate amounts (other than the 2022 bonus paid in 2023) as reported in the 2025 Summary Compensation Table for fiscal years 2023, 2024 and 2025 are $6,084,148 for Mr. Martin; $532,933 for Ms. Sedgwick; $578,474 for Mr. Bird; $496,557 for Ms. Winn; and $460,458 for Ms. Day. These amounts do not include deferrals of the 2025 performance-based annual bonus paid in March 2026 but do include deferrals of the 2022 performance-based annual bonus paid in March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92710</wp:posOffset>
            </wp:positionV>
            <wp:extent cx="69297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219710</wp:posOffset>
            </wp:positionV>
            <wp:extent cx="739140" cy="144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81</w:t>
      </w:r>
    </w:p>
    <w:p>
      <w:pPr>
        <w:sectPr>
          <w:pgSz w:w="11900" w:h="16838" w:orient="portrait"/>
          <w:cols w:equalWidth="0" w:num="1">
            <w:col w:w="11080"/>
          </w:cols>
          <w:pgMar w:left="320" w:top="478"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Severance and Change in Control Benefits</w:t>
      </w:r>
    </w:p>
    <w:p>
      <w:pPr>
        <w:spacing w:after="0" w:line="129" w:lineRule="exact"/>
        <w:rPr>
          <w:sz w:val="20"/>
          <w:szCs w:val="20"/>
          <w:color w:val="auto"/>
        </w:rPr>
      </w:pPr>
    </w:p>
    <w:p>
      <w:pPr>
        <w:ind w:left="160" w:right="320"/>
        <w:spacing w:after="0" w:line="281" w:lineRule="auto"/>
        <w:rPr>
          <w:sz w:val="20"/>
          <w:szCs w:val="20"/>
          <w:color w:val="auto"/>
        </w:rPr>
      </w:pPr>
      <w:r>
        <w:rPr>
          <w:rFonts w:ascii="Arial" w:cs="Arial" w:eastAsia="Arial" w:hAnsi="Arial"/>
          <w:sz w:val="14"/>
          <w:szCs w:val="14"/>
          <w:color w:val="auto"/>
        </w:rPr>
        <w:t>We have a severance pay agreement with each of our named executive officers. Each agreement is for a three-year term and is automatically extended for an additional year upon each agreement’s anniversary unless we or the executive elect not to extend the term.</w:t>
      </w:r>
    </w:p>
    <w:p>
      <w:pPr>
        <w:spacing w:after="0" w:line="51" w:lineRule="exact"/>
        <w:rPr>
          <w:sz w:val="20"/>
          <w:szCs w:val="20"/>
          <w:color w:val="auto"/>
        </w:rPr>
      </w:pPr>
    </w:p>
    <w:p>
      <w:pPr>
        <w:ind w:left="160" w:right="40"/>
        <w:spacing w:after="0" w:line="247" w:lineRule="auto"/>
        <w:rPr>
          <w:sz w:val="20"/>
          <w:szCs w:val="20"/>
          <w:color w:val="auto"/>
        </w:rPr>
      </w:pPr>
      <w:r>
        <w:rPr>
          <w:rFonts w:ascii="Arial" w:cs="Arial" w:eastAsia="Arial" w:hAnsi="Arial"/>
          <w:sz w:val="14"/>
          <w:szCs w:val="14"/>
          <w:color w:val="auto"/>
        </w:rPr>
        <w:t>The severance pay agreements provide executives with severance benefits in the event we terminate the executive’s employment during the agreement’s term for reasons other than “cause” or as a result of death or disability, or the executive were to resign for “good reason.” The nature and amount of the severance benefits vary depending on the executive’s position, and additional benefits are provided if, upon termination, the executive enters into an agreement with the company to provide consulting services for two years following termination if requested, enters into a general release in favor of the company, and agrees to abide by certain covenants regarding non-solicitation of employees and information confidentiality. Additional benefits also are provided if the termination of employment were to occur within two years following a “change in control” of the company.</w:t>
      </w:r>
    </w:p>
    <w:p>
      <w:pPr>
        <w:spacing w:after="0" w:line="76" w:lineRule="exact"/>
        <w:rPr>
          <w:sz w:val="20"/>
          <w:szCs w:val="20"/>
          <w:color w:val="auto"/>
        </w:rPr>
      </w:pPr>
    </w:p>
    <w:p>
      <w:pPr>
        <w:ind w:left="160" w:right="120"/>
        <w:spacing w:after="0" w:line="249" w:lineRule="auto"/>
        <w:rPr>
          <w:sz w:val="20"/>
          <w:szCs w:val="20"/>
          <w:color w:val="auto"/>
        </w:rPr>
      </w:pPr>
      <w:r>
        <w:rPr>
          <w:rFonts w:ascii="Arial" w:cs="Arial" w:eastAsia="Arial" w:hAnsi="Arial"/>
          <w:sz w:val="14"/>
          <w:szCs w:val="14"/>
          <w:color w:val="auto"/>
        </w:rPr>
        <w:t>The definitions of “cause” and “good reason” vary depending on whether the termination of employment occurs following a change in control of the company. However, “cause” is generally defined to include a willful and continued failure by the executive to perform his or her duties for the company, and “good reason” is generally defined to include adverse changes in the executive’s responsibilities, compensation and benefit opportunities and, following a change in control, certain changes in employment location. A “change in control” is defined to generally include events resulting in a change in the effective control of the company or a change in the ownership of a substantial portion of the company’s assets.</w:t>
      </w:r>
    </w:p>
    <w:p>
      <w:pPr>
        <w:spacing w:after="0" w:line="74" w:lineRule="exact"/>
        <w:rPr>
          <w:sz w:val="20"/>
          <w:szCs w:val="20"/>
          <w:color w:val="auto"/>
        </w:rPr>
      </w:pPr>
    </w:p>
    <w:p>
      <w:pPr>
        <w:ind w:left="160" w:right="20"/>
        <w:spacing w:after="0" w:line="243" w:lineRule="auto"/>
        <w:rPr>
          <w:sz w:val="20"/>
          <w:szCs w:val="20"/>
          <w:color w:val="auto"/>
        </w:rPr>
      </w:pPr>
      <w:r>
        <w:rPr>
          <w:rFonts w:ascii="Arial" w:cs="Arial" w:eastAsia="Arial" w:hAnsi="Arial"/>
          <w:sz w:val="14"/>
          <w:szCs w:val="14"/>
          <w:color w:val="auto"/>
        </w:rPr>
        <w:t>Awards granted under our 2019 Long-Term Incentive Plan, which constitute all outstanding awards that have not fully vested, include a “double trigger” provision for vesting of equity in connection with a change in control. Restricted stock unit and stock option awards issued to date under the 2019 Long-Term Incentive Plan, as well as stock option awards issued under our 2013 Long-Term Incentive Plan, all of which are fully vested, provide for continuation following a change in control through the new company’s assumption of the awards or the issuance of replacement awards. Replacement awards must meet certain criteria, which are described in Article 16 of the 2013 Long-Term Incentive Plan and Article 14 of the 2019 Long-Term Incentive Plan. If awards are not assumed or replaced, or if an employee is eligible for retirement (age 55 or older with five or more years of service) as of the date of the change in control, awards would vest upon the change in control. If such awards are subject to performance-based vesting conditions, such awards would vest at the greater of the target performance level or the actual performance level had the performance period ended on the last day of the calendar year immediately preceding the date of the change in control (or, for awards based on total shareholder return, had the performance period ended on the date of the change in control). Mr. Martin and Mss. Sedgwick, Winn and Day have reached age 55 and completed at least five years of service and thus are eligible for retirement. In addition, any outstanding awards would immediately vest upon an executive’s involuntary termination for reasons other than cause, resignation for “good reason,” death, disability or retirement, in each case during the three-year period following a change in control. Service-based awards also vest upon an executive’s death.</w:t>
      </w:r>
    </w:p>
    <w:p>
      <w:pPr>
        <w:spacing w:after="0" w:line="79" w:lineRule="exact"/>
        <w:rPr>
          <w:sz w:val="20"/>
          <w:szCs w:val="20"/>
          <w:color w:val="auto"/>
        </w:rPr>
      </w:pPr>
    </w:p>
    <w:p>
      <w:pPr>
        <w:ind w:left="160" w:right="60"/>
        <w:spacing w:after="0" w:line="230" w:lineRule="auto"/>
        <w:rPr>
          <w:sz w:val="20"/>
          <w:szCs w:val="20"/>
          <w:color w:val="auto"/>
        </w:rPr>
      </w:pPr>
      <w:r>
        <w:rPr>
          <w:rFonts w:ascii="Arial" w:cs="Arial" w:eastAsia="Arial" w:hAnsi="Arial"/>
          <w:sz w:val="14"/>
          <w:szCs w:val="14"/>
          <w:color w:val="auto"/>
        </w:rPr>
        <w:t>With respect to performance-based awards and stock options, if an executive’s employment is terminated after the executive has reached age 55 and completed five years of service (and the termination is for reasons other than cause), and the termination occurs after completion of one year of the applicable performance or service period (or after November 30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of the year in which the grant was made if the executive has attained age 62), the executive’s award is not forfeited as a result of the termination of employment. Performance-based awards continue to be subject to forfeiture based on the extent to which the related performance goals have been satisfied at the end of the applicable performance period. Stock options remain exercisable (subject to the award’s vesting conditions) until the earlier of the third anniversary of the executive’s termination date or the end of their respective 10-year terms if the executive has not attained age 62. If the executive has attained age 62, stock options remain exercisable (subject to the award’s vesting conditions) until the end of their respective 10-year terms (for stock option awards granted in 2021 through 2025) or until the earlier of the fifth anniversary of the executive’s termination date or the end of their respective 10-year terms (for stock option awards granted in 2019 and 2020).</w:t>
      </w:r>
    </w:p>
    <w:p>
      <w:pPr>
        <w:spacing w:after="0" w:line="79" w:lineRule="exact"/>
        <w:rPr>
          <w:sz w:val="20"/>
          <w:szCs w:val="20"/>
          <w:color w:val="auto"/>
        </w:rPr>
      </w:pPr>
    </w:p>
    <w:p>
      <w:pPr>
        <w:ind w:left="160"/>
        <w:spacing w:after="0" w:line="227" w:lineRule="auto"/>
        <w:rPr>
          <w:sz w:val="20"/>
          <w:szCs w:val="20"/>
          <w:color w:val="auto"/>
        </w:rPr>
      </w:pPr>
      <w:r>
        <w:rPr>
          <w:rFonts w:ascii="Arial" w:cs="Arial" w:eastAsia="Arial" w:hAnsi="Arial"/>
          <w:sz w:val="14"/>
          <w:szCs w:val="14"/>
          <w:color w:val="auto"/>
        </w:rPr>
        <w:t>If an executive’s employment is terminated and the executive has not met the retirement eligibility criteria specified in the award agreement or the termination is for cause, performance-based awards and unvested stock options are forfeited and vested stock options expire on the 90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day following termination of employment (except if an executive’s employment is terminated by reason of death, in which case the option remains exercisable until the earlier of the third anniversary of the executive’s death or the end of its 10-year term). With respect to service-based awards, if an executive’s employment is terminated during the service period, the award is forfeited, subject to earlier vesting upon a change in control, the death of the executive, at the discretion of the Compensation and Talent Development Committee or as otherwise provided in connection with the grant of the award.</w:t>
      </w:r>
    </w:p>
    <w:p>
      <w:pPr>
        <w:spacing w:after="0" w:line="80" w:lineRule="exact"/>
        <w:rPr>
          <w:sz w:val="20"/>
          <w:szCs w:val="20"/>
          <w:color w:val="auto"/>
        </w:rPr>
      </w:pPr>
    </w:p>
    <w:p>
      <w:pPr>
        <w:ind w:left="160" w:right="40"/>
        <w:spacing w:after="0" w:line="249" w:lineRule="auto"/>
        <w:rPr>
          <w:sz w:val="20"/>
          <w:szCs w:val="20"/>
          <w:color w:val="auto"/>
        </w:rPr>
      </w:pPr>
      <w:r>
        <w:rPr>
          <w:rFonts w:ascii="Arial" w:cs="Arial" w:eastAsia="Arial" w:hAnsi="Arial"/>
          <w:sz w:val="14"/>
          <w:szCs w:val="14"/>
          <w:color w:val="auto"/>
        </w:rPr>
        <w:t>In February 2024, we adopted a cash severance payments policy that requires shareholder approval or ratification of any severance arrangement established after the adoption of the policy providing for severance benefits to any Sempra executive officer in excess of 2.99 times the sum of the executive officer’s annual base salary and target performance-based annual bonus, subject to exceptions for certain types of benefits such as, among others, acceleration of equity awards, retirement benefits, deferred compensation and post-termination consulting payments. The severance pay agreements for all the named executive officers except Ms. Winn were in place before the adoption of this policy; as a result, the terms of the policy do not apply to such agreements unless and until they are materially amended.</w:t>
      </w:r>
    </w:p>
    <w:p>
      <w:pPr>
        <w:spacing w:after="0" w:line="74" w:lineRule="exact"/>
        <w:rPr>
          <w:sz w:val="20"/>
          <w:szCs w:val="20"/>
          <w:color w:val="auto"/>
        </w:rPr>
      </w:pPr>
    </w:p>
    <w:p>
      <w:pPr>
        <w:ind w:left="160" w:right="40"/>
        <w:spacing w:after="0" w:line="244" w:lineRule="auto"/>
        <w:rPr>
          <w:sz w:val="20"/>
          <w:szCs w:val="20"/>
          <w:color w:val="auto"/>
        </w:rPr>
      </w:pPr>
      <w:r>
        <w:rPr>
          <w:rFonts w:ascii="Arial" w:cs="Arial" w:eastAsia="Arial" w:hAnsi="Arial"/>
          <w:sz w:val="14"/>
          <w:szCs w:val="14"/>
          <w:color w:val="auto"/>
        </w:rPr>
        <w:t>We summarize below the benefits each of our executive officers named in the 2025 Summary Compensation Table would have been entitled to receive had we terminated his or her employment (for reasons other than cause) at December 31, 2025, or had the executive resigned for “good reason” on that date, and the benefits each executive would have been entitled to receive had such termination occurred within two years following (or, in cases of certain involuntary terminations, such termination was deemed to have occurred in connection with or in anticipation of) a change in control of the company (or within three years for purposes of the acceleration of certain equity awards, and assuming such awards were assumed or replaced in such change in control). These amounts assume the executive had entered into a general release and two-year consulting, non-solicitation and confidentiality agreement providing for additional benefits. We also show the benefits that each executive would have been entitled to receive in the event of his or her death on December 31, 2025. In addition, we show the benefits that each named executive officer would have been entitled to receive (accelerated vesting of restricted stock units and stock options) had a change in control of the company occurred on December 31, 2025, whether or not accompanied or followed by a termination of the executive’s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89535</wp:posOffset>
            </wp:positionV>
            <wp:extent cx="69297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82               </w:t>
      </w:r>
      <w:r>
        <w:rPr>
          <w:sz w:val="1"/>
          <w:szCs w:val="1"/>
          <w:color w:val="auto"/>
        </w:rPr>
        <w:drawing>
          <wp:inline distT="0" distB="0" distL="0" distR="0">
            <wp:extent cx="739140" cy="144145"/>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tbl>
      <w:tblPr>
        <w:tblLayout w:type="fixed"/>
        <w:tblInd w:w="160" w:type="dxa"/>
        <w:tblCellMar>
          <w:top w:w="0" w:type="dxa"/>
          <w:left w:w="0" w:type="dxa"/>
          <w:bottom w:w="0" w:type="dxa"/>
          <w:right w:w="0" w:type="dxa"/>
        </w:tblCellMar>
      </w:tblPr>
      <w:tr>
        <w:trPr>
          <w:trHeight w:val="147"/>
        </w:trPr>
        <w:tc>
          <w:tcPr>
            <w:tcW w:w="4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gridSpan w:val="2"/>
          </w:tcPr>
          <w:p>
            <w:pPr>
              <w:jc w:val="center"/>
              <w:ind w:left="198"/>
              <w:spacing w:after="0"/>
              <w:rPr>
                <w:sz w:val="20"/>
                <w:szCs w:val="20"/>
                <w:color w:val="auto"/>
              </w:rPr>
            </w:pPr>
            <w:r>
              <w:rPr>
                <w:rFonts w:ascii="Arial" w:cs="Arial" w:eastAsia="Arial" w:hAnsi="Arial"/>
                <w:sz w:val="11"/>
                <w:szCs w:val="11"/>
                <w:b w:val="1"/>
                <w:bCs w:val="1"/>
                <w:color w:val="7F7F7F"/>
                <w:w w:val="97"/>
              </w:rPr>
              <w:t>Executive Compensation</w:t>
            </w:r>
          </w:p>
        </w:tc>
      </w:tr>
      <w:tr>
        <w:trPr>
          <w:trHeight w:val="341"/>
        </w:trPr>
        <w:tc>
          <w:tcPr>
            <w:tcW w:w="4640" w:type="dxa"/>
            <w:vAlign w:val="bottom"/>
          </w:tcPr>
          <w:p>
            <w:pPr>
              <w:spacing w:after="0"/>
              <w:rPr>
                <w:sz w:val="20"/>
                <w:szCs w:val="20"/>
                <w:color w:val="auto"/>
              </w:rPr>
            </w:pPr>
            <w:r>
              <w:rPr>
                <w:rFonts w:ascii="Arial" w:cs="Arial" w:eastAsia="Arial" w:hAnsi="Arial"/>
                <w:sz w:val="16"/>
                <w:szCs w:val="16"/>
                <w:b w:val="1"/>
                <w:bCs w:val="1"/>
                <w:color w:val="001689"/>
              </w:rPr>
              <w:t>2025 SEVERANCE AND CHANGE IN CONTROL BENEFITS</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1"/>
        </w:trPr>
        <w:tc>
          <w:tcPr>
            <w:tcW w:w="4640" w:type="dxa"/>
            <w:vAlign w:val="bottom"/>
          </w:tcPr>
          <w:p>
            <w:pPr>
              <w:spacing w:after="0"/>
              <w:rPr>
                <w:sz w:val="19"/>
                <w:szCs w:val="19"/>
                <w:color w:val="auto"/>
              </w:rPr>
            </w:pPr>
          </w:p>
        </w:tc>
        <w:tc>
          <w:tcPr>
            <w:tcW w:w="4740" w:type="dxa"/>
            <w:vAlign w:val="bottom"/>
            <w:gridSpan w:val="6"/>
          </w:tcPr>
          <w:p>
            <w:pPr>
              <w:spacing w:after="0"/>
              <w:rPr>
                <w:sz w:val="19"/>
                <w:szCs w:val="19"/>
                <w:color w:val="auto"/>
              </w:rPr>
            </w:pPr>
          </w:p>
        </w:tc>
        <w:tc>
          <w:tcPr>
            <w:tcW w:w="1540" w:type="dxa"/>
            <w:vAlign w:val="bottom"/>
            <w:gridSpan w:val="2"/>
          </w:tcPr>
          <w:p>
            <w:pPr>
              <w:spacing w:after="0"/>
              <w:rPr>
                <w:sz w:val="19"/>
                <w:szCs w:val="19"/>
                <w:color w:val="auto"/>
              </w:rPr>
            </w:pPr>
          </w:p>
        </w:tc>
      </w:tr>
      <w:tr>
        <w:trPr>
          <w:trHeight w:val="183"/>
        </w:trPr>
        <w:tc>
          <w:tcPr>
            <w:tcW w:w="4640" w:type="dxa"/>
            <w:vAlign w:val="bottom"/>
            <w:shd w:val="clear" w:color="auto" w:fill="005CB9"/>
          </w:tcPr>
          <w:p>
            <w:pPr>
              <w:spacing w:after="0"/>
              <w:rPr>
                <w:sz w:val="15"/>
                <w:szCs w:val="15"/>
                <w:color w:val="auto"/>
              </w:rPr>
            </w:pPr>
          </w:p>
        </w:tc>
        <w:tc>
          <w:tcPr>
            <w:tcW w:w="4740" w:type="dxa"/>
            <w:vAlign w:val="bottom"/>
            <w:gridSpan w:val="6"/>
            <w:shd w:val="clear" w:color="auto" w:fill="005CB9"/>
          </w:tcPr>
          <w:p>
            <w:pPr>
              <w:ind w:left="580"/>
              <w:spacing w:after="0"/>
              <w:rPr>
                <w:sz w:val="20"/>
                <w:szCs w:val="20"/>
                <w:color w:val="auto"/>
              </w:rPr>
            </w:pPr>
            <w:r>
              <w:rPr>
                <w:rFonts w:ascii="Arial" w:cs="Arial" w:eastAsia="Arial" w:hAnsi="Arial"/>
                <w:sz w:val="12"/>
                <w:szCs w:val="12"/>
                <w:b w:val="1"/>
                <w:bCs w:val="1"/>
                <w:color w:val="FFFFFF"/>
              </w:rPr>
              <w:t>Termination of Employment by the Company Without Cause</w:t>
            </w:r>
          </w:p>
        </w:tc>
        <w:tc>
          <w:tcPr>
            <w:tcW w:w="1540" w:type="dxa"/>
            <w:vAlign w:val="bottom"/>
            <w:gridSpan w:val="2"/>
            <w:shd w:val="clear" w:color="auto" w:fill="005CB9"/>
          </w:tcPr>
          <w:p>
            <w:pPr>
              <w:jc w:val="center"/>
              <w:ind w:left="198"/>
              <w:spacing w:after="0"/>
              <w:rPr>
                <w:sz w:val="20"/>
                <w:szCs w:val="20"/>
                <w:color w:val="auto"/>
              </w:rPr>
            </w:pPr>
            <w:r>
              <w:rPr>
                <w:rFonts w:ascii="Arial" w:cs="Arial" w:eastAsia="Arial" w:hAnsi="Arial"/>
                <w:sz w:val="12"/>
                <w:szCs w:val="12"/>
                <w:b w:val="1"/>
                <w:bCs w:val="1"/>
                <w:color w:val="FFFFFF"/>
              </w:rPr>
              <w:t>Change in</w:t>
            </w:r>
          </w:p>
        </w:tc>
      </w:tr>
      <w:tr>
        <w:trPr>
          <w:trHeight w:val="171"/>
        </w:trPr>
        <w:tc>
          <w:tcPr>
            <w:tcW w:w="4640" w:type="dxa"/>
            <w:vAlign w:val="bottom"/>
            <w:shd w:val="clear" w:color="auto" w:fill="005CB9"/>
          </w:tcPr>
          <w:p>
            <w:pPr>
              <w:spacing w:after="0"/>
              <w:rPr>
                <w:sz w:val="14"/>
                <w:szCs w:val="14"/>
                <w:color w:val="auto"/>
              </w:rPr>
            </w:pPr>
          </w:p>
        </w:tc>
        <w:tc>
          <w:tcPr>
            <w:tcW w:w="640" w:type="dxa"/>
            <w:vAlign w:val="bottom"/>
            <w:shd w:val="clear" w:color="auto" w:fill="005CB9"/>
          </w:tcPr>
          <w:p>
            <w:pPr>
              <w:spacing w:after="0"/>
              <w:rPr>
                <w:sz w:val="14"/>
                <w:szCs w:val="14"/>
                <w:color w:val="auto"/>
              </w:rPr>
            </w:pPr>
          </w:p>
        </w:tc>
        <w:tc>
          <w:tcPr>
            <w:tcW w:w="4100" w:type="dxa"/>
            <w:vAlign w:val="bottom"/>
            <w:gridSpan w:val="5"/>
            <w:shd w:val="clear" w:color="auto" w:fill="005CB9"/>
          </w:tcPr>
          <w:p>
            <w:pPr>
              <w:jc w:val="right"/>
              <w:ind w:right="738"/>
              <w:spacing w:after="0"/>
              <w:rPr>
                <w:sz w:val="20"/>
                <w:szCs w:val="20"/>
                <w:color w:val="auto"/>
              </w:rPr>
            </w:pPr>
            <w:r>
              <w:rPr>
                <w:rFonts w:ascii="Arial" w:cs="Arial" w:eastAsia="Arial" w:hAnsi="Arial"/>
                <w:sz w:val="12"/>
                <w:szCs w:val="12"/>
                <w:b w:val="1"/>
                <w:bCs w:val="1"/>
                <w:color w:val="FFFFFF"/>
              </w:rPr>
              <w:t>or by the Executive Officer for Good Reason or Death</w:t>
            </w:r>
          </w:p>
        </w:tc>
        <w:tc>
          <w:tcPr>
            <w:tcW w:w="1540" w:type="dxa"/>
            <w:vAlign w:val="bottom"/>
            <w:gridSpan w:val="2"/>
            <w:shd w:val="clear" w:color="auto" w:fill="005CB9"/>
          </w:tcPr>
          <w:p>
            <w:pPr>
              <w:jc w:val="center"/>
              <w:ind w:left="218"/>
              <w:spacing w:after="0"/>
              <w:rPr>
                <w:sz w:val="20"/>
                <w:szCs w:val="20"/>
                <w:color w:val="auto"/>
              </w:rPr>
            </w:pPr>
            <w:r>
              <w:rPr>
                <w:rFonts w:ascii="Arial" w:cs="Arial" w:eastAsia="Arial" w:hAnsi="Arial"/>
                <w:sz w:val="12"/>
                <w:szCs w:val="12"/>
                <w:b w:val="1"/>
                <w:bCs w:val="1"/>
                <w:color w:val="FFFFFF"/>
              </w:rPr>
              <w:t>Control Only</w:t>
            </w:r>
          </w:p>
        </w:tc>
      </w:tr>
      <w:tr>
        <w:trPr>
          <w:trHeight w:val="163"/>
        </w:trPr>
        <w:tc>
          <w:tcPr>
            <w:tcW w:w="4640" w:type="dxa"/>
            <w:vAlign w:val="bottom"/>
            <w:shd w:val="clear" w:color="auto" w:fill="005CB9"/>
          </w:tcPr>
          <w:p>
            <w:pPr>
              <w:spacing w:after="0"/>
              <w:rPr>
                <w:sz w:val="14"/>
                <w:szCs w:val="14"/>
                <w:color w:val="auto"/>
              </w:rPr>
            </w:pPr>
          </w:p>
        </w:tc>
        <w:tc>
          <w:tcPr>
            <w:tcW w:w="1620" w:type="dxa"/>
            <w:vAlign w:val="bottom"/>
            <w:gridSpan w:val="2"/>
            <w:shd w:val="clear" w:color="auto" w:fill="005CB9"/>
          </w:tcPr>
          <w:p>
            <w:pPr>
              <w:jc w:val="center"/>
              <w:ind w:right="38"/>
              <w:spacing w:after="0"/>
              <w:rPr>
                <w:sz w:val="20"/>
                <w:szCs w:val="20"/>
                <w:color w:val="auto"/>
              </w:rPr>
            </w:pPr>
            <w:r>
              <w:rPr>
                <w:rFonts w:ascii="Arial" w:cs="Arial" w:eastAsia="Arial" w:hAnsi="Arial"/>
                <w:sz w:val="12"/>
                <w:szCs w:val="12"/>
                <w:b w:val="1"/>
                <w:bCs w:val="1"/>
                <w:color w:val="FFFFFF"/>
              </w:rPr>
              <w:t>Unrelated to a</w:t>
            </w:r>
          </w:p>
        </w:tc>
        <w:tc>
          <w:tcPr>
            <w:tcW w:w="1760" w:type="dxa"/>
            <w:vAlign w:val="bottom"/>
            <w:gridSpan w:val="2"/>
            <w:shd w:val="clear" w:color="auto" w:fill="005CB9"/>
          </w:tcPr>
          <w:p>
            <w:pPr>
              <w:jc w:val="right"/>
              <w:ind w:right="478"/>
              <w:spacing w:after="0"/>
              <w:rPr>
                <w:sz w:val="20"/>
                <w:szCs w:val="20"/>
                <w:color w:val="auto"/>
              </w:rPr>
            </w:pPr>
            <w:r>
              <w:rPr>
                <w:rFonts w:ascii="Arial" w:cs="Arial" w:eastAsia="Arial" w:hAnsi="Arial"/>
                <w:sz w:val="12"/>
                <w:szCs w:val="12"/>
                <w:b w:val="1"/>
                <w:bCs w:val="1"/>
                <w:color w:val="FFFFFF"/>
              </w:rPr>
              <w:t>Related to a</w:t>
            </w:r>
          </w:p>
        </w:tc>
        <w:tc>
          <w:tcPr>
            <w:tcW w:w="400" w:type="dxa"/>
            <w:vAlign w:val="bottom"/>
            <w:shd w:val="clear" w:color="auto" w:fill="005CB9"/>
          </w:tcPr>
          <w:p>
            <w:pPr>
              <w:spacing w:after="0"/>
              <w:rPr>
                <w:sz w:val="14"/>
                <w:szCs w:val="14"/>
                <w:color w:val="auto"/>
              </w:rPr>
            </w:pPr>
          </w:p>
        </w:tc>
        <w:tc>
          <w:tcPr>
            <w:tcW w:w="960" w:type="dxa"/>
            <w:vAlign w:val="bottom"/>
            <w:shd w:val="clear" w:color="auto" w:fill="005CB9"/>
          </w:tcPr>
          <w:p>
            <w:pPr>
              <w:jc w:val="right"/>
              <w:ind w:right="318"/>
              <w:spacing w:after="0"/>
              <w:rPr>
                <w:sz w:val="20"/>
                <w:szCs w:val="20"/>
                <w:color w:val="auto"/>
              </w:rPr>
            </w:pPr>
            <w:r>
              <w:rPr>
                <w:rFonts w:ascii="Arial" w:cs="Arial" w:eastAsia="Arial" w:hAnsi="Arial"/>
                <w:sz w:val="12"/>
                <w:szCs w:val="12"/>
                <w:b w:val="1"/>
                <w:bCs w:val="1"/>
                <w:color w:val="FFFFFF"/>
              </w:rPr>
              <w:t>Resulting</w:t>
            </w:r>
          </w:p>
        </w:tc>
        <w:tc>
          <w:tcPr>
            <w:tcW w:w="1540" w:type="dxa"/>
            <w:vAlign w:val="bottom"/>
            <w:gridSpan w:val="2"/>
            <w:shd w:val="clear" w:color="auto" w:fill="005CB9"/>
          </w:tcPr>
          <w:p>
            <w:pPr>
              <w:jc w:val="center"/>
              <w:ind w:left="238"/>
              <w:spacing w:after="0"/>
              <w:rPr>
                <w:sz w:val="20"/>
                <w:szCs w:val="20"/>
                <w:color w:val="auto"/>
              </w:rPr>
            </w:pPr>
            <w:r>
              <w:rPr>
                <w:rFonts w:ascii="Arial" w:cs="Arial" w:eastAsia="Arial" w:hAnsi="Arial"/>
                <w:sz w:val="12"/>
                <w:szCs w:val="12"/>
                <w:b w:val="1"/>
                <w:bCs w:val="1"/>
                <w:color w:val="FFFFFF"/>
              </w:rPr>
              <w:t>(Without Termination</w:t>
            </w:r>
          </w:p>
        </w:tc>
      </w:tr>
      <w:tr>
        <w:trPr>
          <w:trHeight w:val="199"/>
        </w:trPr>
        <w:tc>
          <w:tcPr>
            <w:tcW w:w="4640" w:type="dxa"/>
            <w:vAlign w:val="bottom"/>
            <w:tcBorders>
              <w:bottom w:val="single" w:sz="8" w:color="005CB9"/>
            </w:tcBorders>
            <w:shd w:val="clear" w:color="auto" w:fill="005CB9"/>
          </w:tcPr>
          <w:p>
            <w:pPr>
              <w:spacing w:after="0"/>
              <w:rPr>
                <w:sz w:val="17"/>
                <w:szCs w:val="17"/>
                <w:color w:val="auto"/>
              </w:rPr>
            </w:pPr>
          </w:p>
        </w:tc>
        <w:tc>
          <w:tcPr>
            <w:tcW w:w="1620" w:type="dxa"/>
            <w:vAlign w:val="bottom"/>
            <w:tcBorders>
              <w:bottom w:val="single" w:sz="8" w:color="005CB9"/>
            </w:tcBorders>
            <w:gridSpan w:val="2"/>
            <w:shd w:val="clear" w:color="auto" w:fill="005CB9"/>
          </w:tcPr>
          <w:p>
            <w:pPr>
              <w:jc w:val="center"/>
              <w:ind w:right="38"/>
              <w:spacing w:after="0"/>
              <w:rPr>
                <w:sz w:val="20"/>
                <w:szCs w:val="20"/>
                <w:color w:val="auto"/>
              </w:rPr>
            </w:pPr>
            <w:r>
              <w:rPr>
                <w:rFonts w:ascii="Arial" w:cs="Arial" w:eastAsia="Arial" w:hAnsi="Arial"/>
                <w:sz w:val="12"/>
                <w:szCs w:val="12"/>
                <w:b w:val="1"/>
                <w:bCs w:val="1"/>
                <w:color w:val="FFFFFF"/>
              </w:rPr>
              <w:t>Change in Control</w:t>
            </w:r>
          </w:p>
        </w:tc>
        <w:tc>
          <w:tcPr>
            <w:tcW w:w="1760" w:type="dxa"/>
            <w:vAlign w:val="bottom"/>
            <w:tcBorders>
              <w:bottom w:val="single" w:sz="8" w:color="005CB9"/>
            </w:tcBorders>
            <w:gridSpan w:val="2"/>
            <w:shd w:val="clear" w:color="auto" w:fill="005CB9"/>
          </w:tcPr>
          <w:p>
            <w:pPr>
              <w:jc w:val="right"/>
              <w:ind w:right="298"/>
              <w:spacing w:after="0"/>
              <w:rPr>
                <w:sz w:val="20"/>
                <w:szCs w:val="20"/>
                <w:color w:val="auto"/>
              </w:rPr>
            </w:pPr>
            <w:r>
              <w:rPr>
                <w:rFonts w:ascii="Arial" w:cs="Arial" w:eastAsia="Arial" w:hAnsi="Arial"/>
                <w:sz w:val="12"/>
                <w:szCs w:val="12"/>
                <w:b w:val="1"/>
                <w:bCs w:val="1"/>
                <w:color w:val="FFFFFF"/>
              </w:rPr>
              <w:t>Change in Control</w:t>
            </w:r>
          </w:p>
        </w:tc>
        <w:tc>
          <w:tcPr>
            <w:tcW w:w="1360" w:type="dxa"/>
            <w:vAlign w:val="bottom"/>
            <w:tcBorders>
              <w:bottom w:val="single" w:sz="8" w:color="005CB9"/>
            </w:tcBorders>
            <w:gridSpan w:val="2"/>
            <w:shd w:val="clear" w:color="auto" w:fill="005CB9"/>
          </w:tcPr>
          <w:p>
            <w:pPr>
              <w:jc w:val="right"/>
              <w:ind w:right="278"/>
              <w:spacing w:after="0"/>
              <w:rPr>
                <w:sz w:val="20"/>
                <w:szCs w:val="20"/>
                <w:color w:val="auto"/>
              </w:rPr>
            </w:pPr>
            <w:r>
              <w:rPr>
                <w:rFonts w:ascii="Arial" w:cs="Arial" w:eastAsia="Arial" w:hAnsi="Arial"/>
                <w:sz w:val="12"/>
                <w:szCs w:val="12"/>
                <w:b w:val="1"/>
                <w:bCs w:val="1"/>
                <w:color w:val="FFFFFF"/>
              </w:rPr>
              <w:t>from Death</w:t>
            </w:r>
          </w:p>
        </w:tc>
        <w:tc>
          <w:tcPr>
            <w:tcW w:w="1540" w:type="dxa"/>
            <w:vAlign w:val="bottom"/>
            <w:tcBorders>
              <w:bottom w:val="single" w:sz="8" w:color="005CB9"/>
            </w:tcBorders>
            <w:gridSpan w:val="2"/>
            <w:shd w:val="clear" w:color="auto" w:fill="005CB9"/>
          </w:tcPr>
          <w:p>
            <w:pPr>
              <w:jc w:val="center"/>
              <w:ind w:left="218"/>
              <w:spacing w:after="0"/>
              <w:rPr>
                <w:sz w:val="20"/>
                <w:szCs w:val="20"/>
                <w:color w:val="auto"/>
              </w:rPr>
            </w:pPr>
            <w:r>
              <w:rPr>
                <w:rFonts w:ascii="Arial" w:cs="Arial" w:eastAsia="Arial" w:hAnsi="Arial"/>
                <w:sz w:val="12"/>
                <w:szCs w:val="12"/>
                <w:b w:val="1"/>
                <w:bCs w:val="1"/>
                <w:color w:val="FFFFFF"/>
              </w:rPr>
              <w:t>of Employment)</w:t>
            </w:r>
          </w:p>
        </w:tc>
      </w:tr>
      <w:tr>
        <w:trPr>
          <w:trHeight w:val="233"/>
        </w:trPr>
        <w:tc>
          <w:tcPr>
            <w:tcW w:w="4640" w:type="dxa"/>
            <w:vAlign w:val="bottom"/>
          </w:tcPr>
          <w:p>
            <w:pPr>
              <w:ind w:left="80"/>
              <w:spacing w:after="0"/>
              <w:rPr>
                <w:sz w:val="20"/>
                <w:szCs w:val="20"/>
                <w:color w:val="auto"/>
              </w:rPr>
            </w:pPr>
            <w:r>
              <w:rPr>
                <w:rFonts w:ascii="Arial" w:cs="Arial" w:eastAsia="Arial" w:hAnsi="Arial"/>
                <w:sz w:val="12"/>
                <w:szCs w:val="12"/>
                <w:b w:val="1"/>
                <w:bCs w:val="1"/>
                <w:color w:val="auto"/>
              </w:rPr>
              <w:t>Jeffrey W. Martin</w:t>
            </w: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8"/>
        </w:trPr>
        <w:tc>
          <w:tcPr>
            <w:tcW w:w="464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10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Lump Sum Cash Payment</w:t>
            </w:r>
            <w:r>
              <w:rPr>
                <w:rFonts w:ascii="Arial" w:cs="Arial" w:eastAsia="Arial" w:hAnsi="Arial"/>
                <w:sz w:val="18"/>
                <w:szCs w:val="18"/>
                <w:color w:val="auto"/>
                <w:vertAlign w:val="superscript"/>
              </w:rPr>
              <w:t>(A)</w:t>
            </w:r>
          </w:p>
        </w:tc>
        <w:tc>
          <w:tcPr>
            <w:tcW w:w="640" w:type="dxa"/>
            <w:vAlign w:val="bottom"/>
            <w:tcBorders>
              <w:bottom w:val="single" w:sz="8" w:color="7F7F7F"/>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shd w:val="clear" w:color="auto" w:fill="F2F2F2"/>
          </w:tcPr>
          <w:p>
            <w:pPr>
              <w:jc w:val="right"/>
              <w:ind w:right="298"/>
              <w:spacing w:after="0"/>
              <w:rPr>
                <w:sz w:val="20"/>
                <w:szCs w:val="20"/>
                <w:color w:val="auto"/>
              </w:rPr>
            </w:pPr>
            <w:r>
              <w:rPr>
                <w:rFonts w:ascii="Arial" w:cs="Arial" w:eastAsia="Arial" w:hAnsi="Arial"/>
                <w:sz w:val="12"/>
                <w:szCs w:val="12"/>
                <w:color w:val="auto"/>
                <w:w w:val="99"/>
              </w:rPr>
              <w:t>12,019,667</w:t>
            </w: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18,029,500</w:t>
            </w:r>
          </w:p>
        </w:tc>
        <w:tc>
          <w:tcPr>
            <w:tcW w:w="400" w:type="dxa"/>
            <w:vAlign w:val="bottom"/>
            <w:tcBorders>
              <w:bottom w:val="single" w:sz="8" w:color="7F7F7F"/>
            </w:tcBorders>
            <w:shd w:val="clear" w:color="auto" w:fill="F2F2F2"/>
          </w:tcPr>
          <w:p>
            <w:pPr>
              <w:spacing w:after="0"/>
              <w:rPr>
                <w:sz w:val="21"/>
                <w:szCs w:val="21"/>
                <w:color w:val="auto"/>
              </w:rPr>
            </w:pPr>
          </w:p>
        </w:tc>
        <w:tc>
          <w:tcPr>
            <w:tcW w:w="960" w:type="dxa"/>
            <w:vAlign w:val="bottom"/>
            <w:tcBorders>
              <w:bottom w:val="single" w:sz="8" w:color="7F7F7F"/>
            </w:tcBorders>
            <w:shd w:val="clear" w:color="auto" w:fill="F2F2F2"/>
          </w:tcPr>
          <w:p>
            <w:pPr>
              <w:spacing w:after="0"/>
              <w:rPr>
                <w:sz w:val="21"/>
                <w:szCs w:val="21"/>
                <w:color w:val="auto"/>
              </w:rPr>
            </w:pPr>
          </w:p>
        </w:tc>
        <w:tc>
          <w:tcPr>
            <w:tcW w:w="820" w:type="dxa"/>
            <w:vAlign w:val="bottom"/>
            <w:tcBorders>
              <w:bottom w:val="single" w:sz="8" w:color="7F7F7F"/>
            </w:tcBorders>
            <w:shd w:val="clear" w:color="auto" w:fill="F2F2F2"/>
          </w:tcPr>
          <w:p>
            <w:pPr>
              <w:spacing w:after="0"/>
              <w:rPr>
                <w:sz w:val="21"/>
                <w:szCs w:val="21"/>
                <w:color w:val="auto"/>
              </w:rPr>
            </w:pPr>
          </w:p>
        </w:tc>
        <w:tc>
          <w:tcPr>
            <w:tcW w:w="720" w:type="dxa"/>
            <w:vAlign w:val="bottom"/>
            <w:tcBorders>
              <w:bottom w:val="single" w:sz="8" w:color="7F7F7F"/>
            </w:tcBorders>
            <w:shd w:val="clear" w:color="auto" w:fill="F2F2F2"/>
          </w:tcPr>
          <w:p>
            <w:pPr>
              <w:spacing w:after="0"/>
              <w:rPr>
                <w:sz w:val="21"/>
                <w:szCs w:val="21"/>
                <w:color w:val="auto"/>
              </w:rPr>
            </w:pP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Acceleration of Existing Equity Awards</w:t>
            </w:r>
            <w:r>
              <w:rPr>
                <w:rFonts w:ascii="Arial" w:cs="Arial" w:eastAsia="Arial" w:hAnsi="Arial"/>
                <w:sz w:val="18"/>
                <w:szCs w:val="18"/>
                <w:color w:val="auto"/>
                <w:vertAlign w:val="superscript"/>
              </w:rPr>
              <w:t>(B)</w:t>
            </w:r>
          </w:p>
        </w:tc>
        <w:tc>
          <w:tcPr>
            <w:tcW w:w="640" w:type="dxa"/>
            <w:vAlign w:val="bottom"/>
            <w:tcBorders>
              <w:bottom w:val="single" w:sz="8" w:color="7F7F7F"/>
            </w:tcBorders>
          </w:tcPr>
          <w:p>
            <w:pPr>
              <w:spacing w:after="0"/>
              <w:rPr>
                <w:sz w:val="21"/>
                <w:szCs w:val="21"/>
                <w:color w:val="auto"/>
              </w:rPr>
            </w:pPr>
          </w:p>
        </w:tc>
        <w:tc>
          <w:tcPr>
            <w:tcW w:w="980" w:type="dxa"/>
            <w:vAlign w:val="bottom"/>
            <w:tcBorders>
              <w:bottom w:val="single" w:sz="8" w:color="7F7F7F"/>
            </w:tcBorders>
          </w:tcPr>
          <w:p>
            <w:pPr>
              <w:spacing w:after="0"/>
              <w:rPr>
                <w:sz w:val="21"/>
                <w:szCs w:val="21"/>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tcPr>
          <w:p>
            <w:pPr>
              <w:jc w:val="right"/>
              <w:ind w:right="318"/>
              <w:spacing w:after="0"/>
              <w:rPr>
                <w:sz w:val="20"/>
                <w:szCs w:val="20"/>
                <w:color w:val="auto"/>
              </w:rPr>
            </w:pPr>
            <w:r>
              <w:rPr>
                <w:rFonts w:ascii="Arial" w:cs="Arial" w:eastAsia="Arial" w:hAnsi="Arial"/>
                <w:sz w:val="12"/>
                <w:szCs w:val="12"/>
                <w:color w:val="auto"/>
              </w:rPr>
              <w:t>33,052,911</w:t>
            </w:r>
          </w:p>
        </w:tc>
        <w:tc>
          <w:tcPr>
            <w:tcW w:w="400" w:type="dxa"/>
            <w:vAlign w:val="bottom"/>
            <w:tcBorders>
              <w:bottom w:val="single" w:sz="8" w:color="7F7F7F"/>
            </w:tcBorders>
          </w:tcPr>
          <w:p>
            <w:pPr>
              <w:spacing w:after="0"/>
              <w:rPr>
                <w:sz w:val="21"/>
                <w:szCs w:val="21"/>
                <w:color w:val="auto"/>
              </w:rPr>
            </w:pPr>
          </w:p>
        </w:tc>
        <w:tc>
          <w:tcPr>
            <w:tcW w:w="960" w:type="dxa"/>
            <w:vAlign w:val="bottom"/>
            <w:tcBorders>
              <w:bottom w:val="single" w:sz="8" w:color="7F7F7F"/>
            </w:tcBorders>
          </w:tcPr>
          <w:p>
            <w:pPr>
              <w:spacing w:after="0"/>
              <w:rPr>
                <w:sz w:val="21"/>
                <w:szCs w:val="21"/>
                <w:color w:val="auto"/>
              </w:rPr>
            </w:pP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7F7F7F"/>
            </w:tcBorders>
          </w:tcPr>
          <w:p>
            <w:pPr>
              <w:jc w:val="right"/>
              <w:ind w:right="38"/>
              <w:spacing w:after="0"/>
              <w:rPr>
                <w:sz w:val="20"/>
                <w:szCs w:val="20"/>
                <w:color w:val="auto"/>
              </w:rPr>
            </w:pPr>
            <w:r>
              <w:rPr>
                <w:rFonts w:ascii="Arial" w:cs="Arial" w:eastAsia="Arial" w:hAnsi="Arial"/>
                <w:sz w:val="12"/>
                <w:szCs w:val="12"/>
                <w:color w:val="auto"/>
                <w:w w:val="99"/>
              </w:rPr>
              <w:t>33,052,911</w:t>
            </w: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Enhanced Retirement Benefits</w:t>
            </w:r>
            <w:r>
              <w:rPr>
                <w:rFonts w:ascii="Arial" w:cs="Arial" w:eastAsia="Arial" w:hAnsi="Arial"/>
                <w:sz w:val="18"/>
                <w:szCs w:val="18"/>
                <w:color w:val="auto"/>
                <w:vertAlign w:val="superscript"/>
              </w:rPr>
              <w:t>(C)</w:t>
            </w:r>
          </w:p>
        </w:tc>
        <w:tc>
          <w:tcPr>
            <w:tcW w:w="640" w:type="dxa"/>
            <w:vAlign w:val="bottom"/>
            <w:tcBorders>
              <w:bottom w:val="single" w:sz="8" w:color="7F7F7F"/>
            </w:tcBorders>
            <w:shd w:val="clear" w:color="auto" w:fill="F2F2F2"/>
          </w:tcPr>
          <w:p>
            <w:pPr>
              <w:spacing w:after="0"/>
              <w:rPr>
                <w:sz w:val="21"/>
                <w:szCs w:val="21"/>
                <w:color w:val="auto"/>
              </w:rPr>
            </w:pPr>
          </w:p>
        </w:tc>
        <w:tc>
          <w:tcPr>
            <w:tcW w:w="980" w:type="dxa"/>
            <w:vAlign w:val="bottom"/>
            <w:tcBorders>
              <w:bottom w:val="single" w:sz="8" w:color="7F7F7F"/>
            </w:tcBorders>
            <w:shd w:val="clear" w:color="auto" w:fill="F2F2F2"/>
          </w:tcPr>
          <w:p>
            <w:pPr>
              <w:spacing w:after="0"/>
              <w:rPr>
                <w:sz w:val="21"/>
                <w:szCs w:val="21"/>
                <w:color w:val="auto"/>
              </w:rPr>
            </w:pPr>
          </w:p>
        </w:tc>
        <w:tc>
          <w:tcPr>
            <w:tcW w:w="740" w:type="dxa"/>
            <w:vAlign w:val="bottom"/>
            <w:tcBorders>
              <w:bottom w:val="single" w:sz="8" w:color="7F7F7F"/>
            </w:tcBorders>
            <w:shd w:val="clear" w:color="auto" w:fill="F2F2F2"/>
          </w:tcPr>
          <w:p>
            <w:pPr>
              <w:spacing w:after="0"/>
              <w:rPr>
                <w:sz w:val="21"/>
                <w:szCs w:val="21"/>
                <w:color w:val="auto"/>
              </w:rPr>
            </w:pPr>
          </w:p>
        </w:tc>
        <w:tc>
          <w:tcPr>
            <w:tcW w:w="1020" w:type="dxa"/>
            <w:vAlign w:val="bottom"/>
            <w:tcBorders>
              <w:bottom w:val="single" w:sz="8" w:color="7F7F7F"/>
            </w:tcBorders>
            <w:shd w:val="clear" w:color="auto" w:fill="F2F2F2"/>
          </w:tcPr>
          <w:p>
            <w:pPr>
              <w:spacing w:after="0"/>
              <w:rPr>
                <w:sz w:val="21"/>
                <w:szCs w:val="21"/>
                <w:color w:val="auto"/>
              </w:rPr>
            </w:pPr>
          </w:p>
        </w:tc>
        <w:tc>
          <w:tcPr>
            <w:tcW w:w="400" w:type="dxa"/>
            <w:vAlign w:val="bottom"/>
            <w:tcBorders>
              <w:bottom w:val="single" w:sz="8" w:color="7F7F7F"/>
            </w:tcBorders>
            <w:shd w:val="clear" w:color="auto" w:fill="F2F2F2"/>
          </w:tcPr>
          <w:p>
            <w:pPr>
              <w:spacing w:after="0"/>
              <w:rPr>
                <w:sz w:val="21"/>
                <w:szCs w:val="21"/>
                <w:color w:val="auto"/>
              </w:rPr>
            </w:pPr>
          </w:p>
        </w:tc>
        <w:tc>
          <w:tcPr>
            <w:tcW w:w="960" w:type="dxa"/>
            <w:vAlign w:val="bottom"/>
            <w:tcBorders>
              <w:bottom w:val="single" w:sz="8" w:color="7F7F7F"/>
            </w:tcBorders>
            <w:shd w:val="clear" w:color="auto" w:fill="F2F2F2"/>
          </w:tcPr>
          <w:p>
            <w:pPr>
              <w:spacing w:after="0"/>
              <w:rPr>
                <w:sz w:val="21"/>
                <w:szCs w:val="21"/>
                <w:color w:val="auto"/>
              </w:rPr>
            </w:pPr>
          </w:p>
        </w:tc>
        <w:tc>
          <w:tcPr>
            <w:tcW w:w="820" w:type="dxa"/>
            <w:vAlign w:val="bottom"/>
            <w:tcBorders>
              <w:bottom w:val="single" w:sz="8" w:color="7F7F7F"/>
            </w:tcBorders>
            <w:shd w:val="clear" w:color="auto" w:fill="F2F2F2"/>
          </w:tcPr>
          <w:p>
            <w:pPr>
              <w:spacing w:after="0"/>
              <w:rPr>
                <w:sz w:val="21"/>
                <w:szCs w:val="21"/>
                <w:color w:val="auto"/>
              </w:rPr>
            </w:pPr>
          </w:p>
        </w:tc>
        <w:tc>
          <w:tcPr>
            <w:tcW w:w="720" w:type="dxa"/>
            <w:vAlign w:val="bottom"/>
            <w:tcBorders>
              <w:bottom w:val="single" w:sz="8" w:color="7F7F7F"/>
            </w:tcBorders>
            <w:shd w:val="clear" w:color="auto" w:fill="F2F2F2"/>
          </w:tcPr>
          <w:p>
            <w:pPr>
              <w:spacing w:after="0"/>
              <w:rPr>
                <w:sz w:val="21"/>
                <w:szCs w:val="21"/>
                <w:color w:val="auto"/>
              </w:rPr>
            </w:pP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Health &amp; Welfare Benefits</w:t>
            </w:r>
            <w:r>
              <w:rPr>
                <w:rFonts w:ascii="Arial" w:cs="Arial" w:eastAsia="Arial" w:hAnsi="Arial"/>
                <w:sz w:val="18"/>
                <w:szCs w:val="18"/>
                <w:color w:val="auto"/>
                <w:vertAlign w:val="superscript"/>
              </w:rPr>
              <w:t>(D)</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tcPr>
          <w:p>
            <w:pPr>
              <w:jc w:val="right"/>
              <w:ind w:right="298"/>
              <w:spacing w:after="0"/>
              <w:rPr>
                <w:sz w:val="20"/>
                <w:szCs w:val="20"/>
                <w:color w:val="auto"/>
              </w:rPr>
            </w:pPr>
            <w:r>
              <w:rPr>
                <w:rFonts w:ascii="Arial" w:cs="Arial" w:eastAsia="Arial" w:hAnsi="Arial"/>
                <w:sz w:val="12"/>
                <w:szCs w:val="12"/>
                <w:color w:val="auto"/>
              </w:rPr>
              <w:t>67,621</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tcPr>
          <w:p>
            <w:pPr>
              <w:jc w:val="right"/>
              <w:ind w:right="318"/>
              <w:spacing w:after="0"/>
              <w:rPr>
                <w:sz w:val="20"/>
                <w:szCs w:val="20"/>
                <w:color w:val="auto"/>
              </w:rPr>
            </w:pPr>
            <w:r>
              <w:rPr>
                <w:rFonts w:ascii="Arial" w:cs="Arial" w:eastAsia="Arial" w:hAnsi="Arial"/>
                <w:sz w:val="12"/>
                <w:szCs w:val="12"/>
                <w:color w:val="auto"/>
              </w:rPr>
              <w:t>136,491</w:t>
            </w:r>
          </w:p>
        </w:tc>
        <w:tc>
          <w:tcPr>
            <w:tcW w:w="400" w:type="dxa"/>
            <w:vAlign w:val="bottom"/>
            <w:tcBorders>
              <w:bottom w:val="single" w:sz="8" w:color="7F7F7F"/>
            </w:tcBorders>
          </w:tcPr>
          <w:p>
            <w:pPr>
              <w:spacing w:after="0"/>
              <w:rPr>
                <w:sz w:val="21"/>
                <w:szCs w:val="21"/>
                <w:color w:val="auto"/>
              </w:rPr>
            </w:pPr>
          </w:p>
        </w:tc>
        <w:tc>
          <w:tcPr>
            <w:tcW w:w="960" w:type="dxa"/>
            <w:vAlign w:val="bottom"/>
            <w:tcBorders>
              <w:bottom w:val="single" w:sz="8" w:color="7F7F7F"/>
            </w:tcBorders>
          </w:tcPr>
          <w:p>
            <w:pPr>
              <w:jc w:val="right"/>
              <w:ind w:right="218"/>
              <w:spacing w:after="0"/>
              <w:rPr>
                <w:sz w:val="20"/>
                <w:szCs w:val="20"/>
                <w:color w:val="auto"/>
              </w:rPr>
            </w:pPr>
            <w:r>
              <w:rPr>
                <w:rFonts w:ascii="Arial" w:cs="Arial" w:eastAsia="Arial" w:hAnsi="Arial"/>
                <w:sz w:val="12"/>
                <w:szCs w:val="12"/>
                <w:color w:val="auto"/>
              </w:rPr>
              <w:t>(D)</w:t>
            </w:r>
          </w:p>
        </w:tc>
        <w:tc>
          <w:tcPr>
            <w:tcW w:w="820" w:type="dxa"/>
            <w:vAlign w:val="bottom"/>
            <w:tcBorders>
              <w:bottom w:val="single" w:sz="8" w:color="7F7F7F"/>
            </w:tcBorders>
          </w:tcPr>
          <w:p>
            <w:pPr>
              <w:spacing w:after="0"/>
              <w:rPr>
                <w:sz w:val="21"/>
                <w:szCs w:val="21"/>
                <w:color w:val="auto"/>
              </w:rPr>
            </w:pPr>
          </w:p>
        </w:tc>
        <w:tc>
          <w:tcPr>
            <w:tcW w:w="720" w:type="dxa"/>
            <w:vAlign w:val="bottom"/>
            <w:tcBorders>
              <w:bottom w:val="single" w:sz="8" w:color="7F7F7F"/>
            </w:tcBorders>
          </w:tcPr>
          <w:p>
            <w:pPr>
              <w:spacing w:after="0"/>
              <w:rPr>
                <w:sz w:val="21"/>
                <w:szCs w:val="21"/>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Financial Planning</w:t>
            </w:r>
            <w:r>
              <w:rPr>
                <w:rFonts w:ascii="Arial" w:cs="Arial" w:eastAsia="Arial" w:hAnsi="Arial"/>
                <w:sz w:val="18"/>
                <w:szCs w:val="18"/>
                <w:color w:val="auto"/>
                <w:vertAlign w:val="superscript"/>
              </w:rPr>
              <w:t>(E)</w:t>
            </w:r>
          </w:p>
        </w:tc>
        <w:tc>
          <w:tcPr>
            <w:tcW w:w="640" w:type="dxa"/>
            <w:vAlign w:val="bottom"/>
            <w:tcBorders>
              <w:bottom w:val="single" w:sz="8" w:color="7F7F7F"/>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shd w:val="clear" w:color="auto" w:fill="F2F2F2"/>
          </w:tcPr>
          <w:p>
            <w:pPr>
              <w:jc w:val="right"/>
              <w:ind w:right="298"/>
              <w:spacing w:after="0"/>
              <w:rPr>
                <w:sz w:val="20"/>
                <w:szCs w:val="20"/>
                <w:color w:val="auto"/>
              </w:rPr>
            </w:pPr>
            <w:r>
              <w:rPr>
                <w:rFonts w:ascii="Arial" w:cs="Arial" w:eastAsia="Arial" w:hAnsi="Arial"/>
                <w:sz w:val="12"/>
                <w:szCs w:val="12"/>
                <w:color w:val="auto"/>
              </w:rPr>
              <w:t>50,000</w:t>
            </w: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75,000</w:t>
            </w:r>
          </w:p>
        </w:tc>
        <w:tc>
          <w:tcPr>
            <w:tcW w:w="400" w:type="dxa"/>
            <w:vAlign w:val="bottom"/>
            <w:tcBorders>
              <w:bottom w:val="single" w:sz="8" w:color="7F7F7F"/>
            </w:tcBorders>
            <w:shd w:val="clear" w:color="auto" w:fill="F2F2F2"/>
          </w:tcPr>
          <w:p>
            <w:pPr>
              <w:spacing w:after="0"/>
              <w:rPr>
                <w:sz w:val="21"/>
                <w:szCs w:val="21"/>
                <w:color w:val="auto"/>
              </w:rPr>
            </w:pPr>
          </w:p>
        </w:tc>
        <w:tc>
          <w:tcPr>
            <w:tcW w:w="960" w:type="dxa"/>
            <w:vAlign w:val="bottom"/>
            <w:tcBorders>
              <w:bottom w:val="single" w:sz="8" w:color="7F7F7F"/>
            </w:tcBorders>
            <w:shd w:val="clear" w:color="auto" w:fill="F2F2F2"/>
          </w:tcPr>
          <w:p>
            <w:pPr>
              <w:spacing w:after="0"/>
              <w:rPr>
                <w:sz w:val="21"/>
                <w:szCs w:val="21"/>
                <w:color w:val="auto"/>
              </w:rPr>
            </w:pPr>
          </w:p>
        </w:tc>
        <w:tc>
          <w:tcPr>
            <w:tcW w:w="820" w:type="dxa"/>
            <w:vAlign w:val="bottom"/>
            <w:tcBorders>
              <w:bottom w:val="single" w:sz="8" w:color="7F7F7F"/>
            </w:tcBorders>
            <w:shd w:val="clear" w:color="auto" w:fill="F2F2F2"/>
          </w:tcPr>
          <w:p>
            <w:pPr>
              <w:spacing w:after="0"/>
              <w:rPr>
                <w:sz w:val="21"/>
                <w:szCs w:val="21"/>
                <w:color w:val="auto"/>
              </w:rPr>
            </w:pPr>
          </w:p>
        </w:tc>
        <w:tc>
          <w:tcPr>
            <w:tcW w:w="720" w:type="dxa"/>
            <w:vAlign w:val="bottom"/>
            <w:tcBorders>
              <w:bottom w:val="single" w:sz="8" w:color="7F7F7F"/>
            </w:tcBorders>
            <w:shd w:val="clear" w:color="auto" w:fill="F2F2F2"/>
          </w:tcPr>
          <w:p>
            <w:pPr>
              <w:spacing w:after="0"/>
              <w:rPr>
                <w:sz w:val="21"/>
                <w:szCs w:val="21"/>
                <w:color w:val="auto"/>
              </w:rPr>
            </w:pPr>
          </w:p>
        </w:tc>
      </w:tr>
      <w:tr>
        <w:trPr>
          <w:trHeight w:val="194"/>
        </w:trPr>
        <w:tc>
          <w:tcPr>
            <w:tcW w:w="4640" w:type="dxa"/>
            <w:vAlign w:val="bottom"/>
          </w:tcPr>
          <w:p>
            <w:pPr>
              <w:ind w:left="200"/>
              <w:spacing w:after="0"/>
              <w:rPr>
                <w:sz w:val="20"/>
                <w:szCs w:val="20"/>
                <w:color w:val="auto"/>
              </w:rPr>
            </w:pPr>
            <w:r>
              <w:rPr>
                <w:rFonts w:ascii="Arial" w:cs="Arial" w:eastAsia="Arial" w:hAnsi="Arial"/>
                <w:sz w:val="12"/>
                <w:szCs w:val="12"/>
                <w:color w:val="auto"/>
              </w:rPr>
              <w:t>Outplacement</w:t>
            </w:r>
          </w:p>
        </w:tc>
        <w:tc>
          <w:tcPr>
            <w:tcW w:w="640" w:type="dxa"/>
            <w:vAlign w:val="bottom"/>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98"/>
              <w:spacing w:after="0"/>
              <w:rPr>
                <w:sz w:val="20"/>
                <w:szCs w:val="20"/>
                <w:color w:val="auto"/>
              </w:rPr>
            </w:pPr>
            <w:r>
              <w:rPr>
                <w:rFonts w:ascii="Arial" w:cs="Arial" w:eastAsia="Arial" w:hAnsi="Arial"/>
                <w:sz w:val="12"/>
                <w:szCs w:val="12"/>
                <w:color w:val="auto"/>
              </w:rPr>
              <w:t>50,000</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318"/>
              <w:spacing w:after="0"/>
              <w:rPr>
                <w:sz w:val="20"/>
                <w:szCs w:val="20"/>
                <w:color w:val="auto"/>
              </w:rPr>
            </w:pPr>
            <w:r>
              <w:rPr>
                <w:rFonts w:ascii="Arial" w:cs="Arial" w:eastAsia="Arial" w:hAnsi="Arial"/>
                <w:sz w:val="12"/>
                <w:szCs w:val="12"/>
                <w:color w:val="auto"/>
              </w:rPr>
              <w:t>50,000</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4"/>
        </w:trPr>
        <w:tc>
          <w:tcPr>
            <w:tcW w:w="464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c>
          <w:tcPr>
            <w:tcW w:w="98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1020" w:type="dxa"/>
            <w:vAlign w:val="bottom"/>
            <w:tcBorders>
              <w:bottom w:val="single" w:sz="8" w:color="7F7F7F"/>
            </w:tcBorders>
          </w:tcPr>
          <w:p>
            <w:pPr>
              <w:spacing w:after="0"/>
              <w:rPr>
                <w:sz w:val="4"/>
                <w:szCs w:val="4"/>
                <w:color w:val="auto"/>
              </w:rPr>
            </w:pPr>
          </w:p>
        </w:tc>
        <w:tc>
          <w:tcPr>
            <w:tcW w:w="400" w:type="dxa"/>
            <w:vAlign w:val="bottom"/>
            <w:tcBorders>
              <w:bottom w:val="single" w:sz="8" w:color="7F7F7F"/>
            </w:tcBorders>
          </w:tcPr>
          <w:p>
            <w:pPr>
              <w:spacing w:after="0"/>
              <w:rPr>
                <w:sz w:val="4"/>
                <w:szCs w:val="4"/>
                <w:color w:val="auto"/>
              </w:rPr>
            </w:pPr>
          </w:p>
        </w:tc>
        <w:tc>
          <w:tcPr>
            <w:tcW w:w="9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720" w:type="dxa"/>
            <w:vAlign w:val="bottom"/>
            <w:tcBorders>
              <w:bottom w:val="single" w:sz="8" w:color="7F7F7F"/>
            </w:tcBorders>
          </w:tcPr>
          <w:p>
            <w:pPr>
              <w:spacing w:after="0"/>
              <w:rPr>
                <w:sz w:val="4"/>
                <w:szCs w:val="4"/>
                <w:color w:val="auto"/>
              </w:rPr>
            </w:pPr>
          </w:p>
        </w:tc>
      </w:tr>
      <w:tr>
        <w:trPr>
          <w:trHeight w:val="252"/>
        </w:trPr>
        <w:tc>
          <w:tcPr>
            <w:tcW w:w="464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12"/>
                <w:szCs w:val="12"/>
                <w:color w:val="auto"/>
              </w:rPr>
              <w:t>Total</w:t>
            </w:r>
          </w:p>
        </w:tc>
        <w:tc>
          <w:tcPr>
            <w:tcW w:w="64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w w:val="99"/>
              </w:rPr>
              <w:t>12,187,288</w:t>
            </w:r>
          </w:p>
        </w:tc>
        <w:tc>
          <w:tcPr>
            <w:tcW w:w="7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2F2F2"/>
            </w:tcBorders>
            <w:shd w:val="clear" w:color="auto" w:fill="F2F2F2"/>
          </w:tcPr>
          <w:p>
            <w:pPr>
              <w:jc w:val="right"/>
              <w:ind w:right="318"/>
              <w:spacing w:after="0"/>
              <w:rPr>
                <w:sz w:val="20"/>
                <w:szCs w:val="20"/>
                <w:color w:val="auto"/>
              </w:rPr>
            </w:pPr>
            <w:r>
              <w:rPr>
                <w:rFonts w:ascii="Arial" w:cs="Arial" w:eastAsia="Arial" w:hAnsi="Arial"/>
                <w:sz w:val="12"/>
                <w:szCs w:val="12"/>
                <w:color w:val="auto"/>
              </w:rPr>
              <w:t>51,343,902</w:t>
            </w:r>
          </w:p>
        </w:tc>
        <w:tc>
          <w:tcPr>
            <w:tcW w:w="4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F2F2F2"/>
            </w:tcBorders>
            <w:shd w:val="clear" w:color="auto" w:fill="F2F2F2"/>
          </w:tcPr>
          <w:p>
            <w:pPr>
              <w:jc w:val="right"/>
              <w:ind w:right="25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F2F2F2"/>
            </w:tcBorders>
            <w:shd w:val="clear" w:color="auto" w:fill="F2F2F2"/>
          </w:tcPr>
          <w:p>
            <w:pPr>
              <w:jc w:val="right"/>
              <w:ind w:right="38"/>
              <w:spacing w:after="0"/>
              <w:rPr>
                <w:sz w:val="20"/>
                <w:szCs w:val="20"/>
                <w:color w:val="auto"/>
              </w:rPr>
            </w:pPr>
            <w:r>
              <w:rPr>
                <w:rFonts w:ascii="Arial" w:cs="Arial" w:eastAsia="Arial" w:hAnsi="Arial"/>
                <w:sz w:val="12"/>
                <w:szCs w:val="12"/>
                <w:color w:val="auto"/>
                <w:w w:val="99"/>
              </w:rPr>
              <w:t>33,052,911</w:t>
            </w:r>
          </w:p>
        </w:tc>
      </w:tr>
      <w:tr>
        <w:trPr>
          <w:trHeight w:val="247"/>
        </w:trPr>
        <w:tc>
          <w:tcPr>
            <w:tcW w:w="4640" w:type="dxa"/>
            <w:vAlign w:val="bottom"/>
            <w:tcBorders>
              <w:top w:val="single" w:sz="8" w:color="7F7F7F"/>
              <w:bottom w:val="single" w:sz="8" w:color="auto"/>
            </w:tcBorders>
          </w:tcPr>
          <w:p>
            <w:pPr>
              <w:ind w:left="200"/>
              <w:spacing w:after="0"/>
              <w:rPr>
                <w:sz w:val="20"/>
                <w:szCs w:val="20"/>
                <w:color w:val="auto"/>
              </w:rPr>
            </w:pPr>
            <w:r>
              <w:rPr>
                <w:rFonts w:ascii="Arial" w:cs="Arial" w:eastAsia="Arial" w:hAnsi="Arial"/>
                <w:sz w:val="12"/>
                <w:szCs w:val="12"/>
                <w:color w:val="auto"/>
              </w:rPr>
              <w:t>Total After Severance Reduction</w:t>
            </w:r>
            <w:r>
              <w:rPr>
                <w:rFonts w:ascii="Arial" w:cs="Arial" w:eastAsia="Arial" w:hAnsi="Arial"/>
                <w:sz w:val="18"/>
                <w:szCs w:val="18"/>
                <w:color w:val="auto"/>
                <w:vertAlign w:val="superscript"/>
              </w:rPr>
              <w:t>(F)</w:t>
            </w:r>
          </w:p>
        </w:tc>
        <w:tc>
          <w:tcPr>
            <w:tcW w:w="640" w:type="dxa"/>
            <w:vAlign w:val="bottom"/>
            <w:tcBorders>
              <w:top w:val="single" w:sz="8" w:color="7F7F7F"/>
              <w:bottom w:val="single" w:sz="8" w:color="auto"/>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7F7F7F"/>
              <w:bottom w:val="single" w:sz="8" w:color="auto"/>
            </w:tcBorders>
          </w:tcPr>
          <w:p>
            <w:pPr>
              <w:jc w:val="right"/>
              <w:ind w:right="298"/>
              <w:spacing w:after="0"/>
              <w:rPr>
                <w:sz w:val="20"/>
                <w:szCs w:val="20"/>
                <w:color w:val="auto"/>
              </w:rPr>
            </w:pPr>
            <w:r>
              <w:rPr>
                <w:rFonts w:ascii="Arial" w:cs="Arial" w:eastAsia="Arial" w:hAnsi="Arial"/>
                <w:sz w:val="12"/>
                <w:szCs w:val="12"/>
                <w:color w:val="auto"/>
                <w:w w:val="99"/>
              </w:rPr>
              <w:t>12,187,288</w:t>
            </w:r>
          </w:p>
        </w:tc>
        <w:tc>
          <w:tcPr>
            <w:tcW w:w="74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bottom w:val="single" w:sz="8" w:color="auto"/>
            </w:tcBorders>
          </w:tcPr>
          <w:p>
            <w:pPr>
              <w:jc w:val="right"/>
              <w:ind w:right="318"/>
              <w:spacing w:after="0"/>
              <w:rPr>
                <w:sz w:val="20"/>
                <w:szCs w:val="20"/>
                <w:color w:val="auto"/>
              </w:rPr>
            </w:pPr>
            <w:r>
              <w:rPr>
                <w:rFonts w:ascii="Arial" w:cs="Arial" w:eastAsia="Arial" w:hAnsi="Arial"/>
                <w:sz w:val="12"/>
                <w:szCs w:val="12"/>
                <w:color w:val="auto"/>
              </w:rPr>
              <w:t>41,845,614</w:t>
            </w:r>
          </w:p>
        </w:tc>
        <w:tc>
          <w:tcPr>
            <w:tcW w:w="40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7F7F7F"/>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820" w:type="dxa"/>
            <w:vAlign w:val="bottom"/>
            <w:tcBorders>
              <w:top w:val="single" w:sz="8" w:color="7F7F7F"/>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7F7F7F"/>
              <w:bottom w:val="single" w:sz="8" w:color="auto"/>
            </w:tcBorders>
          </w:tcPr>
          <w:p>
            <w:pPr>
              <w:jc w:val="right"/>
              <w:ind w:right="38"/>
              <w:spacing w:after="0"/>
              <w:rPr>
                <w:sz w:val="20"/>
                <w:szCs w:val="20"/>
                <w:color w:val="auto"/>
              </w:rPr>
            </w:pPr>
            <w:r>
              <w:rPr>
                <w:rFonts w:ascii="Arial" w:cs="Arial" w:eastAsia="Arial" w:hAnsi="Arial"/>
                <w:sz w:val="12"/>
                <w:szCs w:val="12"/>
                <w:color w:val="auto"/>
                <w:w w:val="99"/>
              </w:rPr>
              <w:t>33,052,911</w:t>
            </w:r>
          </w:p>
        </w:tc>
      </w:tr>
      <w:tr>
        <w:trPr>
          <w:trHeight w:val="266"/>
        </w:trPr>
        <w:tc>
          <w:tcPr>
            <w:tcW w:w="4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2"/>
                <w:szCs w:val="12"/>
                <w:b w:val="1"/>
                <w:bCs w:val="1"/>
                <w:color w:val="auto"/>
              </w:rPr>
              <w:t>Karen L. Sedgwick</w:t>
            </w:r>
          </w:p>
        </w:tc>
        <w:tc>
          <w:tcPr>
            <w:tcW w:w="640" w:type="dxa"/>
            <w:vAlign w:val="bottom"/>
            <w:tcBorders>
              <w:bottom w:val="single" w:sz="8" w:color="F2F2F2"/>
            </w:tcBorders>
            <w:shd w:val="clear" w:color="auto" w:fill="F2F2F2"/>
          </w:tcPr>
          <w:p>
            <w:pPr>
              <w:spacing w:after="0"/>
              <w:rPr>
                <w:sz w:val="22"/>
                <w:szCs w:val="22"/>
                <w:color w:val="auto"/>
              </w:rPr>
            </w:pPr>
          </w:p>
        </w:tc>
        <w:tc>
          <w:tcPr>
            <w:tcW w:w="980" w:type="dxa"/>
            <w:vAlign w:val="bottom"/>
            <w:tcBorders>
              <w:bottom w:val="single" w:sz="8" w:color="F2F2F2"/>
            </w:tcBorders>
            <w:shd w:val="clear" w:color="auto" w:fill="F2F2F2"/>
          </w:tcPr>
          <w:p>
            <w:pPr>
              <w:spacing w:after="0"/>
              <w:rPr>
                <w:sz w:val="22"/>
                <w:szCs w:val="22"/>
                <w:color w:val="auto"/>
              </w:rPr>
            </w:pPr>
          </w:p>
        </w:tc>
        <w:tc>
          <w:tcPr>
            <w:tcW w:w="740" w:type="dxa"/>
            <w:vAlign w:val="bottom"/>
            <w:tcBorders>
              <w:bottom w:val="single" w:sz="8" w:color="F2F2F2"/>
            </w:tcBorders>
            <w:shd w:val="clear" w:color="auto" w:fill="F2F2F2"/>
          </w:tcPr>
          <w:p>
            <w:pPr>
              <w:spacing w:after="0"/>
              <w:rPr>
                <w:sz w:val="22"/>
                <w:szCs w:val="22"/>
                <w:color w:val="auto"/>
              </w:rPr>
            </w:pPr>
          </w:p>
        </w:tc>
        <w:tc>
          <w:tcPr>
            <w:tcW w:w="1020" w:type="dxa"/>
            <w:vAlign w:val="bottom"/>
            <w:tcBorders>
              <w:bottom w:val="single" w:sz="8" w:color="F2F2F2"/>
            </w:tcBorders>
            <w:shd w:val="clear" w:color="auto" w:fill="F2F2F2"/>
          </w:tcPr>
          <w:p>
            <w:pPr>
              <w:spacing w:after="0"/>
              <w:rPr>
                <w:sz w:val="22"/>
                <w:szCs w:val="22"/>
                <w:color w:val="auto"/>
              </w:rPr>
            </w:pPr>
          </w:p>
        </w:tc>
        <w:tc>
          <w:tcPr>
            <w:tcW w:w="400" w:type="dxa"/>
            <w:vAlign w:val="bottom"/>
            <w:tcBorders>
              <w:bottom w:val="single" w:sz="8" w:color="F2F2F2"/>
            </w:tcBorders>
            <w:shd w:val="clear" w:color="auto" w:fill="F2F2F2"/>
          </w:tcPr>
          <w:p>
            <w:pPr>
              <w:spacing w:after="0"/>
              <w:rPr>
                <w:sz w:val="22"/>
                <w:szCs w:val="22"/>
                <w:color w:val="auto"/>
              </w:rPr>
            </w:pPr>
          </w:p>
        </w:tc>
        <w:tc>
          <w:tcPr>
            <w:tcW w:w="960" w:type="dxa"/>
            <w:vAlign w:val="bottom"/>
            <w:tcBorders>
              <w:bottom w:val="single" w:sz="8" w:color="F2F2F2"/>
            </w:tcBorders>
            <w:shd w:val="clear" w:color="auto" w:fill="F2F2F2"/>
          </w:tcPr>
          <w:p>
            <w:pPr>
              <w:spacing w:after="0"/>
              <w:rPr>
                <w:sz w:val="22"/>
                <w:szCs w:val="22"/>
                <w:color w:val="auto"/>
              </w:rPr>
            </w:pPr>
          </w:p>
        </w:tc>
        <w:tc>
          <w:tcPr>
            <w:tcW w:w="820" w:type="dxa"/>
            <w:vAlign w:val="bottom"/>
            <w:tcBorders>
              <w:bottom w:val="single" w:sz="8" w:color="F2F2F2"/>
            </w:tcBorders>
            <w:shd w:val="clear" w:color="auto" w:fill="F2F2F2"/>
          </w:tcPr>
          <w:p>
            <w:pPr>
              <w:spacing w:after="0"/>
              <w:rPr>
                <w:sz w:val="22"/>
                <w:szCs w:val="22"/>
                <w:color w:val="auto"/>
              </w:rPr>
            </w:pPr>
          </w:p>
        </w:tc>
        <w:tc>
          <w:tcPr>
            <w:tcW w:w="720" w:type="dxa"/>
            <w:vAlign w:val="bottom"/>
            <w:tcBorders>
              <w:bottom w:val="single" w:sz="8" w:color="F2F2F2"/>
            </w:tcBorders>
            <w:shd w:val="clear" w:color="auto" w:fill="F2F2F2"/>
          </w:tcPr>
          <w:p>
            <w:pPr>
              <w:spacing w:after="0"/>
              <w:rPr>
                <w:sz w:val="22"/>
                <w:szCs w:val="22"/>
                <w:color w:val="auto"/>
              </w:rPr>
            </w:pPr>
          </w:p>
        </w:tc>
      </w:tr>
      <w:tr>
        <w:trPr>
          <w:trHeight w:val="247"/>
        </w:trPr>
        <w:tc>
          <w:tcPr>
            <w:tcW w:w="4640" w:type="dxa"/>
            <w:vAlign w:val="bottom"/>
            <w:tcBorders>
              <w:top w:val="single" w:sz="8" w:color="7F7F7F"/>
              <w:bottom w:val="single" w:sz="8" w:color="7F7F7F"/>
            </w:tcBorders>
          </w:tcPr>
          <w:p>
            <w:pPr>
              <w:ind w:left="200"/>
              <w:spacing w:after="0"/>
              <w:rPr>
                <w:sz w:val="20"/>
                <w:szCs w:val="20"/>
                <w:color w:val="auto"/>
              </w:rPr>
            </w:pPr>
            <w:r>
              <w:rPr>
                <w:rFonts w:ascii="Arial" w:cs="Arial" w:eastAsia="Arial" w:hAnsi="Arial"/>
                <w:sz w:val="12"/>
                <w:szCs w:val="12"/>
                <w:color w:val="auto"/>
              </w:rPr>
              <w:t>Lump Sum Cash Payment</w:t>
            </w:r>
            <w:r>
              <w:rPr>
                <w:rFonts w:ascii="Arial" w:cs="Arial" w:eastAsia="Arial" w:hAnsi="Arial"/>
                <w:sz w:val="18"/>
                <w:szCs w:val="18"/>
                <w:color w:val="auto"/>
                <w:vertAlign w:val="superscript"/>
              </w:rPr>
              <w:t>(A)</w:t>
            </w:r>
          </w:p>
        </w:tc>
        <w:tc>
          <w:tcPr>
            <w:tcW w:w="640" w:type="dxa"/>
            <w:vAlign w:val="bottom"/>
            <w:tcBorders>
              <w:top w:val="single" w:sz="8" w:color="7F7F7F"/>
              <w:bottom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7F7F7F"/>
              <w:bottom w:val="single" w:sz="8" w:color="7F7F7F"/>
            </w:tcBorders>
          </w:tcPr>
          <w:p>
            <w:pPr>
              <w:jc w:val="right"/>
              <w:ind w:right="298"/>
              <w:spacing w:after="0"/>
              <w:rPr>
                <w:sz w:val="20"/>
                <w:szCs w:val="20"/>
                <w:color w:val="auto"/>
              </w:rPr>
            </w:pPr>
            <w:r>
              <w:rPr>
                <w:rFonts w:ascii="Arial" w:cs="Arial" w:eastAsia="Arial" w:hAnsi="Arial"/>
                <w:sz w:val="12"/>
                <w:szCs w:val="12"/>
                <w:color w:val="auto"/>
              </w:rPr>
              <w:t>2,754,400</w:t>
            </w: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bottom w:val="single" w:sz="8" w:color="7F7F7F"/>
            </w:tcBorders>
          </w:tcPr>
          <w:p>
            <w:pPr>
              <w:jc w:val="right"/>
              <w:ind w:right="318"/>
              <w:spacing w:after="0"/>
              <w:rPr>
                <w:sz w:val="20"/>
                <w:szCs w:val="20"/>
                <w:color w:val="auto"/>
              </w:rPr>
            </w:pPr>
            <w:r>
              <w:rPr>
                <w:rFonts w:ascii="Arial" w:cs="Arial" w:eastAsia="Arial" w:hAnsi="Arial"/>
                <w:sz w:val="12"/>
                <w:szCs w:val="12"/>
                <w:color w:val="auto"/>
              </w:rPr>
              <w:t>4,131,600</w:t>
            </w:r>
          </w:p>
        </w:tc>
        <w:tc>
          <w:tcPr>
            <w:tcW w:w="400" w:type="dxa"/>
            <w:vAlign w:val="bottom"/>
            <w:tcBorders>
              <w:top w:val="single" w:sz="8" w:color="7F7F7F"/>
              <w:bottom w:val="single" w:sz="8" w:color="7F7F7F"/>
            </w:tcBorders>
          </w:tcPr>
          <w:p>
            <w:pPr>
              <w:spacing w:after="0"/>
              <w:rPr>
                <w:sz w:val="21"/>
                <w:szCs w:val="21"/>
                <w:color w:val="auto"/>
              </w:rPr>
            </w:pPr>
          </w:p>
        </w:tc>
        <w:tc>
          <w:tcPr>
            <w:tcW w:w="960" w:type="dxa"/>
            <w:vAlign w:val="bottom"/>
            <w:tcBorders>
              <w:top w:val="single" w:sz="8" w:color="7F7F7F"/>
              <w:bottom w:val="single" w:sz="8" w:color="7F7F7F"/>
            </w:tcBorders>
          </w:tcPr>
          <w:p>
            <w:pPr>
              <w:spacing w:after="0"/>
              <w:rPr>
                <w:sz w:val="21"/>
                <w:szCs w:val="21"/>
                <w:color w:val="auto"/>
              </w:rPr>
            </w:pPr>
          </w:p>
        </w:tc>
        <w:tc>
          <w:tcPr>
            <w:tcW w:w="820" w:type="dxa"/>
            <w:vAlign w:val="bottom"/>
            <w:tcBorders>
              <w:top w:val="single" w:sz="8" w:color="7F7F7F"/>
              <w:bottom w:val="single" w:sz="8" w:color="7F7F7F"/>
            </w:tcBorders>
          </w:tcPr>
          <w:p>
            <w:pPr>
              <w:spacing w:after="0"/>
              <w:rPr>
                <w:sz w:val="21"/>
                <w:szCs w:val="21"/>
                <w:color w:val="auto"/>
              </w:rPr>
            </w:pPr>
          </w:p>
        </w:tc>
        <w:tc>
          <w:tcPr>
            <w:tcW w:w="720" w:type="dxa"/>
            <w:vAlign w:val="bottom"/>
            <w:tcBorders>
              <w:top w:val="single" w:sz="8" w:color="7F7F7F"/>
              <w:bottom w:val="single" w:sz="8" w:color="7F7F7F"/>
            </w:tcBorders>
          </w:tcPr>
          <w:p>
            <w:pPr>
              <w:spacing w:after="0"/>
              <w:rPr>
                <w:sz w:val="21"/>
                <w:szCs w:val="21"/>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Acceleration of Existing Equity Awards</w:t>
            </w:r>
            <w:r>
              <w:rPr>
                <w:rFonts w:ascii="Arial" w:cs="Arial" w:eastAsia="Arial" w:hAnsi="Arial"/>
                <w:sz w:val="18"/>
                <w:szCs w:val="18"/>
                <w:color w:val="auto"/>
                <w:vertAlign w:val="superscript"/>
              </w:rPr>
              <w:t>(B)</w:t>
            </w:r>
          </w:p>
        </w:tc>
        <w:tc>
          <w:tcPr>
            <w:tcW w:w="640" w:type="dxa"/>
            <w:vAlign w:val="bottom"/>
            <w:tcBorders>
              <w:bottom w:val="single" w:sz="8" w:color="7F7F7F"/>
            </w:tcBorders>
            <w:shd w:val="clear" w:color="auto" w:fill="F2F2F2"/>
          </w:tcPr>
          <w:p>
            <w:pPr>
              <w:spacing w:after="0"/>
              <w:rPr>
                <w:sz w:val="21"/>
                <w:szCs w:val="21"/>
                <w:color w:val="auto"/>
              </w:rPr>
            </w:pPr>
          </w:p>
        </w:tc>
        <w:tc>
          <w:tcPr>
            <w:tcW w:w="980" w:type="dxa"/>
            <w:vAlign w:val="bottom"/>
            <w:tcBorders>
              <w:bottom w:val="single" w:sz="8" w:color="7F7F7F"/>
            </w:tcBorders>
            <w:shd w:val="clear" w:color="auto" w:fill="F2F2F2"/>
          </w:tcPr>
          <w:p>
            <w:pPr>
              <w:spacing w:after="0"/>
              <w:rPr>
                <w:sz w:val="21"/>
                <w:szCs w:val="21"/>
                <w:color w:val="auto"/>
              </w:rPr>
            </w:pP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5,322,250</w:t>
            </w:r>
          </w:p>
        </w:tc>
        <w:tc>
          <w:tcPr>
            <w:tcW w:w="40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7F7F7F"/>
            </w:tcBorders>
            <w:shd w:val="clear" w:color="auto" w:fill="F2F2F2"/>
          </w:tcPr>
          <w:p>
            <w:pPr>
              <w:jc w:val="right"/>
              <w:ind w:right="258"/>
              <w:spacing w:after="0"/>
              <w:rPr>
                <w:sz w:val="20"/>
                <w:szCs w:val="20"/>
                <w:color w:val="auto"/>
              </w:rPr>
            </w:pPr>
            <w:r>
              <w:rPr>
                <w:rFonts w:ascii="Arial" w:cs="Arial" w:eastAsia="Arial" w:hAnsi="Arial"/>
                <w:sz w:val="12"/>
                <w:szCs w:val="12"/>
                <w:color w:val="auto"/>
              </w:rPr>
              <w:t>215,956</w:t>
            </w:r>
          </w:p>
        </w:tc>
        <w:tc>
          <w:tcPr>
            <w:tcW w:w="82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7F7F7F"/>
            </w:tcBorders>
            <w:shd w:val="clear" w:color="auto" w:fill="F2F2F2"/>
          </w:tcPr>
          <w:p>
            <w:pPr>
              <w:jc w:val="right"/>
              <w:ind w:right="38"/>
              <w:spacing w:after="0"/>
              <w:rPr>
                <w:sz w:val="20"/>
                <w:szCs w:val="20"/>
                <w:color w:val="auto"/>
              </w:rPr>
            </w:pPr>
            <w:r>
              <w:rPr>
                <w:rFonts w:ascii="Arial" w:cs="Arial" w:eastAsia="Arial" w:hAnsi="Arial"/>
                <w:sz w:val="12"/>
                <w:szCs w:val="12"/>
                <w:color w:val="auto"/>
              </w:rPr>
              <w:t>5,322,250</w:t>
            </w: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Enhanced Retirement Benefits</w:t>
            </w:r>
            <w:r>
              <w:rPr>
                <w:rFonts w:ascii="Arial" w:cs="Arial" w:eastAsia="Arial" w:hAnsi="Arial"/>
                <w:sz w:val="18"/>
                <w:szCs w:val="18"/>
                <w:color w:val="auto"/>
                <w:vertAlign w:val="superscript"/>
              </w:rPr>
              <w:t>(C)</w:t>
            </w:r>
          </w:p>
        </w:tc>
        <w:tc>
          <w:tcPr>
            <w:tcW w:w="640" w:type="dxa"/>
            <w:vAlign w:val="bottom"/>
            <w:tcBorders>
              <w:bottom w:val="single" w:sz="8" w:color="7F7F7F"/>
            </w:tcBorders>
          </w:tcPr>
          <w:p>
            <w:pPr>
              <w:spacing w:after="0"/>
              <w:rPr>
                <w:sz w:val="21"/>
                <w:szCs w:val="21"/>
                <w:color w:val="auto"/>
              </w:rPr>
            </w:pPr>
          </w:p>
        </w:tc>
        <w:tc>
          <w:tcPr>
            <w:tcW w:w="980" w:type="dxa"/>
            <w:vAlign w:val="bottom"/>
            <w:tcBorders>
              <w:bottom w:val="single" w:sz="8" w:color="7F7F7F"/>
            </w:tcBorders>
          </w:tcPr>
          <w:p>
            <w:pPr>
              <w:spacing w:after="0"/>
              <w:rPr>
                <w:sz w:val="21"/>
                <w:szCs w:val="21"/>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tcPr>
          <w:p>
            <w:pPr>
              <w:jc w:val="right"/>
              <w:ind w:right="318"/>
              <w:spacing w:after="0"/>
              <w:rPr>
                <w:sz w:val="20"/>
                <w:szCs w:val="20"/>
                <w:color w:val="auto"/>
              </w:rPr>
            </w:pPr>
            <w:r>
              <w:rPr>
                <w:rFonts w:ascii="Arial" w:cs="Arial" w:eastAsia="Arial" w:hAnsi="Arial"/>
                <w:sz w:val="12"/>
                <w:szCs w:val="12"/>
                <w:color w:val="auto"/>
              </w:rPr>
              <w:t>10,259,253</w:t>
            </w:r>
          </w:p>
        </w:tc>
        <w:tc>
          <w:tcPr>
            <w:tcW w:w="4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7F7F7F"/>
            </w:tcBorders>
          </w:tcPr>
          <w:p>
            <w:pPr>
              <w:jc w:val="right"/>
              <w:ind w:right="258"/>
              <w:spacing w:after="0"/>
              <w:rPr>
                <w:sz w:val="20"/>
                <w:szCs w:val="20"/>
                <w:color w:val="auto"/>
              </w:rPr>
            </w:pPr>
            <w:r>
              <w:rPr>
                <w:rFonts w:ascii="Arial" w:cs="Arial" w:eastAsia="Arial" w:hAnsi="Arial"/>
                <w:sz w:val="12"/>
                <w:szCs w:val="12"/>
                <w:color w:val="auto"/>
              </w:rPr>
              <w:t>10,259,253</w:t>
            </w:r>
          </w:p>
        </w:tc>
        <w:tc>
          <w:tcPr>
            <w:tcW w:w="820" w:type="dxa"/>
            <w:vAlign w:val="bottom"/>
            <w:tcBorders>
              <w:bottom w:val="single" w:sz="8" w:color="7F7F7F"/>
            </w:tcBorders>
          </w:tcPr>
          <w:p>
            <w:pPr>
              <w:spacing w:after="0"/>
              <w:rPr>
                <w:sz w:val="21"/>
                <w:szCs w:val="21"/>
                <w:color w:val="auto"/>
              </w:rPr>
            </w:pPr>
          </w:p>
        </w:tc>
        <w:tc>
          <w:tcPr>
            <w:tcW w:w="720" w:type="dxa"/>
            <w:vAlign w:val="bottom"/>
            <w:tcBorders>
              <w:bottom w:val="single" w:sz="8" w:color="7F7F7F"/>
            </w:tcBorders>
          </w:tcPr>
          <w:p>
            <w:pPr>
              <w:spacing w:after="0"/>
              <w:rPr>
                <w:sz w:val="21"/>
                <w:szCs w:val="21"/>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Health &amp; Welfare Benefits</w:t>
            </w:r>
            <w:r>
              <w:rPr>
                <w:rFonts w:ascii="Arial" w:cs="Arial" w:eastAsia="Arial" w:hAnsi="Arial"/>
                <w:sz w:val="18"/>
                <w:szCs w:val="18"/>
                <w:color w:val="auto"/>
                <w:vertAlign w:val="superscript"/>
              </w:rPr>
              <w:t>(D)</w:t>
            </w:r>
          </w:p>
        </w:tc>
        <w:tc>
          <w:tcPr>
            <w:tcW w:w="640" w:type="dxa"/>
            <w:vAlign w:val="bottom"/>
            <w:tcBorders>
              <w:bottom w:val="single" w:sz="8" w:color="7F7F7F"/>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shd w:val="clear" w:color="auto" w:fill="F2F2F2"/>
          </w:tcPr>
          <w:p>
            <w:pPr>
              <w:jc w:val="right"/>
              <w:ind w:right="298"/>
              <w:spacing w:after="0"/>
              <w:rPr>
                <w:sz w:val="20"/>
                <w:szCs w:val="20"/>
                <w:color w:val="auto"/>
              </w:rPr>
            </w:pPr>
            <w:r>
              <w:rPr>
                <w:rFonts w:ascii="Arial" w:cs="Arial" w:eastAsia="Arial" w:hAnsi="Arial"/>
                <w:sz w:val="12"/>
                <w:szCs w:val="12"/>
                <w:color w:val="auto"/>
              </w:rPr>
              <w:t>67,621</w:t>
            </w: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142,615</w:t>
            </w:r>
          </w:p>
        </w:tc>
        <w:tc>
          <w:tcPr>
            <w:tcW w:w="400" w:type="dxa"/>
            <w:vAlign w:val="bottom"/>
            <w:tcBorders>
              <w:bottom w:val="single" w:sz="8" w:color="7F7F7F"/>
            </w:tcBorders>
            <w:shd w:val="clear" w:color="auto" w:fill="F2F2F2"/>
          </w:tcPr>
          <w:p>
            <w:pPr>
              <w:spacing w:after="0"/>
              <w:rPr>
                <w:sz w:val="21"/>
                <w:szCs w:val="21"/>
                <w:color w:val="auto"/>
              </w:rPr>
            </w:pPr>
          </w:p>
        </w:tc>
        <w:tc>
          <w:tcPr>
            <w:tcW w:w="960" w:type="dxa"/>
            <w:vAlign w:val="bottom"/>
            <w:tcBorders>
              <w:bottom w:val="single" w:sz="8" w:color="7F7F7F"/>
            </w:tcBorders>
            <w:shd w:val="clear" w:color="auto" w:fill="F2F2F2"/>
          </w:tcPr>
          <w:p>
            <w:pPr>
              <w:spacing w:after="0"/>
              <w:rPr>
                <w:sz w:val="21"/>
                <w:szCs w:val="21"/>
                <w:color w:val="auto"/>
              </w:rPr>
            </w:pPr>
          </w:p>
        </w:tc>
        <w:tc>
          <w:tcPr>
            <w:tcW w:w="820" w:type="dxa"/>
            <w:vAlign w:val="bottom"/>
            <w:tcBorders>
              <w:bottom w:val="single" w:sz="8" w:color="7F7F7F"/>
            </w:tcBorders>
            <w:shd w:val="clear" w:color="auto" w:fill="F2F2F2"/>
          </w:tcPr>
          <w:p>
            <w:pPr>
              <w:spacing w:after="0"/>
              <w:rPr>
                <w:sz w:val="21"/>
                <w:szCs w:val="21"/>
                <w:color w:val="auto"/>
              </w:rPr>
            </w:pPr>
          </w:p>
        </w:tc>
        <w:tc>
          <w:tcPr>
            <w:tcW w:w="720" w:type="dxa"/>
            <w:vAlign w:val="bottom"/>
            <w:tcBorders>
              <w:bottom w:val="single" w:sz="8" w:color="7F7F7F"/>
            </w:tcBorders>
            <w:shd w:val="clear" w:color="auto" w:fill="F2F2F2"/>
          </w:tcPr>
          <w:p>
            <w:pPr>
              <w:spacing w:after="0"/>
              <w:rPr>
                <w:sz w:val="21"/>
                <w:szCs w:val="21"/>
                <w:color w:val="auto"/>
              </w:rPr>
            </w:pP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Financial Planning</w:t>
            </w:r>
            <w:r>
              <w:rPr>
                <w:rFonts w:ascii="Arial" w:cs="Arial" w:eastAsia="Arial" w:hAnsi="Arial"/>
                <w:sz w:val="18"/>
                <w:szCs w:val="18"/>
                <w:color w:val="auto"/>
                <w:vertAlign w:val="superscript"/>
              </w:rPr>
              <w:t>(E)</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tcPr>
          <w:p>
            <w:pPr>
              <w:jc w:val="right"/>
              <w:ind w:right="298"/>
              <w:spacing w:after="0"/>
              <w:rPr>
                <w:sz w:val="20"/>
                <w:szCs w:val="20"/>
                <w:color w:val="auto"/>
              </w:rPr>
            </w:pPr>
            <w:r>
              <w:rPr>
                <w:rFonts w:ascii="Arial" w:cs="Arial" w:eastAsia="Arial" w:hAnsi="Arial"/>
                <w:sz w:val="12"/>
                <w:szCs w:val="12"/>
                <w:color w:val="auto"/>
              </w:rPr>
              <w:t>50,000</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tcPr>
          <w:p>
            <w:pPr>
              <w:jc w:val="right"/>
              <w:ind w:right="318"/>
              <w:spacing w:after="0"/>
              <w:rPr>
                <w:sz w:val="20"/>
                <w:szCs w:val="20"/>
                <w:color w:val="auto"/>
              </w:rPr>
            </w:pPr>
            <w:r>
              <w:rPr>
                <w:rFonts w:ascii="Arial" w:cs="Arial" w:eastAsia="Arial" w:hAnsi="Arial"/>
                <w:sz w:val="12"/>
                <w:szCs w:val="12"/>
                <w:color w:val="auto"/>
              </w:rPr>
              <w:t>75,000</w:t>
            </w:r>
          </w:p>
        </w:tc>
        <w:tc>
          <w:tcPr>
            <w:tcW w:w="400" w:type="dxa"/>
            <w:vAlign w:val="bottom"/>
            <w:tcBorders>
              <w:bottom w:val="single" w:sz="8" w:color="7F7F7F"/>
            </w:tcBorders>
          </w:tcPr>
          <w:p>
            <w:pPr>
              <w:spacing w:after="0"/>
              <w:rPr>
                <w:sz w:val="21"/>
                <w:szCs w:val="21"/>
                <w:color w:val="auto"/>
              </w:rPr>
            </w:pPr>
          </w:p>
        </w:tc>
        <w:tc>
          <w:tcPr>
            <w:tcW w:w="960" w:type="dxa"/>
            <w:vAlign w:val="bottom"/>
            <w:tcBorders>
              <w:bottom w:val="single" w:sz="8" w:color="7F7F7F"/>
            </w:tcBorders>
          </w:tcPr>
          <w:p>
            <w:pPr>
              <w:spacing w:after="0"/>
              <w:rPr>
                <w:sz w:val="21"/>
                <w:szCs w:val="21"/>
                <w:color w:val="auto"/>
              </w:rPr>
            </w:pPr>
          </w:p>
        </w:tc>
        <w:tc>
          <w:tcPr>
            <w:tcW w:w="820" w:type="dxa"/>
            <w:vAlign w:val="bottom"/>
            <w:tcBorders>
              <w:bottom w:val="single" w:sz="8" w:color="7F7F7F"/>
            </w:tcBorders>
          </w:tcPr>
          <w:p>
            <w:pPr>
              <w:spacing w:after="0"/>
              <w:rPr>
                <w:sz w:val="21"/>
                <w:szCs w:val="21"/>
                <w:color w:val="auto"/>
              </w:rPr>
            </w:pPr>
          </w:p>
        </w:tc>
        <w:tc>
          <w:tcPr>
            <w:tcW w:w="720" w:type="dxa"/>
            <w:vAlign w:val="bottom"/>
            <w:tcBorders>
              <w:bottom w:val="single" w:sz="8" w:color="7F7F7F"/>
            </w:tcBorders>
          </w:tcPr>
          <w:p>
            <w:pPr>
              <w:spacing w:after="0"/>
              <w:rPr>
                <w:sz w:val="21"/>
                <w:szCs w:val="21"/>
                <w:color w:val="auto"/>
              </w:rPr>
            </w:pPr>
          </w:p>
        </w:tc>
      </w:tr>
      <w:tr>
        <w:trPr>
          <w:trHeight w:val="252"/>
        </w:trPr>
        <w:tc>
          <w:tcPr>
            <w:tcW w:w="464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12"/>
                <w:szCs w:val="12"/>
                <w:color w:val="auto"/>
              </w:rPr>
              <w:t>Outplacement</w:t>
            </w:r>
          </w:p>
        </w:tc>
        <w:tc>
          <w:tcPr>
            <w:tcW w:w="64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50,000</w:t>
            </w:r>
          </w:p>
        </w:tc>
        <w:tc>
          <w:tcPr>
            <w:tcW w:w="7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2F2F2"/>
            </w:tcBorders>
            <w:shd w:val="clear" w:color="auto" w:fill="F2F2F2"/>
          </w:tcPr>
          <w:p>
            <w:pPr>
              <w:jc w:val="right"/>
              <w:ind w:right="318"/>
              <w:spacing w:after="0"/>
              <w:rPr>
                <w:sz w:val="20"/>
                <w:szCs w:val="20"/>
                <w:color w:val="auto"/>
              </w:rPr>
            </w:pPr>
            <w:r>
              <w:rPr>
                <w:rFonts w:ascii="Arial" w:cs="Arial" w:eastAsia="Arial" w:hAnsi="Arial"/>
                <w:sz w:val="12"/>
                <w:szCs w:val="12"/>
                <w:color w:val="auto"/>
              </w:rPr>
              <w:t>50,000</w:t>
            </w:r>
          </w:p>
        </w:tc>
        <w:tc>
          <w:tcPr>
            <w:tcW w:w="400" w:type="dxa"/>
            <w:vAlign w:val="bottom"/>
            <w:tcBorders>
              <w:bottom w:val="single" w:sz="8" w:color="F2F2F2"/>
            </w:tcBorders>
            <w:shd w:val="clear" w:color="auto" w:fill="F2F2F2"/>
          </w:tcPr>
          <w:p>
            <w:pPr>
              <w:spacing w:after="0"/>
              <w:rPr>
                <w:sz w:val="21"/>
                <w:szCs w:val="21"/>
                <w:color w:val="auto"/>
              </w:rPr>
            </w:pPr>
          </w:p>
        </w:tc>
        <w:tc>
          <w:tcPr>
            <w:tcW w:w="960" w:type="dxa"/>
            <w:vAlign w:val="bottom"/>
            <w:tcBorders>
              <w:bottom w:val="single" w:sz="8" w:color="F2F2F2"/>
            </w:tcBorders>
            <w:shd w:val="clear" w:color="auto" w:fill="F2F2F2"/>
          </w:tcPr>
          <w:p>
            <w:pPr>
              <w:spacing w:after="0"/>
              <w:rPr>
                <w:sz w:val="21"/>
                <w:szCs w:val="21"/>
                <w:color w:val="auto"/>
              </w:rPr>
            </w:pPr>
          </w:p>
        </w:tc>
        <w:tc>
          <w:tcPr>
            <w:tcW w:w="820" w:type="dxa"/>
            <w:vAlign w:val="bottom"/>
            <w:tcBorders>
              <w:bottom w:val="single" w:sz="8" w:color="F2F2F2"/>
            </w:tcBorders>
            <w:shd w:val="clear" w:color="auto" w:fill="F2F2F2"/>
          </w:tcPr>
          <w:p>
            <w:pPr>
              <w:spacing w:after="0"/>
              <w:rPr>
                <w:sz w:val="21"/>
                <w:szCs w:val="21"/>
                <w:color w:val="auto"/>
              </w:rPr>
            </w:pPr>
          </w:p>
        </w:tc>
        <w:tc>
          <w:tcPr>
            <w:tcW w:w="720" w:type="dxa"/>
            <w:vAlign w:val="bottom"/>
            <w:tcBorders>
              <w:bottom w:val="single" w:sz="8" w:color="F2F2F2"/>
            </w:tcBorders>
            <w:shd w:val="clear" w:color="auto" w:fill="F2F2F2"/>
          </w:tcPr>
          <w:p>
            <w:pPr>
              <w:spacing w:after="0"/>
              <w:rPr>
                <w:sz w:val="21"/>
                <w:szCs w:val="21"/>
                <w:color w:val="auto"/>
              </w:rPr>
            </w:pPr>
          </w:p>
        </w:tc>
      </w:tr>
      <w:tr>
        <w:trPr>
          <w:trHeight w:val="194"/>
        </w:trPr>
        <w:tc>
          <w:tcPr>
            <w:tcW w:w="4640" w:type="dxa"/>
            <w:vAlign w:val="bottom"/>
            <w:tcBorders>
              <w:top w:val="single" w:sz="8" w:color="7F7F7F"/>
            </w:tcBorders>
          </w:tcPr>
          <w:p>
            <w:pPr>
              <w:ind w:left="200"/>
              <w:spacing w:after="0"/>
              <w:rPr>
                <w:sz w:val="20"/>
                <w:szCs w:val="20"/>
                <w:color w:val="auto"/>
              </w:rPr>
            </w:pPr>
            <w:r>
              <w:rPr>
                <w:rFonts w:ascii="Arial" w:cs="Arial" w:eastAsia="Arial" w:hAnsi="Arial"/>
                <w:sz w:val="12"/>
                <w:szCs w:val="12"/>
                <w:color w:val="auto"/>
              </w:rPr>
              <w:t>Total</w:t>
            </w:r>
          </w:p>
        </w:tc>
        <w:tc>
          <w:tcPr>
            <w:tcW w:w="640" w:type="dxa"/>
            <w:vAlign w:val="bottom"/>
            <w:tcBorders>
              <w:top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7F7F7F"/>
            </w:tcBorders>
          </w:tcPr>
          <w:p>
            <w:pPr>
              <w:jc w:val="right"/>
              <w:ind w:right="298"/>
              <w:spacing w:after="0"/>
              <w:rPr>
                <w:sz w:val="20"/>
                <w:szCs w:val="20"/>
                <w:color w:val="auto"/>
              </w:rPr>
            </w:pPr>
            <w:r>
              <w:rPr>
                <w:rFonts w:ascii="Arial" w:cs="Arial" w:eastAsia="Arial" w:hAnsi="Arial"/>
                <w:sz w:val="12"/>
                <w:szCs w:val="12"/>
                <w:color w:val="auto"/>
              </w:rPr>
              <w:t>2,922,021</w:t>
            </w:r>
          </w:p>
        </w:tc>
        <w:tc>
          <w:tcPr>
            <w:tcW w:w="7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tcBorders>
          </w:tcPr>
          <w:p>
            <w:pPr>
              <w:jc w:val="right"/>
              <w:ind w:right="318"/>
              <w:spacing w:after="0"/>
              <w:rPr>
                <w:sz w:val="20"/>
                <w:szCs w:val="20"/>
                <w:color w:val="auto"/>
              </w:rPr>
            </w:pPr>
            <w:r>
              <w:rPr>
                <w:rFonts w:ascii="Arial" w:cs="Arial" w:eastAsia="Arial" w:hAnsi="Arial"/>
                <w:sz w:val="12"/>
                <w:szCs w:val="12"/>
                <w:color w:val="auto"/>
              </w:rPr>
              <w:t>19,980,718</w:t>
            </w:r>
          </w:p>
        </w:tc>
        <w:tc>
          <w:tcPr>
            <w:tcW w:w="4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7F7F7F"/>
            </w:tcBorders>
          </w:tcPr>
          <w:p>
            <w:pPr>
              <w:jc w:val="right"/>
              <w:ind w:right="258"/>
              <w:spacing w:after="0"/>
              <w:rPr>
                <w:sz w:val="20"/>
                <w:szCs w:val="20"/>
                <w:color w:val="auto"/>
              </w:rPr>
            </w:pPr>
            <w:r>
              <w:rPr>
                <w:rFonts w:ascii="Arial" w:cs="Arial" w:eastAsia="Arial" w:hAnsi="Arial"/>
                <w:sz w:val="12"/>
                <w:szCs w:val="12"/>
                <w:color w:val="auto"/>
              </w:rPr>
              <w:t>10,475,209</w:t>
            </w:r>
          </w:p>
        </w:tc>
        <w:tc>
          <w:tcPr>
            <w:tcW w:w="8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5,322,250</w:t>
            </w:r>
          </w:p>
        </w:tc>
      </w:tr>
      <w:tr>
        <w:trPr>
          <w:trHeight w:val="54"/>
        </w:trPr>
        <w:tc>
          <w:tcPr>
            <w:tcW w:w="4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52"/>
        </w:trPr>
        <w:tc>
          <w:tcPr>
            <w:tcW w:w="4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2"/>
                <w:szCs w:val="12"/>
                <w:b w:val="1"/>
                <w:bCs w:val="1"/>
                <w:color w:val="auto"/>
              </w:rPr>
              <w:t>Justin C. Bird</w:t>
            </w:r>
          </w:p>
        </w:tc>
        <w:tc>
          <w:tcPr>
            <w:tcW w:w="640" w:type="dxa"/>
            <w:vAlign w:val="bottom"/>
            <w:tcBorders>
              <w:bottom w:val="single" w:sz="8" w:color="F2F2F2"/>
            </w:tcBorders>
            <w:shd w:val="clear" w:color="auto" w:fill="F2F2F2"/>
          </w:tcPr>
          <w:p>
            <w:pPr>
              <w:spacing w:after="0"/>
              <w:rPr>
                <w:sz w:val="21"/>
                <w:szCs w:val="21"/>
                <w:color w:val="auto"/>
              </w:rPr>
            </w:pPr>
          </w:p>
        </w:tc>
        <w:tc>
          <w:tcPr>
            <w:tcW w:w="980" w:type="dxa"/>
            <w:vAlign w:val="bottom"/>
            <w:tcBorders>
              <w:bottom w:val="single" w:sz="8" w:color="F2F2F2"/>
            </w:tcBorders>
            <w:shd w:val="clear" w:color="auto" w:fill="F2F2F2"/>
          </w:tcPr>
          <w:p>
            <w:pPr>
              <w:spacing w:after="0"/>
              <w:rPr>
                <w:sz w:val="21"/>
                <w:szCs w:val="21"/>
                <w:color w:val="auto"/>
              </w:rPr>
            </w:pPr>
          </w:p>
        </w:tc>
        <w:tc>
          <w:tcPr>
            <w:tcW w:w="740" w:type="dxa"/>
            <w:vAlign w:val="bottom"/>
            <w:tcBorders>
              <w:bottom w:val="single" w:sz="8" w:color="F2F2F2"/>
            </w:tcBorders>
            <w:shd w:val="clear" w:color="auto" w:fill="F2F2F2"/>
          </w:tcPr>
          <w:p>
            <w:pPr>
              <w:spacing w:after="0"/>
              <w:rPr>
                <w:sz w:val="21"/>
                <w:szCs w:val="21"/>
                <w:color w:val="auto"/>
              </w:rPr>
            </w:pPr>
          </w:p>
        </w:tc>
        <w:tc>
          <w:tcPr>
            <w:tcW w:w="102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960" w:type="dxa"/>
            <w:vAlign w:val="bottom"/>
            <w:tcBorders>
              <w:bottom w:val="single" w:sz="8" w:color="F2F2F2"/>
            </w:tcBorders>
            <w:shd w:val="clear" w:color="auto" w:fill="F2F2F2"/>
          </w:tcPr>
          <w:p>
            <w:pPr>
              <w:spacing w:after="0"/>
              <w:rPr>
                <w:sz w:val="21"/>
                <w:szCs w:val="21"/>
                <w:color w:val="auto"/>
              </w:rPr>
            </w:pPr>
          </w:p>
        </w:tc>
        <w:tc>
          <w:tcPr>
            <w:tcW w:w="820" w:type="dxa"/>
            <w:vAlign w:val="bottom"/>
            <w:tcBorders>
              <w:bottom w:val="single" w:sz="8" w:color="F2F2F2"/>
            </w:tcBorders>
            <w:shd w:val="clear" w:color="auto" w:fill="F2F2F2"/>
          </w:tcPr>
          <w:p>
            <w:pPr>
              <w:spacing w:after="0"/>
              <w:rPr>
                <w:sz w:val="21"/>
                <w:szCs w:val="21"/>
                <w:color w:val="auto"/>
              </w:rPr>
            </w:pPr>
          </w:p>
        </w:tc>
        <w:tc>
          <w:tcPr>
            <w:tcW w:w="720" w:type="dxa"/>
            <w:vAlign w:val="bottom"/>
            <w:tcBorders>
              <w:bottom w:val="single" w:sz="8" w:color="F2F2F2"/>
            </w:tcBorders>
            <w:shd w:val="clear" w:color="auto" w:fill="F2F2F2"/>
          </w:tcPr>
          <w:p>
            <w:pPr>
              <w:spacing w:after="0"/>
              <w:rPr>
                <w:sz w:val="21"/>
                <w:szCs w:val="21"/>
                <w:color w:val="auto"/>
              </w:rPr>
            </w:pPr>
          </w:p>
        </w:tc>
      </w:tr>
      <w:tr>
        <w:trPr>
          <w:trHeight w:val="247"/>
        </w:trPr>
        <w:tc>
          <w:tcPr>
            <w:tcW w:w="4640" w:type="dxa"/>
            <w:vAlign w:val="bottom"/>
            <w:tcBorders>
              <w:top w:val="single" w:sz="8" w:color="7F7F7F"/>
              <w:bottom w:val="single" w:sz="8" w:color="7F7F7F"/>
            </w:tcBorders>
          </w:tcPr>
          <w:p>
            <w:pPr>
              <w:ind w:left="200"/>
              <w:spacing w:after="0"/>
              <w:rPr>
                <w:sz w:val="20"/>
                <w:szCs w:val="20"/>
                <w:color w:val="auto"/>
              </w:rPr>
            </w:pPr>
            <w:r>
              <w:rPr>
                <w:rFonts w:ascii="Arial" w:cs="Arial" w:eastAsia="Arial" w:hAnsi="Arial"/>
                <w:sz w:val="12"/>
                <w:szCs w:val="12"/>
                <w:color w:val="auto"/>
              </w:rPr>
              <w:t>Lump Sum Cash Payment</w:t>
            </w:r>
            <w:r>
              <w:rPr>
                <w:rFonts w:ascii="Arial" w:cs="Arial" w:eastAsia="Arial" w:hAnsi="Arial"/>
                <w:sz w:val="18"/>
                <w:szCs w:val="18"/>
                <w:color w:val="auto"/>
                <w:vertAlign w:val="superscript"/>
              </w:rPr>
              <w:t>(A)</w:t>
            </w:r>
          </w:p>
        </w:tc>
        <w:tc>
          <w:tcPr>
            <w:tcW w:w="640" w:type="dxa"/>
            <w:vAlign w:val="bottom"/>
            <w:tcBorders>
              <w:top w:val="single" w:sz="8" w:color="7F7F7F"/>
              <w:bottom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7F7F7F"/>
              <w:bottom w:val="single" w:sz="8" w:color="7F7F7F"/>
            </w:tcBorders>
          </w:tcPr>
          <w:p>
            <w:pPr>
              <w:jc w:val="right"/>
              <w:ind w:right="298"/>
              <w:spacing w:after="0"/>
              <w:rPr>
                <w:sz w:val="20"/>
                <w:szCs w:val="20"/>
                <w:color w:val="auto"/>
              </w:rPr>
            </w:pPr>
            <w:r>
              <w:rPr>
                <w:rFonts w:ascii="Arial" w:cs="Arial" w:eastAsia="Arial" w:hAnsi="Arial"/>
                <w:sz w:val="12"/>
                <w:szCs w:val="12"/>
                <w:color w:val="auto"/>
              </w:rPr>
              <w:t>4,006,867</w:t>
            </w: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bottom w:val="single" w:sz="8" w:color="7F7F7F"/>
            </w:tcBorders>
          </w:tcPr>
          <w:p>
            <w:pPr>
              <w:jc w:val="right"/>
              <w:ind w:right="318"/>
              <w:spacing w:after="0"/>
              <w:rPr>
                <w:sz w:val="20"/>
                <w:szCs w:val="20"/>
                <w:color w:val="auto"/>
              </w:rPr>
            </w:pPr>
            <w:r>
              <w:rPr>
                <w:rFonts w:ascii="Arial" w:cs="Arial" w:eastAsia="Arial" w:hAnsi="Arial"/>
                <w:sz w:val="12"/>
                <w:szCs w:val="12"/>
                <w:color w:val="auto"/>
              </w:rPr>
              <w:t>6,010,300</w:t>
            </w:r>
          </w:p>
        </w:tc>
        <w:tc>
          <w:tcPr>
            <w:tcW w:w="400" w:type="dxa"/>
            <w:vAlign w:val="bottom"/>
            <w:tcBorders>
              <w:top w:val="single" w:sz="8" w:color="7F7F7F"/>
              <w:bottom w:val="single" w:sz="8" w:color="7F7F7F"/>
            </w:tcBorders>
          </w:tcPr>
          <w:p>
            <w:pPr>
              <w:spacing w:after="0"/>
              <w:rPr>
                <w:sz w:val="21"/>
                <w:szCs w:val="21"/>
                <w:color w:val="auto"/>
              </w:rPr>
            </w:pPr>
          </w:p>
        </w:tc>
        <w:tc>
          <w:tcPr>
            <w:tcW w:w="960" w:type="dxa"/>
            <w:vAlign w:val="bottom"/>
            <w:tcBorders>
              <w:top w:val="single" w:sz="8" w:color="7F7F7F"/>
              <w:bottom w:val="single" w:sz="8" w:color="7F7F7F"/>
            </w:tcBorders>
          </w:tcPr>
          <w:p>
            <w:pPr>
              <w:spacing w:after="0"/>
              <w:rPr>
                <w:sz w:val="21"/>
                <w:szCs w:val="21"/>
                <w:color w:val="auto"/>
              </w:rPr>
            </w:pPr>
          </w:p>
        </w:tc>
        <w:tc>
          <w:tcPr>
            <w:tcW w:w="820" w:type="dxa"/>
            <w:vAlign w:val="bottom"/>
            <w:tcBorders>
              <w:top w:val="single" w:sz="8" w:color="7F7F7F"/>
              <w:bottom w:val="single" w:sz="8" w:color="7F7F7F"/>
            </w:tcBorders>
          </w:tcPr>
          <w:p>
            <w:pPr>
              <w:spacing w:after="0"/>
              <w:rPr>
                <w:sz w:val="21"/>
                <w:szCs w:val="21"/>
                <w:color w:val="auto"/>
              </w:rPr>
            </w:pPr>
          </w:p>
        </w:tc>
        <w:tc>
          <w:tcPr>
            <w:tcW w:w="720" w:type="dxa"/>
            <w:vAlign w:val="bottom"/>
            <w:tcBorders>
              <w:top w:val="single" w:sz="8" w:color="7F7F7F"/>
              <w:bottom w:val="single" w:sz="8" w:color="7F7F7F"/>
            </w:tcBorders>
          </w:tcPr>
          <w:p>
            <w:pPr>
              <w:spacing w:after="0"/>
              <w:rPr>
                <w:sz w:val="21"/>
                <w:szCs w:val="21"/>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Acceleration of Existing Equity Awards</w:t>
            </w:r>
            <w:r>
              <w:rPr>
                <w:rFonts w:ascii="Arial" w:cs="Arial" w:eastAsia="Arial" w:hAnsi="Arial"/>
                <w:sz w:val="18"/>
                <w:szCs w:val="18"/>
                <w:color w:val="auto"/>
                <w:vertAlign w:val="superscript"/>
              </w:rPr>
              <w:t>(B)</w:t>
            </w:r>
          </w:p>
        </w:tc>
        <w:tc>
          <w:tcPr>
            <w:tcW w:w="640" w:type="dxa"/>
            <w:vAlign w:val="bottom"/>
            <w:tcBorders>
              <w:bottom w:val="single" w:sz="8" w:color="7F7F7F"/>
            </w:tcBorders>
            <w:shd w:val="clear" w:color="auto" w:fill="F2F2F2"/>
          </w:tcPr>
          <w:p>
            <w:pPr>
              <w:spacing w:after="0"/>
              <w:rPr>
                <w:sz w:val="21"/>
                <w:szCs w:val="21"/>
                <w:color w:val="auto"/>
              </w:rPr>
            </w:pPr>
          </w:p>
        </w:tc>
        <w:tc>
          <w:tcPr>
            <w:tcW w:w="980" w:type="dxa"/>
            <w:vAlign w:val="bottom"/>
            <w:tcBorders>
              <w:bottom w:val="single" w:sz="8" w:color="7F7F7F"/>
            </w:tcBorders>
            <w:shd w:val="clear" w:color="auto" w:fill="F2F2F2"/>
          </w:tcPr>
          <w:p>
            <w:pPr>
              <w:spacing w:after="0"/>
              <w:rPr>
                <w:sz w:val="21"/>
                <w:szCs w:val="21"/>
                <w:color w:val="auto"/>
              </w:rPr>
            </w:pP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5,145,358</w:t>
            </w:r>
          </w:p>
        </w:tc>
        <w:tc>
          <w:tcPr>
            <w:tcW w:w="40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7F7F7F"/>
            </w:tcBorders>
            <w:shd w:val="clear" w:color="auto" w:fill="F2F2F2"/>
          </w:tcPr>
          <w:p>
            <w:pPr>
              <w:jc w:val="right"/>
              <w:ind w:right="258"/>
              <w:spacing w:after="0"/>
              <w:rPr>
                <w:sz w:val="20"/>
                <w:szCs w:val="20"/>
                <w:color w:val="auto"/>
              </w:rPr>
            </w:pPr>
            <w:r>
              <w:rPr>
                <w:rFonts w:ascii="Arial" w:cs="Arial" w:eastAsia="Arial" w:hAnsi="Arial"/>
                <w:sz w:val="12"/>
                <w:szCs w:val="12"/>
                <w:color w:val="auto"/>
              </w:rPr>
              <w:t>206,499</w:t>
            </w:r>
          </w:p>
        </w:tc>
        <w:tc>
          <w:tcPr>
            <w:tcW w:w="820" w:type="dxa"/>
            <w:vAlign w:val="bottom"/>
            <w:tcBorders>
              <w:bottom w:val="single" w:sz="8" w:color="7F7F7F"/>
            </w:tcBorders>
            <w:shd w:val="clear" w:color="auto" w:fill="F2F2F2"/>
          </w:tcPr>
          <w:p>
            <w:pPr>
              <w:spacing w:after="0"/>
              <w:rPr>
                <w:sz w:val="21"/>
                <w:szCs w:val="21"/>
                <w:color w:val="auto"/>
              </w:rPr>
            </w:pPr>
          </w:p>
        </w:tc>
        <w:tc>
          <w:tcPr>
            <w:tcW w:w="720" w:type="dxa"/>
            <w:vAlign w:val="bottom"/>
            <w:tcBorders>
              <w:bottom w:val="single" w:sz="8" w:color="7F7F7F"/>
            </w:tcBorders>
            <w:shd w:val="clear" w:color="auto" w:fill="F2F2F2"/>
          </w:tcPr>
          <w:p>
            <w:pPr>
              <w:spacing w:after="0"/>
              <w:rPr>
                <w:sz w:val="21"/>
                <w:szCs w:val="21"/>
                <w:color w:val="auto"/>
              </w:rPr>
            </w:pP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Enhanced Retirement Benefits</w:t>
            </w:r>
            <w:r>
              <w:rPr>
                <w:rFonts w:ascii="Arial" w:cs="Arial" w:eastAsia="Arial" w:hAnsi="Arial"/>
                <w:sz w:val="18"/>
                <w:szCs w:val="18"/>
                <w:color w:val="auto"/>
                <w:vertAlign w:val="superscript"/>
              </w:rPr>
              <w:t>(C)</w:t>
            </w:r>
          </w:p>
        </w:tc>
        <w:tc>
          <w:tcPr>
            <w:tcW w:w="640" w:type="dxa"/>
            <w:vAlign w:val="bottom"/>
            <w:tcBorders>
              <w:bottom w:val="single" w:sz="8" w:color="7F7F7F"/>
            </w:tcBorders>
          </w:tcPr>
          <w:p>
            <w:pPr>
              <w:spacing w:after="0"/>
              <w:rPr>
                <w:sz w:val="21"/>
                <w:szCs w:val="21"/>
                <w:color w:val="auto"/>
              </w:rPr>
            </w:pPr>
          </w:p>
        </w:tc>
        <w:tc>
          <w:tcPr>
            <w:tcW w:w="980" w:type="dxa"/>
            <w:vAlign w:val="bottom"/>
            <w:tcBorders>
              <w:bottom w:val="single" w:sz="8" w:color="7F7F7F"/>
            </w:tcBorders>
          </w:tcPr>
          <w:p>
            <w:pPr>
              <w:spacing w:after="0"/>
              <w:rPr>
                <w:sz w:val="21"/>
                <w:szCs w:val="21"/>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tcPr>
          <w:p>
            <w:pPr>
              <w:jc w:val="right"/>
              <w:ind w:right="318"/>
              <w:spacing w:after="0"/>
              <w:rPr>
                <w:sz w:val="20"/>
                <w:szCs w:val="20"/>
                <w:color w:val="auto"/>
              </w:rPr>
            </w:pPr>
            <w:r>
              <w:rPr>
                <w:rFonts w:ascii="Arial" w:cs="Arial" w:eastAsia="Arial" w:hAnsi="Arial"/>
                <w:sz w:val="12"/>
                <w:szCs w:val="12"/>
                <w:color w:val="auto"/>
              </w:rPr>
              <w:t>11,690,877</w:t>
            </w:r>
          </w:p>
        </w:tc>
        <w:tc>
          <w:tcPr>
            <w:tcW w:w="40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7F7F7F"/>
            </w:tcBorders>
          </w:tcPr>
          <w:p>
            <w:pPr>
              <w:jc w:val="right"/>
              <w:ind w:right="258"/>
              <w:spacing w:after="0"/>
              <w:rPr>
                <w:sz w:val="20"/>
                <w:szCs w:val="20"/>
                <w:color w:val="auto"/>
              </w:rPr>
            </w:pPr>
            <w:r>
              <w:rPr>
                <w:rFonts w:ascii="Arial" w:cs="Arial" w:eastAsia="Arial" w:hAnsi="Arial"/>
                <w:sz w:val="12"/>
                <w:szCs w:val="12"/>
                <w:color w:val="auto"/>
              </w:rPr>
              <w:t>11,783,263</w:t>
            </w:r>
          </w:p>
        </w:tc>
        <w:tc>
          <w:tcPr>
            <w:tcW w:w="820" w:type="dxa"/>
            <w:vAlign w:val="bottom"/>
            <w:tcBorders>
              <w:bottom w:val="single" w:sz="8" w:color="7F7F7F"/>
            </w:tcBorders>
          </w:tcPr>
          <w:p>
            <w:pPr>
              <w:spacing w:after="0"/>
              <w:rPr>
                <w:sz w:val="21"/>
                <w:szCs w:val="21"/>
                <w:color w:val="auto"/>
              </w:rPr>
            </w:pPr>
          </w:p>
        </w:tc>
        <w:tc>
          <w:tcPr>
            <w:tcW w:w="720" w:type="dxa"/>
            <w:vAlign w:val="bottom"/>
            <w:tcBorders>
              <w:bottom w:val="single" w:sz="8" w:color="7F7F7F"/>
            </w:tcBorders>
          </w:tcPr>
          <w:p>
            <w:pPr>
              <w:spacing w:after="0"/>
              <w:rPr>
                <w:sz w:val="21"/>
                <w:szCs w:val="21"/>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Health &amp; Welfare Benefits</w:t>
            </w:r>
            <w:r>
              <w:rPr>
                <w:rFonts w:ascii="Arial" w:cs="Arial" w:eastAsia="Arial" w:hAnsi="Arial"/>
                <w:sz w:val="18"/>
                <w:szCs w:val="18"/>
                <w:color w:val="auto"/>
                <w:vertAlign w:val="superscript"/>
              </w:rPr>
              <w:t>(D)</w:t>
            </w:r>
          </w:p>
        </w:tc>
        <w:tc>
          <w:tcPr>
            <w:tcW w:w="640" w:type="dxa"/>
            <w:vAlign w:val="bottom"/>
            <w:tcBorders>
              <w:bottom w:val="single" w:sz="8" w:color="7F7F7F"/>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shd w:val="clear" w:color="auto" w:fill="F2F2F2"/>
          </w:tcPr>
          <w:p>
            <w:pPr>
              <w:jc w:val="right"/>
              <w:ind w:right="298"/>
              <w:spacing w:after="0"/>
              <w:rPr>
                <w:sz w:val="20"/>
                <w:szCs w:val="20"/>
                <w:color w:val="auto"/>
              </w:rPr>
            </w:pPr>
            <w:r>
              <w:rPr>
                <w:rFonts w:ascii="Arial" w:cs="Arial" w:eastAsia="Arial" w:hAnsi="Arial"/>
                <w:sz w:val="12"/>
                <w:szCs w:val="12"/>
                <w:color w:val="auto"/>
              </w:rPr>
              <w:t>67,621</w:t>
            </w: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132,643</w:t>
            </w:r>
          </w:p>
        </w:tc>
        <w:tc>
          <w:tcPr>
            <w:tcW w:w="400" w:type="dxa"/>
            <w:vAlign w:val="bottom"/>
            <w:tcBorders>
              <w:bottom w:val="single" w:sz="8" w:color="7F7F7F"/>
            </w:tcBorders>
            <w:shd w:val="clear" w:color="auto" w:fill="F2F2F2"/>
          </w:tcPr>
          <w:p>
            <w:pPr>
              <w:spacing w:after="0"/>
              <w:rPr>
                <w:sz w:val="21"/>
                <w:szCs w:val="21"/>
                <w:color w:val="auto"/>
              </w:rPr>
            </w:pPr>
          </w:p>
        </w:tc>
        <w:tc>
          <w:tcPr>
            <w:tcW w:w="960" w:type="dxa"/>
            <w:vAlign w:val="bottom"/>
            <w:tcBorders>
              <w:bottom w:val="single" w:sz="8" w:color="7F7F7F"/>
            </w:tcBorders>
            <w:shd w:val="clear" w:color="auto" w:fill="F2F2F2"/>
          </w:tcPr>
          <w:p>
            <w:pPr>
              <w:spacing w:after="0"/>
              <w:rPr>
                <w:sz w:val="21"/>
                <w:szCs w:val="21"/>
                <w:color w:val="auto"/>
              </w:rPr>
            </w:pPr>
          </w:p>
        </w:tc>
        <w:tc>
          <w:tcPr>
            <w:tcW w:w="820" w:type="dxa"/>
            <w:vAlign w:val="bottom"/>
            <w:tcBorders>
              <w:bottom w:val="single" w:sz="8" w:color="7F7F7F"/>
            </w:tcBorders>
            <w:shd w:val="clear" w:color="auto" w:fill="F2F2F2"/>
          </w:tcPr>
          <w:p>
            <w:pPr>
              <w:spacing w:after="0"/>
              <w:rPr>
                <w:sz w:val="21"/>
                <w:szCs w:val="21"/>
                <w:color w:val="auto"/>
              </w:rPr>
            </w:pPr>
          </w:p>
        </w:tc>
        <w:tc>
          <w:tcPr>
            <w:tcW w:w="720" w:type="dxa"/>
            <w:vAlign w:val="bottom"/>
            <w:tcBorders>
              <w:bottom w:val="single" w:sz="8" w:color="7F7F7F"/>
            </w:tcBorders>
            <w:shd w:val="clear" w:color="auto" w:fill="F2F2F2"/>
          </w:tcPr>
          <w:p>
            <w:pPr>
              <w:spacing w:after="0"/>
              <w:rPr>
                <w:sz w:val="21"/>
                <w:szCs w:val="21"/>
                <w:color w:val="auto"/>
              </w:rPr>
            </w:pP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Financial Planning</w:t>
            </w:r>
            <w:r>
              <w:rPr>
                <w:rFonts w:ascii="Arial" w:cs="Arial" w:eastAsia="Arial" w:hAnsi="Arial"/>
                <w:sz w:val="18"/>
                <w:szCs w:val="18"/>
                <w:color w:val="auto"/>
                <w:vertAlign w:val="superscript"/>
              </w:rPr>
              <w:t>(E)</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tcPr>
          <w:p>
            <w:pPr>
              <w:jc w:val="right"/>
              <w:ind w:right="298"/>
              <w:spacing w:after="0"/>
              <w:rPr>
                <w:sz w:val="20"/>
                <w:szCs w:val="20"/>
                <w:color w:val="auto"/>
              </w:rPr>
            </w:pPr>
            <w:r>
              <w:rPr>
                <w:rFonts w:ascii="Arial" w:cs="Arial" w:eastAsia="Arial" w:hAnsi="Arial"/>
                <w:sz w:val="12"/>
                <w:szCs w:val="12"/>
                <w:color w:val="auto"/>
              </w:rPr>
              <w:t>50,000</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tcPr>
          <w:p>
            <w:pPr>
              <w:jc w:val="right"/>
              <w:ind w:right="318"/>
              <w:spacing w:after="0"/>
              <w:rPr>
                <w:sz w:val="20"/>
                <w:szCs w:val="20"/>
                <w:color w:val="auto"/>
              </w:rPr>
            </w:pPr>
            <w:r>
              <w:rPr>
                <w:rFonts w:ascii="Arial" w:cs="Arial" w:eastAsia="Arial" w:hAnsi="Arial"/>
                <w:sz w:val="12"/>
                <w:szCs w:val="12"/>
                <w:color w:val="auto"/>
              </w:rPr>
              <w:t>75,000</w:t>
            </w:r>
          </w:p>
        </w:tc>
        <w:tc>
          <w:tcPr>
            <w:tcW w:w="400" w:type="dxa"/>
            <w:vAlign w:val="bottom"/>
            <w:tcBorders>
              <w:bottom w:val="single" w:sz="8" w:color="7F7F7F"/>
            </w:tcBorders>
          </w:tcPr>
          <w:p>
            <w:pPr>
              <w:spacing w:after="0"/>
              <w:rPr>
                <w:sz w:val="21"/>
                <w:szCs w:val="21"/>
                <w:color w:val="auto"/>
              </w:rPr>
            </w:pPr>
          </w:p>
        </w:tc>
        <w:tc>
          <w:tcPr>
            <w:tcW w:w="960" w:type="dxa"/>
            <w:vAlign w:val="bottom"/>
            <w:tcBorders>
              <w:bottom w:val="single" w:sz="8" w:color="7F7F7F"/>
            </w:tcBorders>
          </w:tcPr>
          <w:p>
            <w:pPr>
              <w:spacing w:after="0"/>
              <w:rPr>
                <w:sz w:val="21"/>
                <w:szCs w:val="21"/>
                <w:color w:val="auto"/>
              </w:rPr>
            </w:pPr>
          </w:p>
        </w:tc>
        <w:tc>
          <w:tcPr>
            <w:tcW w:w="820" w:type="dxa"/>
            <w:vAlign w:val="bottom"/>
            <w:tcBorders>
              <w:bottom w:val="single" w:sz="8" w:color="7F7F7F"/>
            </w:tcBorders>
          </w:tcPr>
          <w:p>
            <w:pPr>
              <w:spacing w:after="0"/>
              <w:rPr>
                <w:sz w:val="21"/>
                <w:szCs w:val="21"/>
                <w:color w:val="auto"/>
              </w:rPr>
            </w:pPr>
          </w:p>
        </w:tc>
        <w:tc>
          <w:tcPr>
            <w:tcW w:w="720" w:type="dxa"/>
            <w:vAlign w:val="bottom"/>
            <w:tcBorders>
              <w:bottom w:val="single" w:sz="8" w:color="7F7F7F"/>
            </w:tcBorders>
          </w:tcPr>
          <w:p>
            <w:pPr>
              <w:spacing w:after="0"/>
              <w:rPr>
                <w:sz w:val="21"/>
                <w:szCs w:val="21"/>
                <w:color w:val="auto"/>
              </w:rPr>
            </w:pPr>
          </w:p>
        </w:tc>
      </w:tr>
      <w:tr>
        <w:trPr>
          <w:trHeight w:val="252"/>
        </w:trPr>
        <w:tc>
          <w:tcPr>
            <w:tcW w:w="464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12"/>
                <w:szCs w:val="12"/>
                <w:color w:val="auto"/>
              </w:rPr>
              <w:t>Outplacement</w:t>
            </w:r>
          </w:p>
        </w:tc>
        <w:tc>
          <w:tcPr>
            <w:tcW w:w="64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50,000</w:t>
            </w:r>
          </w:p>
        </w:tc>
        <w:tc>
          <w:tcPr>
            <w:tcW w:w="7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2F2F2"/>
            </w:tcBorders>
            <w:shd w:val="clear" w:color="auto" w:fill="F2F2F2"/>
          </w:tcPr>
          <w:p>
            <w:pPr>
              <w:jc w:val="right"/>
              <w:ind w:right="318"/>
              <w:spacing w:after="0"/>
              <w:rPr>
                <w:sz w:val="20"/>
                <w:szCs w:val="20"/>
                <w:color w:val="auto"/>
              </w:rPr>
            </w:pPr>
            <w:r>
              <w:rPr>
                <w:rFonts w:ascii="Arial" w:cs="Arial" w:eastAsia="Arial" w:hAnsi="Arial"/>
                <w:sz w:val="12"/>
                <w:szCs w:val="12"/>
                <w:color w:val="auto"/>
              </w:rPr>
              <w:t>50,000</w:t>
            </w:r>
          </w:p>
        </w:tc>
        <w:tc>
          <w:tcPr>
            <w:tcW w:w="400" w:type="dxa"/>
            <w:vAlign w:val="bottom"/>
            <w:tcBorders>
              <w:bottom w:val="single" w:sz="8" w:color="F2F2F2"/>
            </w:tcBorders>
            <w:shd w:val="clear" w:color="auto" w:fill="F2F2F2"/>
          </w:tcPr>
          <w:p>
            <w:pPr>
              <w:spacing w:after="0"/>
              <w:rPr>
                <w:sz w:val="21"/>
                <w:szCs w:val="21"/>
                <w:color w:val="auto"/>
              </w:rPr>
            </w:pPr>
          </w:p>
        </w:tc>
        <w:tc>
          <w:tcPr>
            <w:tcW w:w="960" w:type="dxa"/>
            <w:vAlign w:val="bottom"/>
            <w:tcBorders>
              <w:bottom w:val="single" w:sz="8" w:color="F2F2F2"/>
            </w:tcBorders>
            <w:shd w:val="clear" w:color="auto" w:fill="F2F2F2"/>
          </w:tcPr>
          <w:p>
            <w:pPr>
              <w:spacing w:after="0"/>
              <w:rPr>
                <w:sz w:val="21"/>
                <w:szCs w:val="21"/>
                <w:color w:val="auto"/>
              </w:rPr>
            </w:pPr>
          </w:p>
        </w:tc>
        <w:tc>
          <w:tcPr>
            <w:tcW w:w="820" w:type="dxa"/>
            <w:vAlign w:val="bottom"/>
            <w:tcBorders>
              <w:bottom w:val="single" w:sz="8" w:color="F2F2F2"/>
            </w:tcBorders>
            <w:shd w:val="clear" w:color="auto" w:fill="F2F2F2"/>
          </w:tcPr>
          <w:p>
            <w:pPr>
              <w:spacing w:after="0"/>
              <w:rPr>
                <w:sz w:val="21"/>
                <w:szCs w:val="21"/>
                <w:color w:val="auto"/>
              </w:rPr>
            </w:pPr>
          </w:p>
        </w:tc>
        <w:tc>
          <w:tcPr>
            <w:tcW w:w="720" w:type="dxa"/>
            <w:vAlign w:val="bottom"/>
            <w:tcBorders>
              <w:bottom w:val="single" w:sz="8" w:color="F2F2F2"/>
            </w:tcBorders>
            <w:shd w:val="clear" w:color="auto" w:fill="F2F2F2"/>
          </w:tcPr>
          <w:p>
            <w:pPr>
              <w:spacing w:after="0"/>
              <w:rPr>
                <w:sz w:val="21"/>
                <w:szCs w:val="21"/>
                <w:color w:val="auto"/>
              </w:rPr>
            </w:pPr>
          </w:p>
        </w:tc>
      </w:tr>
      <w:tr>
        <w:trPr>
          <w:trHeight w:val="194"/>
        </w:trPr>
        <w:tc>
          <w:tcPr>
            <w:tcW w:w="4640" w:type="dxa"/>
            <w:vAlign w:val="bottom"/>
            <w:tcBorders>
              <w:top w:val="single" w:sz="8" w:color="7F7F7F"/>
            </w:tcBorders>
          </w:tcPr>
          <w:p>
            <w:pPr>
              <w:ind w:left="200"/>
              <w:spacing w:after="0"/>
              <w:rPr>
                <w:sz w:val="20"/>
                <w:szCs w:val="20"/>
                <w:color w:val="auto"/>
              </w:rPr>
            </w:pPr>
            <w:r>
              <w:rPr>
                <w:rFonts w:ascii="Arial" w:cs="Arial" w:eastAsia="Arial" w:hAnsi="Arial"/>
                <w:sz w:val="12"/>
                <w:szCs w:val="12"/>
                <w:color w:val="auto"/>
              </w:rPr>
              <w:t>Total</w:t>
            </w:r>
          </w:p>
        </w:tc>
        <w:tc>
          <w:tcPr>
            <w:tcW w:w="640" w:type="dxa"/>
            <w:vAlign w:val="bottom"/>
            <w:tcBorders>
              <w:top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7F7F7F"/>
            </w:tcBorders>
          </w:tcPr>
          <w:p>
            <w:pPr>
              <w:jc w:val="right"/>
              <w:ind w:right="298"/>
              <w:spacing w:after="0"/>
              <w:rPr>
                <w:sz w:val="20"/>
                <w:szCs w:val="20"/>
                <w:color w:val="auto"/>
              </w:rPr>
            </w:pPr>
            <w:r>
              <w:rPr>
                <w:rFonts w:ascii="Arial" w:cs="Arial" w:eastAsia="Arial" w:hAnsi="Arial"/>
                <w:sz w:val="12"/>
                <w:szCs w:val="12"/>
                <w:color w:val="auto"/>
              </w:rPr>
              <w:t>4,174,488</w:t>
            </w:r>
          </w:p>
        </w:tc>
        <w:tc>
          <w:tcPr>
            <w:tcW w:w="7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tcBorders>
          </w:tcPr>
          <w:p>
            <w:pPr>
              <w:jc w:val="right"/>
              <w:ind w:right="318"/>
              <w:spacing w:after="0"/>
              <w:rPr>
                <w:sz w:val="20"/>
                <w:szCs w:val="20"/>
                <w:color w:val="auto"/>
              </w:rPr>
            </w:pPr>
            <w:r>
              <w:rPr>
                <w:rFonts w:ascii="Arial" w:cs="Arial" w:eastAsia="Arial" w:hAnsi="Arial"/>
                <w:sz w:val="12"/>
                <w:szCs w:val="12"/>
                <w:color w:val="auto"/>
              </w:rPr>
              <w:t>23,104,178</w:t>
            </w:r>
          </w:p>
        </w:tc>
        <w:tc>
          <w:tcPr>
            <w:tcW w:w="4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7F7F7F"/>
            </w:tcBorders>
          </w:tcPr>
          <w:p>
            <w:pPr>
              <w:jc w:val="right"/>
              <w:ind w:right="258"/>
              <w:spacing w:after="0"/>
              <w:rPr>
                <w:sz w:val="20"/>
                <w:szCs w:val="20"/>
                <w:color w:val="auto"/>
              </w:rPr>
            </w:pPr>
            <w:r>
              <w:rPr>
                <w:rFonts w:ascii="Arial" w:cs="Arial" w:eastAsia="Arial" w:hAnsi="Arial"/>
                <w:sz w:val="12"/>
                <w:szCs w:val="12"/>
                <w:color w:val="auto"/>
              </w:rPr>
              <w:t>11,989,762</w:t>
            </w:r>
          </w:p>
        </w:tc>
        <w:tc>
          <w:tcPr>
            <w:tcW w:w="8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w:t>
            </w:r>
          </w:p>
        </w:tc>
      </w:tr>
      <w:tr>
        <w:trPr>
          <w:trHeight w:val="54"/>
        </w:trPr>
        <w:tc>
          <w:tcPr>
            <w:tcW w:w="4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52"/>
        </w:trPr>
        <w:tc>
          <w:tcPr>
            <w:tcW w:w="4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2"/>
                <w:szCs w:val="12"/>
                <w:b w:val="1"/>
                <w:bCs w:val="1"/>
                <w:color w:val="auto"/>
              </w:rPr>
              <w:t>Caroline A. Winn</w:t>
            </w:r>
          </w:p>
        </w:tc>
        <w:tc>
          <w:tcPr>
            <w:tcW w:w="640" w:type="dxa"/>
            <w:vAlign w:val="bottom"/>
            <w:tcBorders>
              <w:bottom w:val="single" w:sz="8" w:color="F2F2F2"/>
            </w:tcBorders>
            <w:shd w:val="clear" w:color="auto" w:fill="F2F2F2"/>
          </w:tcPr>
          <w:p>
            <w:pPr>
              <w:spacing w:after="0"/>
              <w:rPr>
                <w:sz w:val="21"/>
                <w:szCs w:val="21"/>
                <w:color w:val="auto"/>
              </w:rPr>
            </w:pPr>
          </w:p>
        </w:tc>
        <w:tc>
          <w:tcPr>
            <w:tcW w:w="980" w:type="dxa"/>
            <w:vAlign w:val="bottom"/>
            <w:tcBorders>
              <w:bottom w:val="single" w:sz="8" w:color="F2F2F2"/>
            </w:tcBorders>
            <w:shd w:val="clear" w:color="auto" w:fill="F2F2F2"/>
          </w:tcPr>
          <w:p>
            <w:pPr>
              <w:spacing w:after="0"/>
              <w:rPr>
                <w:sz w:val="21"/>
                <w:szCs w:val="21"/>
                <w:color w:val="auto"/>
              </w:rPr>
            </w:pPr>
          </w:p>
        </w:tc>
        <w:tc>
          <w:tcPr>
            <w:tcW w:w="740" w:type="dxa"/>
            <w:vAlign w:val="bottom"/>
            <w:tcBorders>
              <w:bottom w:val="single" w:sz="8" w:color="F2F2F2"/>
            </w:tcBorders>
            <w:shd w:val="clear" w:color="auto" w:fill="F2F2F2"/>
          </w:tcPr>
          <w:p>
            <w:pPr>
              <w:spacing w:after="0"/>
              <w:rPr>
                <w:sz w:val="21"/>
                <w:szCs w:val="21"/>
                <w:color w:val="auto"/>
              </w:rPr>
            </w:pPr>
          </w:p>
        </w:tc>
        <w:tc>
          <w:tcPr>
            <w:tcW w:w="102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960" w:type="dxa"/>
            <w:vAlign w:val="bottom"/>
            <w:tcBorders>
              <w:bottom w:val="single" w:sz="8" w:color="F2F2F2"/>
            </w:tcBorders>
            <w:shd w:val="clear" w:color="auto" w:fill="F2F2F2"/>
          </w:tcPr>
          <w:p>
            <w:pPr>
              <w:spacing w:after="0"/>
              <w:rPr>
                <w:sz w:val="21"/>
                <w:szCs w:val="21"/>
                <w:color w:val="auto"/>
              </w:rPr>
            </w:pPr>
          </w:p>
        </w:tc>
        <w:tc>
          <w:tcPr>
            <w:tcW w:w="820" w:type="dxa"/>
            <w:vAlign w:val="bottom"/>
            <w:tcBorders>
              <w:bottom w:val="single" w:sz="8" w:color="F2F2F2"/>
            </w:tcBorders>
            <w:shd w:val="clear" w:color="auto" w:fill="F2F2F2"/>
          </w:tcPr>
          <w:p>
            <w:pPr>
              <w:spacing w:after="0"/>
              <w:rPr>
                <w:sz w:val="21"/>
                <w:szCs w:val="21"/>
                <w:color w:val="auto"/>
              </w:rPr>
            </w:pPr>
          </w:p>
        </w:tc>
        <w:tc>
          <w:tcPr>
            <w:tcW w:w="720" w:type="dxa"/>
            <w:vAlign w:val="bottom"/>
            <w:tcBorders>
              <w:bottom w:val="single" w:sz="8" w:color="F2F2F2"/>
            </w:tcBorders>
            <w:shd w:val="clear" w:color="auto" w:fill="F2F2F2"/>
          </w:tcPr>
          <w:p>
            <w:pPr>
              <w:spacing w:after="0"/>
              <w:rPr>
                <w:sz w:val="21"/>
                <w:szCs w:val="21"/>
                <w:color w:val="auto"/>
              </w:rPr>
            </w:pPr>
          </w:p>
        </w:tc>
      </w:tr>
      <w:tr>
        <w:trPr>
          <w:trHeight w:val="247"/>
        </w:trPr>
        <w:tc>
          <w:tcPr>
            <w:tcW w:w="4640" w:type="dxa"/>
            <w:vAlign w:val="bottom"/>
            <w:tcBorders>
              <w:top w:val="single" w:sz="8" w:color="7F7F7F"/>
              <w:bottom w:val="single" w:sz="8" w:color="7F7F7F"/>
            </w:tcBorders>
          </w:tcPr>
          <w:p>
            <w:pPr>
              <w:ind w:left="200"/>
              <w:spacing w:after="0"/>
              <w:rPr>
                <w:sz w:val="20"/>
                <w:szCs w:val="20"/>
                <w:color w:val="auto"/>
              </w:rPr>
            </w:pPr>
            <w:r>
              <w:rPr>
                <w:rFonts w:ascii="Arial" w:cs="Arial" w:eastAsia="Arial" w:hAnsi="Arial"/>
                <w:sz w:val="12"/>
                <w:szCs w:val="12"/>
                <w:color w:val="auto"/>
              </w:rPr>
              <w:t>Lump Sum Cash Payment</w:t>
            </w:r>
            <w:r>
              <w:rPr>
                <w:rFonts w:ascii="Arial" w:cs="Arial" w:eastAsia="Arial" w:hAnsi="Arial"/>
                <w:sz w:val="18"/>
                <w:szCs w:val="18"/>
                <w:color w:val="auto"/>
                <w:vertAlign w:val="superscript"/>
              </w:rPr>
              <w:t>(A)</w:t>
            </w:r>
          </w:p>
        </w:tc>
        <w:tc>
          <w:tcPr>
            <w:tcW w:w="640" w:type="dxa"/>
            <w:vAlign w:val="bottom"/>
            <w:tcBorders>
              <w:top w:val="single" w:sz="8" w:color="7F7F7F"/>
              <w:bottom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7F7F7F"/>
              <w:bottom w:val="single" w:sz="8" w:color="7F7F7F"/>
            </w:tcBorders>
          </w:tcPr>
          <w:p>
            <w:pPr>
              <w:jc w:val="right"/>
              <w:ind w:right="298"/>
              <w:spacing w:after="0"/>
              <w:rPr>
                <w:sz w:val="20"/>
                <w:szCs w:val="20"/>
                <w:color w:val="auto"/>
              </w:rPr>
            </w:pPr>
            <w:r>
              <w:rPr>
                <w:rFonts w:ascii="Arial" w:cs="Arial" w:eastAsia="Arial" w:hAnsi="Arial"/>
                <w:sz w:val="12"/>
                <w:szCs w:val="12"/>
                <w:color w:val="auto"/>
              </w:rPr>
              <w:t>3,710,400</w:t>
            </w: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bottom w:val="single" w:sz="8" w:color="7F7F7F"/>
            </w:tcBorders>
          </w:tcPr>
          <w:p>
            <w:pPr>
              <w:jc w:val="right"/>
              <w:ind w:right="318"/>
              <w:spacing w:after="0"/>
              <w:rPr>
                <w:sz w:val="20"/>
                <w:szCs w:val="20"/>
                <w:color w:val="auto"/>
              </w:rPr>
            </w:pPr>
            <w:r>
              <w:rPr>
                <w:rFonts w:ascii="Arial" w:cs="Arial" w:eastAsia="Arial" w:hAnsi="Arial"/>
                <w:sz w:val="12"/>
                <w:szCs w:val="12"/>
                <w:color w:val="auto"/>
              </w:rPr>
              <w:t>5,565,600</w:t>
            </w:r>
          </w:p>
        </w:tc>
        <w:tc>
          <w:tcPr>
            <w:tcW w:w="400" w:type="dxa"/>
            <w:vAlign w:val="bottom"/>
            <w:tcBorders>
              <w:top w:val="single" w:sz="8" w:color="7F7F7F"/>
              <w:bottom w:val="single" w:sz="8" w:color="7F7F7F"/>
            </w:tcBorders>
          </w:tcPr>
          <w:p>
            <w:pPr>
              <w:spacing w:after="0"/>
              <w:rPr>
                <w:sz w:val="21"/>
                <w:szCs w:val="21"/>
                <w:color w:val="auto"/>
              </w:rPr>
            </w:pPr>
          </w:p>
        </w:tc>
        <w:tc>
          <w:tcPr>
            <w:tcW w:w="960" w:type="dxa"/>
            <w:vAlign w:val="bottom"/>
            <w:tcBorders>
              <w:top w:val="single" w:sz="8" w:color="7F7F7F"/>
              <w:bottom w:val="single" w:sz="8" w:color="7F7F7F"/>
            </w:tcBorders>
          </w:tcPr>
          <w:p>
            <w:pPr>
              <w:spacing w:after="0"/>
              <w:rPr>
                <w:sz w:val="21"/>
                <w:szCs w:val="21"/>
                <w:color w:val="auto"/>
              </w:rPr>
            </w:pPr>
          </w:p>
        </w:tc>
        <w:tc>
          <w:tcPr>
            <w:tcW w:w="820" w:type="dxa"/>
            <w:vAlign w:val="bottom"/>
            <w:tcBorders>
              <w:top w:val="single" w:sz="8" w:color="7F7F7F"/>
              <w:bottom w:val="single" w:sz="8" w:color="7F7F7F"/>
            </w:tcBorders>
          </w:tcPr>
          <w:p>
            <w:pPr>
              <w:spacing w:after="0"/>
              <w:rPr>
                <w:sz w:val="21"/>
                <w:szCs w:val="21"/>
                <w:color w:val="auto"/>
              </w:rPr>
            </w:pPr>
          </w:p>
        </w:tc>
        <w:tc>
          <w:tcPr>
            <w:tcW w:w="720" w:type="dxa"/>
            <w:vAlign w:val="bottom"/>
            <w:tcBorders>
              <w:top w:val="single" w:sz="8" w:color="7F7F7F"/>
              <w:bottom w:val="single" w:sz="8" w:color="7F7F7F"/>
            </w:tcBorders>
          </w:tcPr>
          <w:p>
            <w:pPr>
              <w:spacing w:after="0"/>
              <w:rPr>
                <w:sz w:val="21"/>
                <w:szCs w:val="21"/>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Acceleration of Existing Equity Awards</w:t>
            </w:r>
            <w:r>
              <w:rPr>
                <w:rFonts w:ascii="Arial" w:cs="Arial" w:eastAsia="Arial" w:hAnsi="Arial"/>
                <w:sz w:val="18"/>
                <w:szCs w:val="18"/>
                <w:color w:val="auto"/>
                <w:vertAlign w:val="superscript"/>
              </w:rPr>
              <w:t>(B)</w:t>
            </w:r>
          </w:p>
        </w:tc>
        <w:tc>
          <w:tcPr>
            <w:tcW w:w="640" w:type="dxa"/>
            <w:vAlign w:val="bottom"/>
            <w:tcBorders>
              <w:bottom w:val="single" w:sz="8" w:color="7F7F7F"/>
            </w:tcBorders>
            <w:shd w:val="clear" w:color="auto" w:fill="F2F2F2"/>
          </w:tcPr>
          <w:p>
            <w:pPr>
              <w:spacing w:after="0"/>
              <w:rPr>
                <w:sz w:val="21"/>
                <w:szCs w:val="21"/>
                <w:color w:val="auto"/>
              </w:rPr>
            </w:pPr>
          </w:p>
        </w:tc>
        <w:tc>
          <w:tcPr>
            <w:tcW w:w="980" w:type="dxa"/>
            <w:vAlign w:val="bottom"/>
            <w:tcBorders>
              <w:bottom w:val="single" w:sz="8" w:color="7F7F7F"/>
            </w:tcBorders>
            <w:shd w:val="clear" w:color="auto" w:fill="F2F2F2"/>
          </w:tcPr>
          <w:p>
            <w:pPr>
              <w:spacing w:after="0"/>
              <w:rPr>
                <w:sz w:val="21"/>
                <w:szCs w:val="21"/>
                <w:color w:val="auto"/>
              </w:rPr>
            </w:pP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5,447,667</w:t>
            </w:r>
          </w:p>
        </w:tc>
        <w:tc>
          <w:tcPr>
            <w:tcW w:w="40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7F7F7F"/>
            </w:tcBorders>
            <w:shd w:val="clear" w:color="auto" w:fill="F2F2F2"/>
          </w:tcPr>
          <w:p>
            <w:pPr>
              <w:jc w:val="right"/>
              <w:ind w:right="258"/>
              <w:spacing w:after="0"/>
              <w:rPr>
                <w:sz w:val="20"/>
                <w:szCs w:val="20"/>
                <w:color w:val="auto"/>
              </w:rPr>
            </w:pPr>
            <w:r>
              <w:rPr>
                <w:rFonts w:ascii="Arial" w:cs="Arial" w:eastAsia="Arial" w:hAnsi="Arial"/>
                <w:sz w:val="12"/>
                <w:szCs w:val="12"/>
                <w:color w:val="auto"/>
              </w:rPr>
              <w:t>1,844,271</w:t>
            </w:r>
          </w:p>
        </w:tc>
        <w:tc>
          <w:tcPr>
            <w:tcW w:w="82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7F7F7F"/>
            </w:tcBorders>
            <w:shd w:val="clear" w:color="auto" w:fill="F2F2F2"/>
          </w:tcPr>
          <w:p>
            <w:pPr>
              <w:jc w:val="right"/>
              <w:ind w:right="38"/>
              <w:spacing w:after="0"/>
              <w:rPr>
                <w:sz w:val="20"/>
                <w:szCs w:val="20"/>
                <w:color w:val="auto"/>
              </w:rPr>
            </w:pPr>
            <w:r>
              <w:rPr>
                <w:rFonts w:ascii="Arial" w:cs="Arial" w:eastAsia="Arial" w:hAnsi="Arial"/>
                <w:sz w:val="12"/>
                <w:szCs w:val="12"/>
                <w:color w:val="auto"/>
              </w:rPr>
              <w:t>5,447,667</w:t>
            </w: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Enhanced Retirement Benefits</w:t>
            </w:r>
            <w:r>
              <w:rPr>
                <w:rFonts w:ascii="Arial" w:cs="Arial" w:eastAsia="Arial" w:hAnsi="Arial"/>
                <w:sz w:val="18"/>
                <w:szCs w:val="18"/>
                <w:color w:val="auto"/>
                <w:vertAlign w:val="superscript"/>
              </w:rPr>
              <w:t>(C)</w:t>
            </w:r>
          </w:p>
        </w:tc>
        <w:tc>
          <w:tcPr>
            <w:tcW w:w="640" w:type="dxa"/>
            <w:vAlign w:val="bottom"/>
            <w:tcBorders>
              <w:bottom w:val="single" w:sz="8" w:color="7F7F7F"/>
            </w:tcBorders>
          </w:tcPr>
          <w:p>
            <w:pPr>
              <w:spacing w:after="0"/>
              <w:rPr>
                <w:sz w:val="21"/>
                <w:szCs w:val="21"/>
                <w:color w:val="auto"/>
              </w:rPr>
            </w:pPr>
          </w:p>
        </w:tc>
        <w:tc>
          <w:tcPr>
            <w:tcW w:w="980" w:type="dxa"/>
            <w:vAlign w:val="bottom"/>
            <w:tcBorders>
              <w:bottom w:val="single" w:sz="8" w:color="7F7F7F"/>
            </w:tcBorders>
          </w:tcPr>
          <w:p>
            <w:pPr>
              <w:spacing w:after="0"/>
              <w:rPr>
                <w:sz w:val="21"/>
                <w:szCs w:val="21"/>
                <w:color w:val="auto"/>
              </w:rPr>
            </w:pPr>
          </w:p>
        </w:tc>
        <w:tc>
          <w:tcPr>
            <w:tcW w:w="740" w:type="dxa"/>
            <w:vAlign w:val="bottom"/>
            <w:tcBorders>
              <w:bottom w:val="single" w:sz="8" w:color="7F7F7F"/>
            </w:tcBorders>
          </w:tcPr>
          <w:p>
            <w:pPr>
              <w:spacing w:after="0"/>
              <w:rPr>
                <w:sz w:val="21"/>
                <w:szCs w:val="21"/>
                <w:color w:val="auto"/>
              </w:rPr>
            </w:pPr>
          </w:p>
        </w:tc>
        <w:tc>
          <w:tcPr>
            <w:tcW w:w="1020" w:type="dxa"/>
            <w:vAlign w:val="bottom"/>
            <w:tcBorders>
              <w:bottom w:val="single" w:sz="8" w:color="7F7F7F"/>
            </w:tcBorders>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960" w:type="dxa"/>
            <w:vAlign w:val="bottom"/>
            <w:tcBorders>
              <w:bottom w:val="single" w:sz="8" w:color="7F7F7F"/>
            </w:tcBorders>
          </w:tcPr>
          <w:p>
            <w:pPr>
              <w:spacing w:after="0"/>
              <w:rPr>
                <w:sz w:val="21"/>
                <w:szCs w:val="21"/>
                <w:color w:val="auto"/>
              </w:rPr>
            </w:pPr>
          </w:p>
        </w:tc>
        <w:tc>
          <w:tcPr>
            <w:tcW w:w="820" w:type="dxa"/>
            <w:vAlign w:val="bottom"/>
            <w:tcBorders>
              <w:bottom w:val="single" w:sz="8" w:color="7F7F7F"/>
            </w:tcBorders>
          </w:tcPr>
          <w:p>
            <w:pPr>
              <w:spacing w:after="0"/>
              <w:rPr>
                <w:sz w:val="21"/>
                <w:szCs w:val="21"/>
                <w:color w:val="auto"/>
              </w:rPr>
            </w:pPr>
          </w:p>
        </w:tc>
        <w:tc>
          <w:tcPr>
            <w:tcW w:w="720" w:type="dxa"/>
            <w:vAlign w:val="bottom"/>
            <w:tcBorders>
              <w:bottom w:val="single" w:sz="8" w:color="7F7F7F"/>
            </w:tcBorders>
          </w:tcPr>
          <w:p>
            <w:pPr>
              <w:spacing w:after="0"/>
              <w:rPr>
                <w:sz w:val="21"/>
                <w:szCs w:val="21"/>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Health &amp; Welfare Benefits</w:t>
            </w:r>
            <w:r>
              <w:rPr>
                <w:rFonts w:ascii="Arial" w:cs="Arial" w:eastAsia="Arial" w:hAnsi="Arial"/>
                <w:sz w:val="18"/>
                <w:szCs w:val="18"/>
                <w:color w:val="auto"/>
                <w:vertAlign w:val="superscript"/>
              </w:rPr>
              <w:t>(D)</w:t>
            </w:r>
          </w:p>
        </w:tc>
        <w:tc>
          <w:tcPr>
            <w:tcW w:w="640" w:type="dxa"/>
            <w:vAlign w:val="bottom"/>
            <w:tcBorders>
              <w:bottom w:val="single" w:sz="8" w:color="7F7F7F"/>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shd w:val="clear" w:color="auto" w:fill="F2F2F2"/>
          </w:tcPr>
          <w:p>
            <w:pPr>
              <w:jc w:val="right"/>
              <w:ind w:right="298"/>
              <w:spacing w:after="0"/>
              <w:rPr>
                <w:sz w:val="20"/>
                <w:szCs w:val="20"/>
                <w:color w:val="auto"/>
              </w:rPr>
            </w:pPr>
            <w:r>
              <w:rPr>
                <w:rFonts w:ascii="Arial" w:cs="Arial" w:eastAsia="Arial" w:hAnsi="Arial"/>
                <w:sz w:val="12"/>
                <w:szCs w:val="12"/>
                <w:color w:val="auto"/>
              </w:rPr>
              <w:t>39,361</w:t>
            </w: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100,224</w:t>
            </w:r>
          </w:p>
        </w:tc>
        <w:tc>
          <w:tcPr>
            <w:tcW w:w="400" w:type="dxa"/>
            <w:vAlign w:val="bottom"/>
            <w:tcBorders>
              <w:bottom w:val="single" w:sz="8" w:color="7F7F7F"/>
            </w:tcBorders>
            <w:shd w:val="clear" w:color="auto" w:fill="F2F2F2"/>
          </w:tcPr>
          <w:p>
            <w:pPr>
              <w:spacing w:after="0"/>
              <w:rPr>
                <w:sz w:val="21"/>
                <w:szCs w:val="21"/>
                <w:color w:val="auto"/>
              </w:rPr>
            </w:pPr>
          </w:p>
        </w:tc>
        <w:tc>
          <w:tcPr>
            <w:tcW w:w="960" w:type="dxa"/>
            <w:vAlign w:val="bottom"/>
            <w:tcBorders>
              <w:bottom w:val="single" w:sz="8" w:color="7F7F7F"/>
            </w:tcBorders>
            <w:shd w:val="clear" w:color="auto" w:fill="F2F2F2"/>
          </w:tcPr>
          <w:p>
            <w:pPr>
              <w:spacing w:after="0"/>
              <w:rPr>
                <w:sz w:val="21"/>
                <w:szCs w:val="21"/>
                <w:color w:val="auto"/>
              </w:rPr>
            </w:pPr>
          </w:p>
        </w:tc>
        <w:tc>
          <w:tcPr>
            <w:tcW w:w="820" w:type="dxa"/>
            <w:vAlign w:val="bottom"/>
            <w:tcBorders>
              <w:bottom w:val="single" w:sz="8" w:color="7F7F7F"/>
            </w:tcBorders>
            <w:shd w:val="clear" w:color="auto" w:fill="F2F2F2"/>
          </w:tcPr>
          <w:p>
            <w:pPr>
              <w:spacing w:after="0"/>
              <w:rPr>
                <w:sz w:val="21"/>
                <w:szCs w:val="21"/>
                <w:color w:val="auto"/>
              </w:rPr>
            </w:pPr>
          </w:p>
        </w:tc>
        <w:tc>
          <w:tcPr>
            <w:tcW w:w="720" w:type="dxa"/>
            <w:vAlign w:val="bottom"/>
            <w:tcBorders>
              <w:bottom w:val="single" w:sz="8" w:color="7F7F7F"/>
            </w:tcBorders>
            <w:shd w:val="clear" w:color="auto" w:fill="F2F2F2"/>
          </w:tcPr>
          <w:p>
            <w:pPr>
              <w:spacing w:after="0"/>
              <w:rPr>
                <w:sz w:val="21"/>
                <w:szCs w:val="21"/>
                <w:color w:val="auto"/>
              </w:rPr>
            </w:pP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Financial Planning</w:t>
            </w:r>
            <w:r>
              <w:rPr>
                <w:rFonts w:ascii="Arial" w:cs="Arial" w:eastAsia="Arial" w:hAnsi="Arial"/>
                <w:sz w:val="18"/>
                <w:szCs w:val="18"/>
                <w:color w:val="auto"/>
                <w:vertAlign w:val="superscript"/>
              </w:rPr>
              <w:t>(E)</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tcPr>
          <w:p>
            <w:pPr>
              <w:jc w:val="right"/>
              <w:ind w:right="298"/>
              <w:spacing w:after="0"/>
              <w:rPr>
                <w:sz w:val="20"/>
                <w:szCs w:val="20"/>
                <w:color w:val="auto"/>
              </w:rPr>
            </w:pPr>
            <w:r>
              <w:rPr>
                <w:rFonts w:ascii="Arial" w:cs="Arial" w:eastAsia="Arial" w:hAnsi="Arial"/>
                <w:sz w:val="12"/>
                <w:szCs w:val="12"/>
                <w:color w:val="auto"/>
              </w:rPr>
              <w:t>50,000</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tcPr>
          <w:p>
            <w:pPr>
              <w:jc w:val="right"/>
              <w:ind w:right="318"/>
              <w:spacing w:after="0"/>
              <w:rPr>
                <w:sz w:val="20"/>
                <w:szCs w:val="20"/>
                <w:color w:val="auto"/>
              </w:rPr>
            </w:pPr>
            <w:r>
              <w:rPr>
                <w:rFonts w:ascii="Arial" w:cs="Arial" w:eastAsia="Arial" w:hAnsi="Arial"/>
                <w:sz w:val="12"/>
                <w:szCs w:val="12"/>
                <w:color w:val="auto"/>
              </w:rPr>
              <w:t>75,000</w:t>
            </w:r>
          </w:p>
        </w:tc>
        <w:tc>
          <w:tcPr>
            <w:tcW w:w="400" w:type="dxa"/>
            <w:vAlign w:val="bottom"/>
            <w:tcBorders>
              <w:bottom w:val="single" w:sz="8" w:color="7F7F7F"/>
            </w:tcBorders>
          </w:tcPr>
          <w:p>
            <w:pPr>
              <w:spacing w:after="0"/>
              <w:rPr>
                <w:sz w:val="21"/>
                <w:szCs w:val="21"/>
                <w:color w:val="auto"/>
              </w:rPr>
            </w:pPr>
          </w:p>
        </w:tc>
        <w:tc>
          <w:tcPr>
            <w:tcW w:w="960" w:type="dxa"/>
            <w:vAlign w:val="bottom"/>
            <w:tcBorders>
              <w:bottom w:val="single" w:sz="8" w:color="7F7F7F"/>
            </w:tcBorders>
          </w:tcPr>
          <w:p>
            <w:pPr>
              <w:spacing w:after="0"/>
              <w:rPr>
                <w:sz w:val="21"/>
                <w:szCs w:val="21"/>
                <w:color w:val="auto"/>
              </w:rPr>
            </w:pPr>
          </w:p>
        </w:tc>
        <w:tc>
          <w:tcPr>
            <w:tcW w:w="820" w:type="dxa"/>
            <w:vAlign w:val="bottom"/>
            <w:tcBorders>
              <w:bottom w:val="single" w:sz="8" w:color="7F7F7F"/>
            </w:tcBorders>
          </w:tcPr>
          <w:p>
            <w:pPr>
              <w:spacing w:after="0"/>
              <w:rPr>
                <w:sz w:val="21"/>
                <w:szCs w:val="21"/>
                <w:color w:val="auto"/>
              </w:rPr>
            </w:pPr>
          </w:p>
        </w:tc>
        <w:tc>
          <w:tcPr>
            <w:tcW w:w="720" w:type="dxa"/>
            <w:vAlign w:val="bottom"/>
            <w:tcBorders>
              <w:bottom w:val="single" w:sz="8" w:color="7F7F7F"/>
            </w:tcBorders>
          </w:tcPr>
          <w:p>
            <w:pPr>
              <w:spacing w:after="0"/>
              <w:rPr>
                <w:sz w:val="21"/>
                <w:szCs w:val="21"/>
                <w:color w:val="auto"/>
              </w:rPr>
            </w:pPr>
          </w:p>
        </w:tc>
      </w:tr>
      <w:tr>
        <w:trPr>
          <w:trHeight w:val="252"/>
        </w:trPr>
        <w:tc>
          <w:tcPr>
            <w:tcW w:w="464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12"/>
                <w:szCs w:val="12"/>
                <w:color w:val="auto"/>
              </w:rPr>
              <w:t>Outplacement</w:t>
            </w:r>
          </w:p>
        </w:tc>
        <w:tc>
          <w:tcPr>
            <w:tcW w:w="64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50,000</w:t>
            </w:r>
          </w:p>
        </w:tc>
        <w:tc>
          <w:tcPr>
            <w:tcW w:w="7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2F2F2"/>
            </w:tcBorders>
            <w:shd w:val="clear" w:color="auto" w:fill="F2F2F2"/>
          </w:tcPr>
          <w:p>
            <w:pPr>
              <w:jc w:val="right"/>
              <w:ind w:right="318"/>
              <w:spacing w:after="0"/>
              <w:rPr>
                <w:sz w:val="20"/>
                <w:szCs w:val="20"/>
                <w:color w:val="auto"/>
              </w:rPr>
            </w:pPr>
            <w:r>
              <w:rPr>
                <w:rFonts w:ascii="Arial" w:cs="Arial" w:eastAsia="Arial" w:hAnsi="Arial"/>
                <w:sz w:val="12"/>
                <w:szCs w:val="12"/>
                <w:color w:val="auto"/>
              </w:rPr>
              <w:t>50,000</w:t>
            </w:r>
          </w:p>
        </w:tc>
        <w:tc>
          <w:tcPr>
            <w:tcW w:w="400" w:type="dxa"/>
            <w:vAlign w:val="bottom"/>
            <w:tcBorders>
              <w:bottom w:val="single" w:sz="8" w:color="F2F2F2"/>
            </w:tcBorders>
            <w:shd w:val="clear" w:color="auto" w:fill="F2F2F2"/>
          </w:tcPr>
          <w:p>
            <w:pPr>
              <w:spacing w:after="0"/>
              <w:rPr>
                <w:sz w:val="21"/>
                <w:szCs w:val="21"/>
                <w:color w:val="auto"/>
              </w:rPr>
            </w:pPr>
          </w:p>
        </w:tc>
        <w:tc>
          <w:tcPr>
            <w:tcW w:w="960" w:type="dxa"/>
            <w:vAlign w:val="bottom"/>
            <w:tcBorders>
              <w:bottom w:val="single" w:sz="8" w:color="F2F2F2"/>
            </w:tcBorders>
            <w:shd w:val="clear" w:color="auto" w:fill="F2F2F2"/>
          </w:tcPr>
          <w:p>
            <w:pPr>
              <w:spacing w:after="0"/>
              <w:rPr>
                <w:sz w:val="21"/>
                <w:szCs w:val="21"/>
                <w:color w:val="auto"/>
              </w:rPr>
            </w:pPr>
          </w:p>
        </w:tc>
        <w:tc>
          <w:tcPr>
            <w:tcW w:w="820" w:type="dxa"/>
            <w:vAlign w:val="bottom"/>
            <w:tcBorders>
              <w:bottom w:val="single" w:sz="8" w:color="F2F2F2"/>
            </w:tcBorders>
            <w:shd w:val="clear" w:color="auto" w:fill="F2F2F2"/>
          </w:tcPr>
          <w:p>
            <w:pPr>
              <w:spacing w:after="0"/>
              <w:rPr>
                <w:sz w:val="21"/>
                <w:szCs w:val="21"/>
                <w:color w:val="auto"/>
              </w:rPr>
            </w:pPr>
          </w:p>
        </w:tc>
        <w:tc>
          <w:tcPr>
            <w:tcW w:w="720" w:type="dxa"/>
            <w:vAlign w:val="bottom"/>
            <w:tcBorders>
              <w:bottom w:val="single" w:sz="8" w:color="F2F2F2"/>
            </w:tcBorders>
            <w:shd w:val="clear" w:color="auto" w:fill="F2F2F2"/>
          </w:tcPr>
          <w:p>
            <w:pPr>
              <w:spacing w:after="0"/>
              <w:rPr>
                <w:sz w:val="21"/>
                <w:szCs w:val="21"/>
                <w:color w:val="auto"/>
              </w:rPr>
            </w:pPr>
          </w:p>
        </w:tc>
      </w:tr>
      <w:tr>
        <w:trPr>
          <w:trHeight w:val="194"/>
        </w:trPr>
        <w:tc>
          <w:tcPr>
            <w:tcW w:w="4640" w:type="dxa"/>
            <w:vAlign w:val="bottom"/>
            <w:tcBorders>
              <w:top w:val="single" w:sz="8" w:color="7F7F7F"/>
            </w:tcBorders>
          </w:tcPr>
          <w:p>
            <w:pPr>
              <w:ind w:left="200"/>
              <w:spacing w:after="0"/>
              <w:rPr>
                <w:sz w:val="20"/>
                <w:szCs w:val="20"/>
                <w:color w:val="auto"/>
              </w:rPr>
            </w:pPr>
            <w:r>
              <w:rPr>
                <w:rFonts w:ascii="Arial" w:cs="Arial" w:eastAsia="Arial" w:hAnsi="Arial"/>
                <w:sz w:val="12"/>
                <w:szCs w:val="12"/>
                <w:color w:val="auto"/>
              </w:rPr>
              <w:t>Total</w:t>
            </w:r>
          </w:p>
        </w:tc>
        <w:tc>
          <w:tcPr>
            <w:tcW w:w="640" w:type="dxa"/>
            <w:vAlign w:val="bottom"/>
            <w:tcBorders>
              <w:top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7F7F7F"/>
            </w:tcBorders>
          </w:tcPr>
          <w:p>
            <w:pPr>
              <w:jc w:val="right"/>
              <w:ind w:right="298"/>
              <w:spacing w:after="0"/>
              <w:rPr>
                <w:sz w:val="20"/>
                <w:szCs w:val="20"/>
                <w:color w:val="auto"/>
              </w:rPr>
            </w:pPr>
            <w:r>
              <w:rPr>
                <w:rFonts w:ascii="Arial" w:cs="Arial" w:eastAsia="Arial" w:hAnsi="Arial"/>
                <w:sz w:val="12"/>
                <w:szCs w:val="12"/>
                <w:color w:val="auto"/>
              </w:rPr>
              <w:t>3,849,761</w:t>
            </w:r>
          </w:p>
        </w:tc>
        <w:tc>
          <w:tcPr>
            <w:tcW w:w="7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tcBorders>
          </w:tcPr>
          <w:p>
            <w:pPr>
              <w:jc w:val="right"/>
              <w:ind w:right="318"/>
              <w:spacing w:after="0"/>
              <w:rPr>
                <w:sz w:val="20"/>
                <w:szCs w:val="20"/>
                <w:color w:val="auto"/>
              </w:rPr>
            </w:pPr>
            <w:r>
              <w:rPr>
                <w:rFonts w:ascii="Arial" w:cs="Arial" w:eastAsia="Arial" w:hAnsi="Arial"/>
                <w:sz w:val="12"/>
                <w:szCs w:val="12"/>
                <w:color w:val="auto"/>
              </w:rPr>
              <w:t>11,238,491</w:t>
            </w:r>
          </w:p>
        </w:tc>
        <w:tc>
          <w:tcPr>
            <w:tcW w:w="4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7F7F7F"/>
            </w:tcBorders>
          </w:tcPr>
          <w:p>
            <w:pPr>
              <w:jc w:val="right"/>
              <w:ind w:right="258"/>
              <w:spacing w:after="0"/>
              <w:rPr>
                <w:sz w:val="20"/>
                <w:szCs w:val="20"/>
                <w:color w:val="auto"/>
              </w:rPr>
            </w:pPr>
            <w:r>
              <w:rPr>
                <w:rFonts w:ascii="Arial" w:cs="Arial" w:eastAsia="Arial" w:hAnsi="Arial"/>
                <w:sz w:val="12"/>
                <w:szCs w:val="12"/>
                <w:color w:val="auto"/>
              </w:rPr>
              <w:t>1,844,271</w:t>
            </w:r>
          </w:p>
        </w:tc>
        <w:tc>
          <w:tcPr>
            <w:tcW w:w="8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5,447,667</w:t>
            </w:r>
          </w:p>
        </w:tc>
      </w:tr>
      <w:tr>
        <w:trPr>
          <w:trHeight w:val="54"/>
        </w:trPr>
        <w:tc>
          <w:tcPr>
            <w:tcW w:w="4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52"/>
        </w:trPr>
        <w:tc>
          <w:tcPr>
            <w:tcW w:w="464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2"/>
                <w:szCs w:val="12"/>
                <w:b w:val="1"/>
                <w:bCs w:val="1"/>
                <w:color w:val="auto"/>
              </w:rPr>
              <w:t>Diana L. Day</w:t>
            </w:r>
          </w:p>
        </w:tc>
        <w:tc>
          <w:tcPr>
            <w:tcW w:w="640" w:type="dxa"/>
            <w:vAlign w:val="bottom"/>
            <w:tcBorders>
              <w:bottom w:val="single" w:sz="8" w:color="F2F2F2"/>
            </w:tcBorders>
            <w:shd w:val="clear" w:color="auto" w:fill="F2F2F2"/>
          </w:tcPr>
          <w:p>
            <w:pPr>
              <w:spacing w:after="0"/>
              <w:rPr>
                <w:sz w:val="21"/>
                <w:szCs w:val="21"/>
                <w:color w:val="auto"/>
              </w:rPr>
            </w:pPr>
          </w:p>
        </w:tc>
        <w:tc>
          <w:tcPr>
            <w:tcW w:w="980" w:type="dxa"/>
            <w:vAlign w:val="bottom"/>
            <w:tcBorders>
              <w:bottom w:val="single" w:sz="8" w:color="F2F2F2"/>
            </w:tcBorders>
            <w:shd w:val="clear" w:color="auto" w:fill="F2F2F2"/>
          </w:tcPr>
          <w:p>
            <w:pPr>
              <w:spacing w:after="0"/>
              <w:rPr>
                <w:sz w:val="21"/>
                <w:szCs w:val="21"/>
                <w:color w:val="auto"/>
              </w:rPr>
            </w:pPr>
          </w:p>
        </w:tc>
        <w:tc>
          <w:tcPr>
            <w:tcW w:w="740" w:type="dxa"/>
            <w:vAlign w:val="bottom"/>
            <w:tcBorders>
              <w:bottom w:val="single" w:sz="8" w:color="F2F2F2"/>
            </w:tcBorders>
            <w:shd w:val="clear" w:color="auto" w:fill="F2F2F2"/>
          </w:tcPr>
          <w:p>
            <w:pPr>
              <w:spacing w:after="0"/>
              <w:rPr>
                <w:sz w:val="21"/>
                <w:szCs w:val="21"/>
                <w:color w:val="auto"/>
              </w:rPr>
            </w:pPr>
          </w:p>
        </w:tc>
        <w:tc>
          <w:tcPr>
            <w:tcW w:w="1020" w:type="dxa"/>
            <w:vAlign w:val="bottom"/>
            <w:tcBorders>
              <w:bottom w:val="single" w:sz="8" w:color="F2F2F2"/>
            </w:tcBorders>
            <w:shd w:val="clear" w:color="auto" w:fill="F2F2F2"/>
          </w:tcPr>
          <w:p>
            <w:pPr>
              <w:spacing w:after="0"/>
              <w:rPr>
                <w:sz w:val="21"/>
                <w:szCs w:val="21"/>
                <w:color w:val="auto"/>
              </w:rPr>
            </w:pPr>
          </w:p>
        </w:tc>
        <w:tc>
          <w:tcPr>
            <w:tcW w:w="400" w:type="dxa"/>
            <w:vAlign w:val="bottom"/>
            <w:tcBorders>
              <w:bottom w:val="single" w:sz="8" w:color="F2F2F2"/>
            </w:tcBorders>
            <w:shd w:val="clear" w:color="auto" w:fill="F2F2F2"/>
          </w:tcPr>
          <w:p>
            <w:pPr>
              <w:spacing w:after="0"/>
              <w:rPr>
                <w:sz w:val="21"/>
                <w:szCs w:val="21"/>
                <w:color w:val="auto"/>
              </w:rPr>
            </w:pPr>
          </w:p>
        </w:tc>
        <w:tc>
          <w:tcPr>
            <w:tcW w:w="960" w:type="dxa"/>
            <w:vAlign w:val="bottom"/>
            <w:tcBorders>
              <w:bottom w:val="single" w:sz="8" w:color="F2F2F2"/>
            </w:tcBorders>
            <w:shd w:val="clear" w:color="auto" w:fill="F2F2F2"/>
          </w:tcPr>
          <w:p>
            <w:pPr>
              <w:spacing w:after="0"/>
              <w:rPr>
                <w:sz w:val="21"/>
                <w:szCs w:val="21"/>
                <w:color w:val="auto"/>
              </w:rPr>
            </w:pPr>
          </w:p>
        </w:tc>
        <w:tc>
          <w:tcPr>
            <w:tcW w:w="820" w:type="dxa"/>
            <w:vAlign w:val="bottom"/>
            <w:tcBorders>
              <w:bottom w:val="single" w:sz="8" w:color="F2F2F2"/>
            </w:tcBorders>
            <w:shd w:val="clear" w:color="auto" w:fill="F2F2F2"/>
          </w:tcPr>
          <w:p>
            <w:pPr>
              <w:spacing w:after="0"/>
              <w:rPr>
                <w:sz w:val="21"/>
                <w:szCs w:val="21"/>
                <w:color w:val="auto"/>
              </w:rPr>
            </w:pPr>
          </w:p>
        </w:tc>
        <w:tc>
          <w:tcPr>
            <w:tcW w:w="720" w:type="dxa"/>
            <w:vAlign w:val="bottom"/>
            <w:tcBorders>
              <w:bottom w:val="single" w:sz="8" w:color="F2F2F2"/>
            </w:tcBorders>
            <w:shd w:val="clear" w:color="auto" w:fill="F2F2F2"/>
          </w:tcPr>
          <w:p>
            <w:pPr>
              <w:spacing w:after="0"/>
              <w:rPr>
                <w:sz w:val="21"/>
                <w:szCs w:val="21"/>
                <w:color w:val="auto"/>
              </w:rPr>
            </w:pPr>
          </w:p>
        </w:tc>
      </w:tr>
      <w:tr>
        <w:trPr>
          <w:trHeight w:val="247"/>
        </w:trPr>
        <w:tc>
          <w:tcPr>
            <w:tcW w:w="4640" w:type="dxa"/>
            <w:vAlign w:val="bottom"/>
            <w:tcBorders>
              <w:top w:val="single" w:sz="8" w:color="7F7F7F"/>
              <w:bottom w:val="single" w:sz="8" w:color="7F7F7F"/>
            </w:tcBorders>
          </w:tcPr>
          <w:p>
            <w:pPr>
              <w:ind w:left="200"/>
              <w:spacing w:after="0"/>
              <w:rPr>
                <w:sz w:val="20"/>
                <w:szCs w:val="20"/>
                <w:color w:val="auto"/>
              </w:rPr>
            </w:pPr>
            <w:r>
              <w:rPr>
                <w:rFonts w:ascii="Arial" w:cs="Arial" w:eastAsia="Arial" w:hAnsi="Arial"/>
                <w:sz w:val="12"/>
                <w:szCs w:val="12"/>
                <w:color w:val="auto"/>
              </w:rPr>
              <w:t>Lump Sum Cash Payment</w:t>
            </w:r>
            <w:r>
              <w:rPr>
                <w:rFonts w:ascii="Arial" w:cs="Arial" w:eastAsia="Arial" w:hAnsi="Arial"/>
                <w:sz w:val="18"/>
                <w:szCs w:val="18"/>
                <w:color w:val="auto"/>
                <w:vertAlign w:val="superscript"/>
              </w:rPr>
              <w:t>(A)</w:t>
            </w:r>
          </w:p>
        </w:tc>
        <w:tc>
          <w:tcPr>
            <w:tcW w:w="640" w:type="dxa"/>
            <w:vAlign w:val="bottom"/>
            <w:tcBorders>
              <w:top w:val="single" w:sz="8" w:color="7F7F7F"/>
              <w:bottom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7F7F7F"/>
              <w:bottom w:val="single" w:sz="8" w:color="7F7F7F"/>
            </w:tcBorders>
          </w:tcPr>
          <w:p>
            <w:pPr>
              <w:jc w:val="right"/>
              <w:ind w:right="298"/>
              <w:spacing w:after="0"/>
              <w:rPr>
                <w:sz w:val="20"/>
                <w:szCs w:val="20"/>
                <w:color w:val="auto"/>
              </w:rPr>
            </w:pPr>
            <w:r>
              <w:rPr>
                <w:rFonts w:ascii="Arial" w:cs="Arial" w:eastAsia="Arial" w:hAnsi="Arial"/>
                <w:sz w:val="12"/>
                <w:szCs w:val="12"/>
                <w:color w:val="auto"/>
              </w:rPr>
              <w:t>1,575,000</w:t>
            </w: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bottom w:val="single" w:sz="8" w:color="7F7F7F"/>
            </w:tcBorders>
          </w:tcPr>
          <w:p>
            <w:pPr>
              <w:jc w:val="right"/>
              <w:ind w:right="318"/>
              <w:spacing w:after="0"/>
              <w:rPr>
                <w:sz w:val="20"/>
                <w:szCs w:val="20"/>
                <w:color w:val="auto"/>
              </w:rPr>
            </w:pPr>
            <w:r>
              <w:rPr>
                <w:rFonts w:ascii="Arial" w:cs="Arial" w:eastAsia="Arial" w:hAnsi="Arial"/>
                <w:sz w:val="12"/>
                <w:szCs w:val="12"/>
                <w:color w:val="auto"/>
              </w:rPr>
              <w:t>2,100,000</w:t>
            </w:r>
          </w:p>
        </w:tc>
        <w:tc>
          <w:tcPr>
            <w:tcW w:w="400" w:type="dxa"/>
            <w:vAlign w:val="bottom"/>
            <w:tcBorders>
              <w:top w:val="single" w:sz="8" w:color="7F7F7F"/>
              <w:bottom w:val="single" w:sz="8" w:color="7F7F7F"/>
            </w:tcBorders>
          </w:tcPr>
          <w:p>
            <w:pPr>
              <w:spacing w:after="0"/>
              <w:rPr>
                <w:sz w:val="21"/>
                <w:szCs w:val="21"/>
                <w:color w:val="auto"/>
              </w:rPr>
            </w:pPr>
          </w:p>
        </w:tc>
        <w:tc>
          <w:tcPr>
            <w:tcW w:w="960" w:type="dxa"/>
            <w:vAlign w:val="bottom"/>
            <w:tcBorders>
              <w:top w:val="single" w:sz="8" w:color="7F7F7F"/>
              <w:bottom w:val="single" w:sz="8" w:color="7F7F7F"/>
            </w:tcBorders>
          </w:tcPr>
          <w:p>
            <w:pPr>
              <w:spacing w:after="0"/>
              <w:rPr>
                <w:sz w:val="21"/>
                <w:szCs w:val="21"/>
                <w:color w:val="auto"/>
              </w:rPr>
            </w:pPr>
          </w:p>
        </w:tc>
        <w:tc>
          <w:tcPr>
            <w:tcW w:w="820" w:type="dxa"/>
            <w:vAlign w:val="bottom"/>
            <w:tcBorders>
              <w:top w:val="single" w:sz="8" w:color="7F7F7F"/>
              <w:bottom w:val="single" w:sz="8" w:color="7F7F7F"/>
            </w:tcBorders>
          </w:tcPr>
          <w:p>
            <w:pPr>
              <w:spacing w:after="0"/>
              <w:rPr>
                <w:sz w:val="21"/>
                <w:szCs w:val="21"/>
                <w:color w:val="auto"/>
              </w:rPr>
            </w:pPr>
          </w:p>
        </w:tc>
        <w:tc>
          <w:tcPr>
            <w:tcW w:w="720" w:type="dxa"/>
            <w:vAlign w:val="bottom"/>
            <w:tcBorders>
              <w:top w:val="single" w:sz="8" w:color="7F7F7F"/>
              <w:bottom w:val="single" w:sz="8" w:color="7F7F7F"/>
            </w:tcBorders>
          </w:tcPr>
          <w:p>
            <w:pPr>
              <w:spacing w:after="0"/>
              <w:rPr>
                <w:sz w:val="21"/>
                <w:szCs w:val="21"/>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Acceleration of Existing Equity Awards</w:t>
            </w:r>
            <w:r>
              <w:rPr>
                <w:rFonts w:ascii="Arial" w:cs="Arial" w:eastAsia="Arial" w:hAnsi="Arial"/>
                <w:sz w:val="18"/>
                <w:szCs w:val="18"/>
                <w:color w:val="auto"/>
                <w:vertAlign w:val="superscript"/>
              </w:rPr>
              <w:t>(B)</w:t>
            </w:r>
          </w:p>
        </w:tc>
        <w:tc>
          <w:tcPr>
            <w:tcW w:w="640" w:type="dxa"/>
            <w:vAlign w:val="bottom"/>
            <w:tcBorders>
              <w:bottom w:val="single" w:sz="8" w:color="7F7F7F"/>
            </w:tcBorders>
            <w:shd w:val="clear" w:color="auto" w:fill="F2F2F2"/>
          </w:tcPr>
          <w:p>
            <w:pPr>
              <w:spacing w:after="0"/>
              <w:rPr>
                <w:sz w:val="21"/>
                <w:szCs w:val="21"/>
                <w:color w:val="auto"/>
              </w:rPr>
            </w:pPr>
          </w:p>
        </w:tc>
        <w:tc>
          <w:tcPr>
            <w:tcW w:w="980" w:type="dxa"/>
            <w:vAlign w:val="bottom"/>
            <w:tcBorders>
              <w:bottom w:val="single" w:sz="8" w:color="7F7F7F"/>
            </w:tcBorders>
            <w:shd w:val="clear" w:color="auto" w:fill="F2F2F2"/>
          </w:tcPr>
          <w:p>
            <w:pPr>
              <w:spacing w:after="0"/>
              <w:rPr>
                <w:sz w:val="21"/>
                <w:szCs w:val="21"/>
                <w:color w:val="auto"/>
              </w:rPr>
            </w:pP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2,735,947</w:t>
            </w:r>
          </w:p>
        </w:tc>
        <w:tc>
          <w:tcPr>
            <w:tcW w:w="40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7F7F7F"/>
            </w:tcBorders>
            <w:shd w:val="clear" w:color="auto" w:fill="F2F2F2"/>
          </w:tcPr>
          <w:p>
            <w:pPr>
              <w:jc w:val="right"/>
              <w:ind w:right="258"/>
              <w:spacing w:after="0"/>
              <w:rPr>
                <w:sz w:val="20"/>
                <w:szCs w:val="20"/>
                <w:color w:val="auto"/>
              </w:rPr>
            </w:pPr>
            <w:r>
              <w:rPr>
                <w:rFonts w:ascii="Arial" w:cs="Arial" w:eastAsia="Arial" w:hAnsi="Arial"/>
                <w:sz w:val="12"/>
                <w:szCs w:val="12"/>
                <w:color w:val="auto"/>
              </w:rPr>
              <w:t>731,890</w:t>
            </w:r>
          </w:p>
        </w:tc>
        <w:tc>
          <w:tcPr>
            <w:tcW w:w="82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7F7F7F"/>
            </w:tcBorders>
            <w:shd w:val="clear" w:color="auto" w:fill="F2F2F2"/>
          </w:tcPr>
          <w:p>
            <w:pPr>
              <w:jc w:val="right"/>
              <w:ind w:right="38"/>
              <w:spacing w:after="0"/>
              <w:rPr>
                <w:sz w:val="20"/>
                <w:szCs w:val="20"/>
                <w:color w:val="auto"/>
              </w:rPr>
            </w:pPr>
            <w:r>
              <w:rPr>
                <w:rFonts w:ascii="Arial" w:cs="Arial" w:eastAsia="Arial" w:hAnsi="Arial"/>
                <w:sz w:val="12"/>
                <w:szCs w:val="12"/>
                <w:color w:val="auto"/>
              </w:rPr>
              <w:t>2,735,947</w:t>
            </w: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Enhanced Retirement Benefits</w:t>
            </w:r>
            <w:r>
              <w:rPr>
                <w:rFonts w:ascii="Arial" w:cs="Arial" w:eastAsia="Arial" w:hAnsi="Arial"/>
                <w:sz w:val="18"/>
                <w:szCs w:val="18"/>
                <w:color w:val="auto"/>
                <w:vertAlign w:val="superscript"/>
              </w:rPr>
              <w:t>(C)</w:t>
            </w:r>
          </w:p>
        </w:tc>
        <w:tc>
          <w:tcPr>
            <w:tcW w:w="640" w:type="dxa"/>
            <w:vAlign w:val="bottom"/>
            <w:tcBorders>
              <w:bottom w:val="single" w:sz="8" w:color="7F7F7F"/>
            </w:tcBorders>
          </w:tcPr>
          <w:p>
            <w:pPr>
              <w:spacing w:after="0"/>
              <w:rPr>
                <w:sz w:val="21"/>
                <w:szCs w:val="21"/>
                <w:color w:val="auto"/>
              </w:rPr>
            </w:pPr>
          </w:p>
        </w:tc>
        <w:tc>
          <w:tcPr>
            <w:tcW w:w="980" w:type="dxa"/>
            <w:vAlign w:val="bottom"/>
            <w:tcBorders>
              <w:bottom w:val="single" w:sz="8" w:color="7F7F7F"/>
            </w:tcBorders>
          </w:tcPr>
          <w:p>
            <w:pPr>
              <w:spacing w:after="0"/>
              <w:rPr>
                <w:sz w:val="21"/>
                <w:szCs w:val="21"/>
                <w:color w:val="auto"/>
              </w:rPr>
            </w:pPr>
          </w:p>
        </w:tc>
        <w:tc>
          <w:tcPr>
            <w:tcW w:w="740" w:type="dxa"/>
            <w:vAlign w:val="bottom"/>
            <w:tcBorders>
              <w:bottom w:val="single" w:sz="8" w:color="7F7F7F"/>
            </w:tcBorders>
          </w:tcPr>
          <w:p>
            <w:pPr>
              <w:spacing w:after="0"/>
              <w:rPr>
                <w:sz w:val="21"/>
                <w:szCs w:val="21"/>
                <w:color w:val="auto"/>
              </w:rPr>
            </w:pPr>
          </w:p>
        </w:tc>
        <w:tc>
          <w:tcPr>
            <w:tcW w:w="1020" w:type="dxa"/>
            <w:vAlign w:val="bottom"/>
            <w:tcBorders>
              <w:bottom w:val="single" w:sz="8" w:color="7F7F7F"/>
            </w:tcBorders>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960" w:type="dxa"/>
            <w:vAlign w:val="bottom"/>
            <w:tcBorders>
              <w:bottom w:val="single" w:sz="8" w:color="7F7F7F"/>
            </w:tcBorders>
          </w:tcPr>
          <w:p>
            <w:pPr>
              <w:spacing w:after="0"/>
              <w:rPr>
                <w:sz w:val="21"/>
                <w:szCs w:val="21"/>
                <w:color w:val="auto"/>
              </w:rPr>
            </w:pPr>
          </w:p>
        </w:tc>
        <w:tc>
          <w:tcPr>
            <w:tcW w:w="820" w:type="dxa"/>
            <w:vAlign w:val="bottom"/>
            <w:tcBorders>
              <w:bottom w:val="single" w:sz="8" w:color="7F7F7F"/>
            </w:tcBorders>
          </w:tcPr>
          <w:p>
            <w:pPr>
              <w:spacing w:after="0"/>
              <w:rPr>
                <w:sz w:val="21"/>
                <w:szCs w:val="21"/>
                <w:color w:val="auto"/>
              </w:rPr>
            </w:pPr>
          </w:p>
        </w:tc>
        <w:tc>
          <w:tcPr>
            <w:tcW w:w="720" w:type="dxa"/>
            <w:vAlign w:val="bottom"/>
            <w:tcBorders>
              <w:bottom w:val="single" w:sz="8" w:color="7F7F7F"/>
            </w:tcBorders>
          </w:tcPr>
          <w:p>
            <w:pPr>
              <w:spacing w:after="0"/>
              <w:rPr>
                <w:sz w:val="21"/>
                <w:szCs w:val="21"/>
                <w:color w:val="auto"/>
              </w:rPr>
            </w:pPr>
          </w:p>
        </w:tc>
      </w:tr>
      <w:tr>
        <w:trPr>
          <w:trHeight w:val="247"/>
        </w:trPr>
        <w:tc>
          <w:tcPr>
            <w:tcW w:w="4640" w:type="dxa"/>
            <w:vAlign w:val="bottom"/>
            <w:tcBorders>
              <w:bottom w:val="single" w:sz="8" w:color="7F7F7F"/>
            </w:tcBorders>
            <w:shd w:val="clear" w:color="auto" w:fill="F2F2F2"/>
          </w:tcPr>
          <w:p>
            <w:pPr>
              <w:ind w:left="200"/>
              <w:spacing w:after="0"/>
              <w:rPr>
                <w:sz w:val="20"/>
                <w:szCs w:val="20"/>
                <w:color w:val="auto"/>
              </w:rPr>
            </w:pPr>
            <w:r>
              <w:rPr>
                <w:rFonts w:ascii="Arial" w:cs="Arial" w:eastAsia="Arial" w:hAnsi="Arial"/>
                <w:sz w:val="12"/>
                <w:szCs w:val="12"/>
                <w:color w:val="auto"/>
              </w:rPr>
              <w:t>Health &amp; Welfare Benefits</w:t>
            </w:r>
            <w:r>
              <w:rPr>
                <w:rFonts w:ascii="Arial" w:cs="Arial" w:eastAsia="Arial" w:hAnsi="Arial"/>
                <w:sz w:val="18"/>
                <w:szCs w:val="18"/>
                <w:color w:val="auto"/>
                <w:vertAlign w:val="superscript"/>
              </w:rPr>
              <w:t>(D)</w:t>
            </w:r>
          </w:p>
        </w:tc>
        <w:tc>
          <w:tcPr>
            <w:tcW w:w="640" w:type="dxa"/>
            <w:vAlign w:val="bottom"/>
            <w:tcBorders>
              <w:bottom w:val="single" w:sz="8" w:color="7F7F7F"/>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shd w:val="clear" w:color="auto" w:fill="F2F2F2"/>
          </w:tcPr>
          <w:p>
            <w:pPr>
              <w:jc w:val="right"/>
              <w:ind w:right="298"/>
              <w:spacing w:after="0"/>
              <w:rPr>
                <w:sz w:val="20"/>
                <w:szCs w:val="20"/>
                <w:color w:val="auto"/>
              </w:rPr>
            </w:pPr>
            <w:r>
              <w:rPr>
                <w:rFonts w:ascii="Arial" w:cs="Arial" w:eastAsia="Arial" w:hAnsi="Arial"/>
                <w:sz w:val="12"/>
                <w:szCs w:val="12"/>
                <w:color w:val="auto"/>
              </w:rPr>
              <w:t>40,286</w:t>
            </w:r>
          </w:p>
        </w:tc>
        <w:tc>
          <w:tcPr>
            <w:tcW w:w="740" w:type="dxa"/>
            <w:vAlign w:val="bottom"/>
            <w:tcBorders>
              <w:bottom w:val="single" w:sz="8" w:color="7F7F7F"/>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shd w:val="clear" w:color="auto" w:fill="F2F2F2"/>
          </w:tcPr>
          <w:p>
            <w:pPr>
              <w:jc w:val="right"/>
              <w:ind w:right="318"/>
              <w:spacing w:after="0"/>
              <w:rPr>
                <w:sz w:val="20"/>
                <w:szCs w:val="20"/>
                <w:color w:val="auto"/>
              </w:rPr>
            </w:pPr>
            <w:r>
              <w:rPr>
                <w:rFonts w:ascii="Arial" w:cs="Arial" w:eastAsia="Arial" w:hAnsi="Arial"/>
                <w:sz w:val="12"/>
                <w:szCs w:val="12"/>
                <w:color w:val="auto"/>
              </w:rPr>
              <w:t>57,992</w:t>
            </w:r>
          </w:p>
        </w:tc>
        <w:tc>
          <w:tcPr>
            <w:tcW w:w="400" w:type="dxa"/>
            <w:vAlign w:val="bottom"/>
            <w:tcBorders>
              <w:bottom w:val="single" w:sz="8" w:color="7F7F7F"/>
            </w:tcBorders>
            <w:shd w:val="clear" w:color="auto" w:fill="F2F2F2"/>
          </w:tcPr>
          <w:p>
            <w:pPr>
              <w:spacing w:after="0"/>
              <w:rPr>
                <w:sz w:val="21"/>
                <w:szCs w:val="21"/>
                <w:color w:val="auto"/>
              </w:rPr>
            </w:pPr>
          </w:p>
        </w:tc>
        <w:tc>
          <w:tcPr>
            <w:tcW w:w="960" w:type="dxa"/>
            <w:vAlign w:val="bottom"/>
            <w:tcBorders>
              <w:bottom w:val="single" w:sz="8" w:color="7F7F7F"/>
            </w:tcBorders>
            <w:shd w:val="clear" w:color="auto" w:fill="F2F2F2"/>
          </w:tcPr>
          <w:p>
            <w:pPr>
              <w:spacing w:after="0"/>
              <w:rPr>
                <w:sz w:val="21"/>
                <w:szCs w:val="21"/>
                <w:color w:val="auto"/>
              </w:rPr>
            </w:pPr>
          </w:p>
        </w:tc>
        <w:tc>
          <w:tcPr>
            <w:tcW w:w="820" w:type="dxa"/>
            <w:vAlign w:val="bottom"/>
            <w:tcBorders>
              <w:bottom w:val="single" w:sz="8" w:color="7F7F7F"/>
            </w:tcBorders>
            <w:shd w:val="clear" w:color="auto" w:fill="F2F2F2"/>
          </w:tcPr>
          <w:p>
            <w:pPr>
              <w:spacing w:after="0"/>
              <w:rPr>
                <w:sz w:val="21"/>
                <w:szCs w:val="21"/>
                <w:color w:val="auto"/>
              </w:rPr>
            </w:pPr>
          </w:p>
        </w:tc>
        <w:tc>
          <w:tcPr>
            <w:tcW w:w="720" w:type="dxa"/>
            <w:vAlign w:val="bottom"/>
            <w:tcBorders>
              <w:bottom w:val="single" w:sz="8" w:color="7F7F7F"/>
            </w:tcBorders>
            <w:shd w:val="clear" w:color="auto" w:fill="F2F2F2"/>
          </w:tcPr>
          <w:p>
            <w:pPr>
              <w:spacing w:after="0"/>
              <w:rPr>
                <w:sz w:val="21"/>
                <w:szCs w:val="21"/>
                <w:color w:val="auto"/>
              </w:rPr>
            </w:pPr>
          </w:p>
        </w:tc>
      </w:tr>
      <w:tr>
        <w:trPr>
          <w:trHeight w:val="247"/>
        </w:trPr>
        <w:tc>
          <w:tcPr>
            <w:tcW w:w="4640" w:type="dxa"/>
            <w:vAlign w:val="bottom"/>
            <w:tcBorders>
              <w:bottom w:val="single" w:sz="8" w:color="7F7F7F"/>
            </w:tcBorders>
          </w:tcPr>
          <w:p>
            <w:pPr>
              <w:ind w:left="200"/>
              <w:spacing w:after="0"/>
              <w:rPr>
                <w:sz w:val="20"/>
                <w:szCs w:val="20"/>
                <w:color w:val="auto"/>
              </w:rPr>
            </w:pPr>
            <w:r>
              <w:rPr>
                <w:rFonts w:ascii="Arial" w:cs="Arial" w:eastAsia="Arial" w:hAnsi="Arial"/>
                <w:sz w:val="12"/>
                <w:szCs w:val="12"/>
                <w:color w:val="auto"/>
              </w:rPr>
              <w:t>Financial Planning</w:t>
            </w:r>
            <w:r>
              <w:rPr>
                <w:rFonts w:ascii="Arial" w:cs="Arial" w:eastAsia="Arial" w:hAnsi="Arial"/>
                <w:sz w:val="18"/>
                <w:szCs w:val="18"/>
                <w:color w:val="auto"/>
                <w:vertAlign w:val="superscript"/>
              </w:rPr>
              <w:t>(E)</w:t>
            </w:r>
          </w:p>
        </w:tc>
        <w:tc>
          <w:tcPr>
            <w:tcW w:w="640" w:type="dxa"/>
            <w:vAlign w:val="bottom"/>
            <w:tcBorders>
              <w:bottom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7F7F7F"/>
            </w:tcBorders>
          </w:tcPr>
          <w:p>
            <w:pPr>
              <w:jc w:val="right"/>
              <w:ind w:right="298"/>
              <w:spacing w:after="0"/>
              <w:rPr>
                <w:sz w:val="20"/>
                <w:szCs w:val="20"/>
                <w:color w:val="auto"/>
              </w:rPr>
            </w:pPr>
            <w:r>
              <w:rPr>
                <w:rFonts w:ascii="Arial" w:cs="Arial" w:eastAsia="Arial" w:hAnsi="Arial"/>
                <w:sz w:val="12"/>
                <w:szCs w:val="12"/>
                <w:color w:val="auto"/>
              </w:rPr>
              <w:t>37,500</w:t>
            </w: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7F7F7F"/>
            </w:tcBorders>
          </w:tcPr>
          <w:p>
            <w:pPr>
              <w:jc w:val="right"/>
              <w:ind w:right="318"/>
              <w:spacing w:after="0"/>
              <w:rPr>
                <w:sz w:val="20"/>
                <w:szCs w:val="20"/>
                <w:color w:val="auto"/>
              </w:rPr>
            </w:pPr>
            <w:r>
              <w:rPr>
                <w:rFonts w:ascii="Arial" w:cs="Arial" w:eastAsia="Arial" w:hAnsi="Arial"/>
                <w:sz w:val="12"/>
                <w:szCs w:val="12"/>
                <w:color w:val="auto"/>
              </w:rPr>
              <w:t>50,000</w:t>
            </w:r>
          </w:p>
        </w:tc>
        <w:tc>
          <w:tcPr>
            <w:tcW w:w="400" w:type="dxa"/>
            <w:vAlign w:val="bottom"/>
            <w:tcBorders>
              <w:bottom w:val="single" w:sz="8" w:color="7F7F7F"/>
            </w:tcBorders>
          </w:tcPr>
          <w:p>
            <w:pPr>
              <w:spacing w:after="0"/>
              <w:rPr>
                <w:sz w:val="21"/>
                <w:szCs w:val="21"/>
                <w:color w:val="auto"/>
              </w:rPr>
            </w:pPr>
          </w:p>
        </w:tc>
        <w:tc>
          <w:tcPr>
            <w:tcW w:w="960" w:type="dxa"/>
            <w:vAlign w:val="bottom"/>
            <w:tcBorders>
              <w:bottom w:val="single" w:sz="8" w:color="7F7F7F"/>
            </w:tcBorders>
          </w:tcPr>
          <w:p>
            <w:pPr>
              <w:spacing w:after="0"/>
              <w:rPr>
                <w:sz w:val="21"/>
                <w:szCs w:val="21"/>
                <w:color w:val="auto"/>
              </w:rPr>
            </w:pPr>
          </w:p>
        </w:tc>
        <w:tc>
          <w:tcPr>
            <w:tcW w:w="820" w:type="dxa"/>
            <w:vAlign w:val="bottom"/>
            <w:tcBorders>
              <w:bottom w:val="single" w:sz="8" w:color="7F7F7F"/>
            </w:tcBorders>
          </w:tcPr>
          <w:p>
            <w:pPr>
              <w:spacing w:after="0"/>
              <w:rPr>
                <w:sz w:val="21"/>
                <w:szCs w:val="21"/>
                <w:color w:val="auto"/>
              </w:rPr>
            </w:pPr>
          </w:p>
        </w:tc>
        <w:tc>
          <w:tcPr>
            <w:tcW w:w="720" w:type="dxa"/>
            <w:vAlign w:val="bottom"/>
            <w:tcBorders>
              <w:bottom w:val="single" w:sz="8" w:color="7F7F7F"/>
            </w:tcBorders>
          </w:tcPr>
          <w:p>
            <w:pPr>
              <w:spacing w:after="0"/>
              <w:rPr>
                <w:sz w:val="21"/>
                <w:szCs w:val="21"/>
                <w:color w:val="auto"/>
              </w:rPr>
            </w:pPr>
          </w:p>
        </w:tc>
      </w:tr>
      <w:tr>
        <w:trPr>
          <w:trHeight w:val="252"/>
        </w:trPr>
        <w:tc>
          <w:tcPr>
            <w:tcW w:w="464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12"/>
                <w:szCs w:val="12"/>
                <w:color w:val="auto"/>
              </w:rPr>
              <w:t>Outplacement</w:t>
            </w:r>
          </w:p>
        </w:tc>
        <w:tc>
          <w:tcPr>
            <w:tcW w:w="640" w:type="dxa"/>
            <w:vAlign w:val="bottom"/>
            <w:tcBorders>
              <w:bottom w:val="single" w:sz="8" w:color="F2F2F2"/>
            </w:tcBorders>
            <w:shd w:val="clear" w:color="auto" w:fill="F2F2F2"/>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F2F2F2"/>
            </w:tcBorders>
            <w:shd w:val="clear" w:color="auto" w:fill="F2F2F2"/>
          </w:tcPr>
          <w:p>
            <w:pPr>
              <w:jc w:val="right"/>
              <w:ind w:right="298"/>
              <w:spacing w:after="0"/>
              <w:rPr>
                <w:sz w:val="20"/>
                <w:szCs w:val="20"/>
                <w:color w:val="auto"/>
              </w:rPr>
            </w:pPr>
            <w:r>
              <w:rPr>
                <w:rFonts w:ascii="Arial" w:cs="Arial" w:eastAsia="Arial" w:hAnsi="Arial"/>
                <w:sz w:val="12"/>
                <w:szCs w:val="12"/>
                <w:color w:val="auto"/>
              </w:rPr>
              <w:t>50,000</w:t>
            </w:r>
          </w:p>
        </w:tc>
        <w:tc>
          <w:tcPr>
            <w:tcW w:w="7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F2F2F2"/>
            </w:tcBorders>
            <w:shd w:val="clear" w:color="auto" w:fill="F2F2F2"/>
          </w:tcPr>
          <w:p>
            <w:pPr>
              <w:jc w:val="right"/>
              <w:ind w:right="318"/>
              <w:spacing w:after="0"/>
              <w:rPr>
                <w:sz w:val="20"/>
                <w:szCs w:val="20"/>
                <w:color w:val="auto"/>
              </w:rPr>
            </w:pPr>
            <w:r>
              <w:rPr>
                <w:rFonts w:ascii="Arial" w:cs="Arial" w:eastAsia="Arial" w:hAnsi="Arial"/>
                <w:sz w:val="12"/>
                <w:szCs w:val="12"/>
                <w:color w:val="auto"/>
              </w:rPr>
              <w:t>50,000</w:t>
            </w:r>
          </w:p>
        </w:tc>
        <w:tc>
          <w:tcPr>
            <w:tcW w:w="400" w:type="dxa"/>
            <w:vAlign w:val="bottom"/>
            <w:tcBorders>
              <w:bottom w:val="single" w:sz="8" w:color="F2F2F2"/>
            </w:tcBorders>
            <w:shd w:val="clear" w:color="auto" w:fill="F2F2F2"/>
          </w:tcPr>
          <w:p>
            <w:pPr>
              <w:spacing w:after="0"/>
              <w:rPr>
                <w:sz w:val="21"/>
                <w:szCs w:val="21"/>
                <w:color w:val="auto"/>
              </w:rPr>
            </w:pPr>
          </w:p>
        </w:tc>
        <w:tc>
          <w:tcPr>
            <w:tcW w:w="960" w:type="dxa"/>
            <w:vAlign w:val="bottom"/>
            <w:tcBorders>
              <w:bottom w:val="single" w:sz="8" w:color="F2F2F2"/>
            </w:tcBorders>
            <w:shd w:val="clear" w:color="auto" w:fill="F2F2F2"/>
          </w:tcPr>
          <w:p>
            <w:pPr>
              <w:spacing w:after="0"/>
              <w:rPr>
                <w:sz w:val="21"/>
                <w:szCs w:val="21"/>
                <w:color w:val="auto"/>
              </w:rPr>
            </w:pPr>
          </w:p>
        </w:tc>
        <w:tc>
          <w:tcPr>
            <w:tcW w:w="820" w:type="dxa"/>
            <w:vAlign w:val="bottom"/>
            <w:tcBorders>
              <w:bottom w:val="single" w:sz="8" w:color="F2F2F2"/>
            </w:tcBorders>
            <w:shd w:val="clear" w:color="auto" w:fill="F2F2F2"/>
          </w:tcPr>
          <w:p>
            <w:pPr>
              <w:spacing w:after="0"/>
              <w:rPr>
                <w:sz w:val="21"/>
                <w:szCs w:val="21"/>
                <w:color w:val="auto"/>
              </w:rPr>
            </w:pPr>
          </w:p>
        </w:tc>
        <w:tc>
          <w:tcPr>
            <w:tcW w:w="720" w:type="dxa"/>
            <w:vAlign w:val="bottom"/>
            <w:tcBorders>
              <w:bottom w:val="single" w:sz="8" w:color="F2F2F2"/>
            </w:tcBorders>
            <w:shd w:val="clear" w:color="auto" w:fill="F2F2F2"/>
          </w:tcPr>
          <w:p>
            <w:pPr>
              <w:spacing w:after="0"/>
              <w:rPr>
                <w:sz w:val="21"/>
                <w:szCs w:val="21"/>
                <w:color w:val="auto"/>
              </w:rPr>
            </w:pPr>
          </w:p>
        </w:tc>
      </w:tr>
      <w:tr>
        <w:trPr>
          <w:trHeight w:val="194"/>
        </w:trPr>
        <w:tc>
          <w:tcPr>
            <w:tcW w:w="4640" w:type="dxa"/>
            <w:vAlign w:val="bottom"/>
            <w:tcBorders>
              <w:top w:val="single" w:sz="8" w:color="7F7F7F"/>
            </w:tcBorders>
          </w:tcPr>
          <w:p>
            <w:pPr>
              <w:ind w:left="200"/>
              <w:spacing w:after="0"/>
              <w:rPr>
                <w:sz w:val="20"/>
                <w:szCs w:val="20"/>
                <w:color w:val="auto"/>
              </w:rPr>
            </w:pPr>
            <w:r>
              <w:rPr>
                <w:rFonts w:ascii="Arial" w:cs="Arial" w:eastAsia="Arial" w:hAnsi="Arial"/>
                <w:sz w:val="12"/>
                <w:szCs w:val="12"/>
                <w:color w:val="auto"/>
              </w:rPr>
              <w:t>Total</w:t>
            </w:r>
          </w:p>
        </w:tc>
        <w:tc>
          <w:tcPr>
            <w:tcW w:w="640" w:type="dxa"/>
            <w:vAlign w:val="bottom"/>
            <w:tcBorders>
              <w:top w:val="single" w:sz="8" w:color="7F7F7F"/>
            </w:tcBorders>
          </w:tcPr>
          <w:p>
            <w:pPr>
              <w:ind w:left="560"/>
              <w:spacing w:after="0"/>
              <w:rPr>
                <w:sz w:val="20"/>
                <w:szCs w:val="20"/>
                <w:color w:val="auto"/>
              </w:rPr>
            </w:pPr>
            <w:r>
              <w:rPr>
                <w:rFonts w:ascii="Arial" w:cs="Arial" w:eastAsia="Arial" w:hAnsi="Arial"/>
                <w:sz w:val="12"/>
                <w:szCs w:val="12"/>
                <w:color w:val="auto"/>
                <w:w w:val="89"/>
              </w:rPr>
              <w:t>$</w:t>
            </w:r>
          </w:p>
        </w:tc>
        <w:tc>
          <w:tcPr>
            <w:tcW w:w="980" w:type="dxa"/>
            <w:vAlign w:val="bottom"/>
            <w:tcBorders>
              <w:top w:val="single" w:sz="8" w:color="7F7F7F"/>
            </w:tcBorders>
          </w:tcPr>
          <w:p>
            <w:pPr>
              <w:jc w:val="right"/>
              <w:ind w:right="298"/>
              <w:spacing w:after="0"/>
              <w:rPr>
                <w:sz w:val="20"/>
                <w:szCs w:val="20"/>
                <w:color w:val="auto"/>
              </w:rPr>
            </w:pPr>
            <w:r>
              <w:rPr>
                <w:rFonts w:ascii="Arial" w:cs="Arial" w:eastAsia="Arial" w:hAnsi="Arial"/>
                <w:sz w:val="12"/>
                <w:szCs w:val="12"/>
                <w:color w:val="auto"/>
              </w:rPr>
              <w:t>1,702,786</w:t>
            </w:r>
          </w:p>
        </w:tc>
        <w:tc>
          <w:tcPr>
            <w:tcW w:w="7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tcBorders>
          </w:tcPr>
          <w:p>
            <w:pPr>
              <w:jc w:val="right"/>
              <w:ind w:right="318"/>
              <w:spacing w:after="0"/>
              <w:rPr>
                <w:sz w:val="20"/>
                <w:szCs w:val="20"/>
                <w:color w:val="auto"/>
              </w:rPr>
            </w:pPr>
            <w:r>
              <w:rPr>
                <w:rFonts w:ascii="Arial" w:cs="Arial" w:eastAsia="Arial" w:hAnsi="Arial"/>
                <w:sz w:val="12"/>
                <w:szCs w:val="12"/>
                <w:color w:val="auto"/>
              </w:rPr>
              <w:t>4,993,939</w:t>
            </w:r>
          </w:p>
        </w:tc>
        <w:tc>
          <w:tcPr>
            <w:tcW w:w="4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7F7F7F"/>
            </w:tcBorders>
          </w:tcPr>
          <w:p>
            <w:pPr>
              <w:jc w:val="right"/>
              <w:ind w:right="258"/>
              <w:spacing w:after="0"/>
              <w:rPr>
                <w:sz w:val="20"/>
                <w:szCs w:val="20"/>
                <w:color w:val="auto"/>
              </w:rPr>
            </w:pPr>
            <w:r>
              <w:rPr>
                <w:rFonts w:ascii="Arial" w:cs="Arial" w:eastAsia="Arial" w:hAnsi="Arial"/>
                <w:sz w:val="12"/>
                <w:szCs w:val="12"/>
                <w:color w:val="auto"/>
              </w:rPr>
              <w:t>731,890</w:t>
            </w:r>
          </w:p>
        </w:tc>
        <w:tc>
          <w:tcPr>
            <w:tcW w:w="8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7F7F7F"/>
            </w:tcBorders>
          </w:tcPr>
          <w:p>
            <w:pPr>
              <w:jc w:val="right"/>
              <w:ind w:right="38"/>
              <w:spacing w:after="0"/>
              <w:rPr>
                <w:sz w:val="20"/>
                <w:szCs w:val="20"/>
                <w:color w:val="auto"/>
              </w:rPr>
            </w:pPr>
            <w:r>
              <w:rPr>
                <w:rFonts w:ascii="Arial" w:cs="Arial" w:eastAsia="Arial" w:hAnsi="Arial"/>
                <w:sz w:val="12"/>
                <w:szCs w:val="12"/>
                <w:color w:val="auto"/>
              </w:rPr>
              <w:t>2,735,947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34290</wp:posOffset>
            </wp:positionV>
            <wp:extent cx="69297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-7200900</wp:posOffset>
            </wp:positionV>
            <wp:extent cx="384683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46830" cy="8255"/>
                    </a:xfrm>
                    <a:prstGeom prst="rect">
                      <a:avLst/>
                    </a:prstGeom>
                    <a:noFill/>
                  </pic:spPr>
                </pic:pic>
              </a:graphicData>
            </a:graphic>
          </wp:anchor>
        </w:drawing>
      </w:r>
    </w:p>
    <w:p>
      <w:pPr>
        <w:spacing w:after="0" w:line="109" w:lineRule="exact"/>
        <w:rPr>
          <w:sz w:val="20"/>
          <w:szCs w:val="20"/>
          <w:color w:val="auto"/>
        </w:rPr>
      </w:pPr>
    </w:p>
    <w:p>
      <w:pPr>
        <w:ind w:left="480" w:hanging="313"/>
        <w:spacing w:after="0"/>
        <w:tabs>
          <w:tab w:leader="none" w:pos="48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For Messrs. Martin and Bird and Mss. Sedgwick and Winn, the severance payment is equal to one times (two times if related to a change in control) the sum of (i) annual base salary and</w:t>
      </w:r>
    </w:p>
    <w:p>
      <w:pPr>
        <w:spacing w:after="0" w:line="7" w:lineRule="exact"/>
        <w:rPr>
          <w:rFonts w:ascii="Arial" w:cs="Arial" w:eastAsia="Arial" w:hAnsi="Arial"/>
          <w:sz w:val="12"/>
          <w:szCs w:val="12"/>
          <w:color w:val="auto"/>
        </w:rPr>
      </w:pPr>
    </w:p>
    <w:p>
      <w:pPr>
        <w:ind w:left="480" w:right="40"/>
        <w:spacing w:after="0" w:line="237" w:lineRule="auto"/>
        <w:rPr>
          <w:rFonts w:ascii="Arial" w:cs="Arial" w:eastAsia="Arial" w:hAnsi="Arial"/>
          <w:sz w:val="12"/>
          <w:szCs w:val="12"/>
          <w:color w:val="auto"/>
        </w:rPr>
      </w:pPr>
      <w:r>
        <w:rPr>
          <w:rFonts w:ascii="Arial" w:cs="Arial" w:eastAsia="Arial" w:hAnsi="Arial"/>
          <w:sz w:val="12"/>
          <w:szCs w:val="12"/>
          <w:color w:val="auto"/>
        </w:rPr>
        <w:t>(ii) the higher of the average of the last three performance-based annual bonuses or his or her target bonus for the year in which the termination occurs. For Ms. Day, the severance payment is equal to one-half times (one times if related to a change in control) the sum of (i) annual base salary and (ii) the higher of the average of the last three performance-based annual bonuses or her target bonus for the year in which the termination occurs. An additional one times the sum of annual base salary and the higher of the average of the last three performance-based annual bonuses or target bonus for the year in which the termination occurs is conditioned upon the executive’s agreement to provide post-termination consulting services if requested and a general release in favor of the company and abide by restrictive covenants related to non-solicitation and confidentiality. In addition, in the event a termination occurs or is deemed to occur within two years following a change in control, or in the event of an executive’s death or disability, an executive will also receive a prorated bonus for the year of termination equal to the greater of the average of the last three performance-based annual bonuses or the target bonus for the year in which the termination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94615</wp:posOffset>
            </wp:positionV>
            <wp:extent cx="69297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221615</wp:posOffset>
            </wp:positionV>
            <wp:extent cx="739140" cy="144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83</w:t>
      </w:r>
    </w:p>
    <w:p>
      <w:pPr>
        <w:sectPr>
          <w:pgSz w:w="11900" w:h="16838" w:orient="portrait"/>
          <w:cols w:equalWidth="0" w:num="1">
            <w:col w:w="11080"/>
          </w:cols>
          <w:pgMar w:left="320" w:top="478" w:right="499" w:bottom="1142"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Executive Compensation</w:t>
      </w:r>
    </w:p>
    <w:p>
      <w:pPr>
        <w:spacing w:after="0" w:line="136" w:lineRule="exact"/>
        <w:rPr>
          <w:sz w:val="20"/>
          <w:szCs w:val="20"/>
          <w:color w:val="auto"/>
        </w:rPr>
      </w:pPr>
    </w:p>
    <w:p>
      <w:pPr>
        <w:jc w:val="both"/>
        <w:ind w:left="480" w:right="180" w:hanging="313"/>
        <w:spacing w:after="0" w:line="255" w:lineRule="auto"/>
        <w:tabs>
          <w:tab w:leader="none" w:pos="4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If the executive receives a bonus under the annual bonus plan for the year of termination, such bonus is offset by the prorated bonus provided under the severance pay agreement. For each named executive officer, the amount shown in the table above excludes payment of the bonus earned in the year of termination because the actual 2025 bonus under the annual bonus plan exceeds the 2025 bonus payable under the severance pay agreement.</w:t>
      </w:r>
    </w:p>
    <w:p>
      <w:pPr>
        <w:spacing w:after="0" w:line="1" w:lineRule="exact"/>
        <w:rPr>
          <w:sz w:val="20"/>
          <w:szCs w:val="20"/>
          <w:color w:val="auto"/>
        </w:rPr>
      </w:pPr>
    </w:p>
    <w:p>
      <w:pPr>
        <w:ind w:left="480" w:right="40" w:hanging="313"/>
        <w:spacing w:after="0" w:line="239" w:lineRule="auto"/>
        <w:tabs>
          <w:tab w:leader="none" w:pos="48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Fair market value at December 31, 2025, of shares subject to stock options and performance-based and service-based restricted stock units for which forfeiture restrictions would terminate. Includes the value of the 2023 performance-based restricted stock unit awards that vested in early 2026. The value realized upon the vesting of these awards is discussed in footnote (B) to the 2025 Option Exercises and Stock Vested table above. Any outstanding awards would immediately vest upon an executive’s involuntary termination (for reasons other than cause), termination for “good reason,” death, disability or retirement, in each case that occurs or is deemed to occur during the three-year period following (or, in cases of certain involuntary terminations, in connection with or in anticipation of) a change in control for the amounts listed under the “Related to a Change in Control” column and upon these events but without a change in control for the amounts listed under the “Unrelated to a Change in Control” column. Assuming any outstanding awards were assumed or replaced in a change in control, such awards would immediately vest upon a change in control without an accompanying termination only if an employee is eligible for retirement (age 55 or older with five or more years of service) as of the date of the change in control for the amounts listed under the “Change in Control Only” column. Service-based awards would vest upon an executive’s death.</w:t>
      </w:r>
    </w:p>
    <w:p>
      <w:pPr>
        <w:spacing w:after="0" w:line="10" w:lineRule="exact"/>
        <w:rPr>
          <w:rFonts w:ascii="Arial" w:cs="Arial" w:eastAsia="Arial" w:hAnsi="Arial"/>
          <w:sz w:val="12"/>
          <w:szCs w:val="12"/>
          <w:color w:val="auto"/>
        </w:rPr>
      </w:pPr>
    </w:p>
    <w:p>
      <w:pPr>
        <w:ind w:left="480" w:right="200" w:hanging="313"/>
        <w:spacing w:after="0" w:line="248" w:lineRule="auto"/>
        <w:tabs>
          <w:tab w:leader="none" w:pos="48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For Ms. Sedgwick and Mr. Bird, the amounts shown for termination related to a change in control are the incremental actuarial value assuming that they had attained age 62, but reduced for applicable early retirement factors. For termination resulting from death, the amounts shown for Ms. Sedgwick and Mr. Bird are equal to the difference between the death benefit under our pension plans and the benefit that would have been payable in connection with a voluntary termination on December 31, 2025. For the other named executive officers, there is no difference between the death benefit under our pension plans and the benefit payable in connection with a voluntary termination.</w:t>
      </w:r>
    </w:p>
    <w:p>
      <w:pPr>
        <w:spacing w:after="0" w:line="4" w:lineRule="exact"/>
        <w:rPr>
          <w:rFonts w:ascii="Arial" w:cs="Arial" w:eastAsia="Arial" w:hAnsi="Arial"/>
          <w:sz w:val="12"/>
          <w:szCs w:val="12"/>
          <w:color w:val="auto"/>
        </w:rPr>
      </w:pPr>
    </w:p>
    <w:p>
      <w:pPr>
        <w:ind w:left="480" w:right="140" w:hanging="313"/>
        <w:spacing w:after="0" w:line="248" w:lineRule="auto"/>
        <w:tabs>
          <w:tab w:leader="none" w:pos="48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Estimated value associated with continuation of health benefits for two years (18 months for Ms. Day) for termination unrelated to a change in control and continuation of health, life, disability and accident benefits for three years (two years for Ms. Day) for termination related to a change in control. In addition, Mr. Martin is eligible to receive the life insurance benefit payable upon death described under “Compensation Discussion and Analysis—Compensation Components—Benefit Plans and Other Executive Benefits—Health, Life Insurance and Disability Plans and Other Executive Benefits,” which in the event his death had occurred on December 31, 2025 would have been $12,000,000.</w:t>
      </w:r>
    </w:p>
    <w:p>
      <w:pPr>
        <w:spacing w:after="0" w:line="4" w:lineRule="exact"/>
        <w:rPr>
          <w:rFonts w:ascii="Arial" w:cs="Arial" w:eastAsia="Arial" w:hAnsi="Arial"/>
          <w:sz w:val="12"/>
          <w:szCs w:val="12"/>
          <w:color w:val="auto"/>
        </w:rPr>
      </w:pPr>
    </w:p>
    <w:p>
      <w:pPr>
        <w:ind w:left="480" w:right="20" w:hanging="313"/>
        <w:spacing w:after="0" w:line="279" w:lineRule="auto"/>
        <w:tabs>
          <w:tab w:leader="none" w:pos="48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Estimated value associated with continuation of financial planning services for two years (18 months for Ms. Day) for termination unrelated to a change in control, and three years (two years for Ms. Day) for termination related to a change in control.</w:t>
      </w:r>
    </w:p>
    <w:p>
      <w:pPr>
        <w:spacing w:after="0" w:line="62" w:lineRule="exact"/>
        <w:rPr>
          <w:sz w:val="20"/>
          <w:szCs w:val="20"/>
          <w:color w:val="auto"/>
        </w:rPr>
      </w:pPr>
    </w:p>
    <w:p>
      <w:pPr>
        <w:jc w:val="both"/>
        <w:ind w:left="160"/>
        <w:spacing w:after="0" w:line="253" w:lineRule="auto"/>
        <w:rPr>
          <w:sz w:val="20"/>
          <w:szCs w:val="20"/>
          <w:color w:val="auto"/>
        </w:rPr>
      </w:pPr>
      <w:r>
        <w:rPr>
          <w:rFonts w:ascii="Arial" w:cs="Arial" w:eastAsia="Arial" w:hAnsi="Arial"/>
          <w:sz w:val="14"/>
          <w:szCs w:val="14"/>
          <w:color w:val="auto"/>
        </w:rPr>
        <w:t>Executive officers who voluntarily terminate their employment (other than for “good reason”) or whose employment is terminated by the company for cause are not entitled to severance benefits. Our executives also may be eligible for certain payments under our retirement or deferred compensation plans as described above under “Compensation Discussion and Analysis—Compensation Components—Benefit Plans and Other Executive Benefits—Savings and Retirement Plans,” “Pension Benefits,” and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84               </w:t>
      </w:r>
      <w:r>
        <w:rPr>
          <w:sz w:val="1"/>
          <w:szCs w:val="1"/>
          <w:color w:val="auto"/>
        </w:rPr>
        <w:drawing>
          <wp:inline distT="0" distB="0" distL="0" distR="0">
            <wp:extent cx="739140" cy="144145"/>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ind w:right="20"/>
        <w:spacing w:after="0"/>
        <w:rPr>
          <w:sz w:val="20"/>
          <w:szCs w:val="20"/>
          <w:color w:val="auto"/>
        </w:rPr>
      </w:pPr>
      <w:r>
        <w:rPr>
          <w:rFonts w:ascii="Arial" w:cs="Arial" w:eastAsia="Arial" w:hAnsi="Arial"/>
          <w:sz w:val="11"/>
          <w:szCs w:val="11"/>
          <w:b w:val="1"/>
          <w:bCs w:val="1"/>
          <w:color w:val="7F7F7F"/>
        </w:rPr>
        <w:t>Executive Compensation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Pay-Versus-Performance</w:t>
      </w:r>
    </w:p>
    <w:p>
      <w:pPr>
        <w:spacing w:after="0" w:line="129" w:lineRule="exact"/>
        <w:rPr>
          <w:sz w:val="20"/>
          <w:szCs w:val="20"/>
          <w:color w:val="auto"/>
        </w:rPr>
      </w:pPr>
    </w:p>
    <w:p>
      <w:pPr>
        <w:ind w:left="160" w:right="180"/>
        <w:spacing w:after="0" w:line="281" w:lineRule="auto"/>
        <w:rPr>
          <w:sz w:val="20"/>
          <w:szCs w:val="20"/>
          <w:color w:val="auto"/>
        </w:rPr>
      </w:pPr>
      <w:r>
        <w:rPr>
          <w:rFonts w:ascii="Arial" w:cs="Arial" w:eastAsia="Arial" w:hAnsi="Arial"/>
          <w:sz w:val="14"/>
          <w:szCs w:val="14"/>
          <w:color w:val="auto"/>
        </w:rPr>
        <w:t>The information below has been prepared in accordance with the SEC’s pay-versus-performance disclosure rules, which include a measure called “Compensation Actually Paid” (CAP).</w:t>
      </w:r>
    </w:p>
    <w:p>
      <w:pPr>
        <w:spacing w:after="0" w:line="51" w:lineRule="exact"/>
        <w:rPr>
          <w:sz w:val="20"/>
          <w:szCs w:val="20"/>
          <w:color w:val="auto"/>
        </w:rPr>
      </w:pPr>
    </w:p>
    <w:p>
      <w:pPr>
        <w:ind w:left="160" w:right="100"/>
        <w:spacing w:after="0" w:line="260" w:lineRule="auto"/>
        <w:rPr>
          <w:sz w:val="20"/>
          <w:szCs w:val="20"/>
          <w:color w:val="auto"/>
        </w:rPr>
      </w:pPr>
      <w:r>
        <w:rPr>
          <w:rFonts w:ascii="Arial" w:cs="Arial" w:eastAsia="Arial" w:hAnsi="Arial"/>
          <w:sz w:val="14"/>
          <w:szCs w:val="14"/>
          <w:color w:val="auto"/>
        </w:rPr>
        <w:t xml:space="preserve">It is important to note that CAP does not represent the actual amount of pay that has been fully earned or realized, either in the year set forth in the table or at all. For a fulsome description of our executive compensation program and the alignment of executive compensation and performance for our principal executive officer (PEO) and our non-PEO named executive officers (Non-PEO NEOs), please refer to the Compensation Discussion and Analysis on pages </w:t>
      </w:r>
      <w:r>
        <w:rPr>
          <w:rFonts w:ascii="Arial" w:cs="Arial" w:eastAsia="Arial" w:hAnsi="Arial"/>
          <w:sz w:val="14"/>
          <w:szCs w:val="14"/>
          <w:u w:val="single" w:color="auto"/>
          <w:color w:val="0000EE"/>
        </w:rPr>
        <w:t>40</w:t>
      </w:r>
      <w:r>
        <w:rPr>
          <w:rFonts w:ascii="Arial" w:cs="Arial" w:eastAsia="Arial" w:hAnsi="Arial"/>
          <w:sz w:val="14"/>
          <w:szCs w:val="14"/>
          <w:color w:val="auto"/>
        </w:rPr>
        <w:t xml:space="preserve"> through 67 in this proxy statement.</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2025 PAY-VERSUS-PERFORMANCE</w:t>
      </w: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1180" w:type="dxa"/>
            <w:vAlign w:val="bottom"/>
            <w:shd w:val="clear" w:color="auto" w:fill="005CB9"/>
          </w:tcPr>
          <w:p>
            <w:pPr>
              <w:spacing w:after="0"/>
              <w:rPr>
                <w:sz w:val="18"/>
                <w:szCs w:val="18"/>
                <w:color w:val="auto"/>
              </w:rPr>
            </w:pPr>
          </w:p>
        </w:tc>
        <w:tc>
          <w:tcPr>
            <w:tcW w:w="260" w:type="dxa"/>
            <w:vAlign w:val="bottom"/>
            <w:shd w:val="clear" w:color="auto" w:fill="005CB9"/>
          </w:tcPr>
          <w:p>
            <w:pPr>
              <w:spacing w:after="0"/>
              <w:rPr>
                <w:sz w:val="18"/>
                <w:szCs w:val="18"/>
                <w:color w:val="auto"/>
              </w:rPr>
            </w:pPr>
          </w:p>
        </w:tc>
        <w:tc>
          <w:tcPr>
            <w:tcW w:w="1140" w:type="dxa"/>
            <w:vAlign w:val="bottom"/>
            <w:shd w:val="clear" w:color="auto" w:fill="005CB9"/>
          </w:tcPr>
          <w:p>
            <w:pPr>
              <w:spacing w:after="0"/>
              <w:rPr>
                <w:sz w:val="18"/>
                <w:szCs w:val="18"/>
                <w:color w:val="auto"/>
              </w:rPr>
            </w:pPr>
          </w:p>
        </w:tc>
        <w:tc>
          <w:tcPr>
            <w:tcW w:w="1120" w:type="dxa"/>
            <w:vAlign w:val="bottom"/>
            <w:shd w:val="clear" w:color="auto" w:fill="005CB9"/>
          </w:tcPr>
          <w:p>
            <w:pPr>
              <w:spacing w:after="0"/>
              <w:rPr>
                <w:sz w:val="18"/>
                <w:szCs w:val="18"/>
                <w:color w:val="auto"/>
              </w:rPr>
            </w:pPr>
          </w:p>
        </w:tc>
        <w:tc>
          <w:tcPr>
            <w:tcW w:w="120" w:type="dxa"/>
            <w:vAlign w:val="bottom"/>
            <w:shd w:val="clear" w:color="auto" w:fill="005CB9"/>
          </w:tcPr>
          <w:p>
            <w:pPr>
              <w:spacing w:after="0"/>
              <w:rPr>
                <w:sz w:val="18"/>
                <w:szCs w:val="18"/>
                <w:color w:val="auto"/>
              </w:rPr>
            </w:pPr>
          </w:p>
        </w:tc>
        <w:tc>
          <w:tcPr>
            <w:tcW w:w="126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rPr>
              <w:t>Average</w:t>
            </w:r>
          </w:p>
        </w:tc>
        <w:tc>
          <w:tcPr>
            <w:tcW w:w="1140" w:type="dxa"/>
            <w:vAlign w:val="bottom"/>
            <w:shd w:val="clear" w:color="auto" w:fill="005CB9"/>
          </w:tcPr>
          <w:p>
            <w:pPr>
              <w:spacing w:after="0"/>
              <w:rPr>
                <w:sz w:val="18"/>
                <w:szCs w:val="18"/>
                <w:color w:val="auto"/>
              </w:rPr>
            </w:pPr>
          </w:p>
        </w:tc>
        <w:tc>
          <w:tcPr>
            <w:tcW w:w="240" w:type="dxa"/>
            <w:vAlign w:val="bottom"/>
            <w:shd w:val="clear" w:color="auto" w:fill="005CB9"/>
          </w:tcPr>
          <w:p>
            <w:pPr>
              <w:spacing w:after="0"/>
              <w:rPr>
                <w:sz w:val="18"/>
                <w:szCs w:val="18"/>
                <w:color w:val="auto"/>
              </w:rPr>
            </w:pPr>
          </w:p>
        </w:tc>
        <w:tc>
          <w:tcPr>
            <w:tcW w:w="2100" w:type="dxa"/>
            <w:vAlign w:val="bottom"/>
            <w:gridSpan w:val="2"/>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Value of Initial Fixed $100</w:t>
            </w:r>
          </w:p>
        </w:tc>
        <w:tc>
          <w:tcPr>
            <w:tcW w:w="1180" w:type="dxa"/>
            <w:vAlign w:val="bottom"/>
            <w:shd w:val="clear" w:color="auto" w:fill="005CB9"/>
          </w:tcPr>
          <w:p>
            <w:pPr>
              <w:spacing w:after="0"/>
              <w:rPr>
                <w:sz w:val="18"/>
                <w:szCs w:val="18"/>
                <w:color w:val="auto"/>
              </w:rPr>
            </w:pPr>
          </w:p>
        </w:tc>
        <w:tc>
          <w:tcPr>
            <w:tcW w:w="1180" w:type="dxa"/>
            <w:vAlign w:val="bottom"/>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1180" w:type="dxa"/>
            <w:vAlign w:val="bottom"/>
            <w:shd w:val="clear" w:color="auto" w:fill="005CB9"/>
          </w:tcPr>
          <w:p>
            <w:pPr>
              <w:spacing w:after="0"/>
              <w:rPr>
                <w:sz w:val="6"/>
                <w:szCs w:val="6"/>
                <w:color w:val="auto"/>
              </w:rPr>
            </w:pPr>
          </w:p>
        </w:tc>
        <w:tc>
          <w:tcPr>
            <w:tcW w:w="260" w:type="dxa"/>
            <w:vAlign w:val="bottom"/>
            <w:shd w:val="clear" w:color="auto" w:fill="005CB9"/>
          </w:tcPr>
          <w:p>
            <w:pPr>
              <w:spacing w:after="0"/>
              <w:rPr>
                <w:sz w:val="6"/>
                <w:szCs w:val="6"/>
                <w:color w:val="auto"/>
              </w:rPr>
            </w:pPr>
          </w:p>
        </w:tc>
        <w:tc>
          <w:tcPr>
            <w:tcW w:w="1140" w:type="dxa"/>
            <w:vAlign w:val="bottom"/>
            <w:shd w:val="clear" w:color="auto" w:fill="005CB9"/>
          </w:tcPr>
          <w:p>
            <w:pPr>
              <w:spacing w:after="0"/>
              <w:rPr>
                <w:sz w:val="6"/>
                <w:szCs w:val="6"/>
                <w:color w:val="auto"/>
              </w:rPr>
            </w:pPr>
          </w:p>
        </w:tc>
        <w:tc>
          <w:tcPr>
            <w:tcW w:w="1120" w:type="dxa"/>
            <w:vAlign w:val="bottom"/>
            <w:shd w:val="clear" w:color="auto" w:fill="005CB9"/>
          </w:tcPr>
          <w:p>
            <w:pPr>
              <w:spacing w:after="0"/>
              <w:rPr>
                <w:sz w:val="6"/>
                <w:szCs w:val="6"/>
                <w:color w:val="auto"/>
              </w:rPr>
            </w:pPr>
          </w:p>
        </w:tc>
        <w:tc>
          <w:tcPr>
            <w:tcW w:w="120" w:type="dxa"/>
            <w:vAlign w:val="bottom"/>
            <w:shd w:val="clear" w:color="auto" w:fill="005CB9"/>
          </w:tcPr>
          <w:p>
            <w:pPr>
              <w:spacing w:after="0"/>
              <w:rPr>
                <w:sz w:val="6"/>
                <w:szCs w:val="6"/>
                <w:color w:val="auto"/>
              </w:rPr>
            </w:pPr>
          </w:p>
        </w:tc>
        <w:tc>
          <w:tcPr>
            <w:tcW w:w="1260" w:type="dxa"/>
            <w:vAlign w:val="bottom"/>
            <w:vMerge w:val="continue"/>
            <w:shd w:val="clear" w:color="auto" w:fill="005CB9"/>
          </w:tcPr>
          <w:p>
            <w:pPr>
              <w:spacing w:after="0"/>
              <w:rPr>
                <w:sz w:val="6"/>
                <w:szCs w:val="6"/>
                <w:color w:val="auto"/>
              </w:rPr>
            </w:pPr>
          </w:p>
        </w:tc>
        <w:tc>
          <w:tcPr>
            <w:tcW w:w="1140" w:type="dxa"/>
            <w:vAlign w:val="bottom"/>
            <w:shd w:val="clear" w:color="auto" w:fill="005CB9"/>
          </w:tcPr>
          <w:p>
            <w:pPr>
              <w:spacing w:after="0"/>
              <w:rPr>
                <w:sz w:val="6"/>
                <w:szCs w:val="6"/>
                <w:color w:val="auto"/>
              </w:rPr>
            </w:pPr>
          </w:p>
        </w:tc>
        <w:tc>
          <w:tcPr>
            <w:tcW w:w="240" w:type="dxa"/>
            <w:vAlign w:val="bottom"/>
            <w:shd w:val="clear" w:color="auto" w:fill="005CB9"/>
          </w:tcPr>
          <w:p>
            <w:pPr>
              <w:spacing w:after="0"/>
              <w:rPr>
                <w:sz w:val="6"/>
                <w:szCs w:val="6"/>
                <w:color w:val="auto"/>
              </w:rPr>
            </w:pPr>
          </w:p>
        </w:tc>
        <w:tc>
          <w:tcPr>
            <w:tcW w:w="2100" w:type="dxa"/>
            <w:vAlign w:val="bottom"/>
            <w:gridSpan w:val="2"/>
            <w:vMerge w:val="restart"/>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Investment Based on</w:t>
            </w:r>
          </w:p>
        </w:tc>
        <w:tc>
          <w:tcPr>
            <w:tcW w:w="1180" w:type="dxa"/>
            <w:vAlign w:val="bottom"/>
            <w:shd w:val="clear" w:color="auto" w:fill="005CB9"/>
          </w:tcPr>
          <w:p>
            <w:pPr>
              <w:spacing w:after="0"/>
              <w:rPr>
                <w:sz w:val="6"/>
                <w:szCs w:val="6"/>
                <w:color w:val="auto"/>
              </w:rPr>
            </w:pPr>
          </w:p>
        </w:tc>
        <w:tc>
          <w:tcPr>
            <w:tcW w:w="1180" w:type="dxa"/>
            <w:vAlign w:val="bottom"/>
            <w:shd w:val="clear" w:color="auto" w:fill="005CB9"/>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1180" w:type="dxa"/>
            <w:vAlign w:val="bottom"/>
            <w:shd w:val="clear" w:color="auto" w:fill="005CB9"/>
          </w:tcPr>
          <w:p>
            <w:pPr>
              <w:spacing w:after="0"/>
              <w:rPr>
                <w:sz w:val="7"/>
                <w:szCs w:val="7"/>
                <w:color w:val="auto"/>
              </w:rPr>
            </w:pPr>
          </w:p>
        </w:tc>
        <w:tc>
          <w:tcPr>
            <w:tcW w:w="260" w:type="dxa"/>
            <w:vAlign w:val="bottom"/>
            <w:shd w:val="clear" w:color="auto" w:fill="005CB9"/>
          </w:tcPr>
          <w:p>
            <w:pPr>
              <w:spacing w:after="0"/>
              <w:rPr>
                <w:sz w:val="7"/>
                <w:szCs w:val="7"/>
                <w:color w:val="auto"/>
              </w:rPr>
            </w:pPr>
          </w:p>
        </w:tc>
        <w:tc>
          <w:tcPr>
            <w:tcW w:w="1140" w:type="dxa"/>
            <w:vAlign w:val="bottom"/>
            <w:shd w:val="clear" w:color="auto" w:fill="005CB9"/>
          </w:tcPr>
          <w:p>
            <w:pPr>
              <w:spacing w:after="0"/>
              <w:rPr>
                <w:sz w:val="7"/>
                <w:szCs w:val="7"/>
                <w:color w:val="auto"/>
              </w:rPr>
            </w:pPr>
          </w:p>
        </w:tc>
        <w:tc>
          <w:tcPr>
            <w:tcW w:w="1120" w:type="dxa"/>
            <w:vAlign w:val="bottom"/>
            <w:shd w:val="clear" w:color="auto" w:fill="005CB9"/>
          </w:tcPr>
          <w:p>
            <w:pPr>
              <w:spacing w:after="0"/>
              <w:rPr>
                <w:sz w:val="7"/>
                <w:szCs w:val="7"/>
                <w:color w:val="auto"/>
              </w:rPr>
            </w:pPr>
          </w:p>
        </w:tc>
        <w:tc>
          <w:tcPr>
            <w:tcW w:w="120" w:type="dxa"/>
            <w:vAlign w:val="bottom"/>
            <w:shd w:val="clear" w:color="auto" w:fill="005CB9"/>
          </w:tcPr>
          <w:p>
            <w:pPr>
              <w:spacing w:after="0"/>
              <w:rPr>
                <w:sz w:val="7"/>
                <w:szCs w:val="7"/>
                <w:color w:val="auto"/>
              </w:rPr>
            </w:pPr>
          </w:p>
        </w:tc>
        <w:tc>
          <w:tcPr>
            <w:tcW w:w="126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rPr>
              <w:t>Summary</w:t>
            </w:r>
          </w:p>
        </w:tc>
        <w:tc>
          <w:tcPr>
            <w:tcW w:w="1140" w:type="dxa"/>
            <w:vAlign w:val="bottom"/>
            <w:vMerge w:val="restart"/>
            <w:shd w:val="clear" w:color="auto" w:fill="005CB9"/>
          </w:tcPr>
          <w:p>
            <w:pPr>
              <w:jc w:val="center"/>
              <w:ind w:left="69"/>
              <w:spacing w:after="0"/>
              <w:rPr>
                <w:sz w:val="20"/>
                <w:szCs w:val="20"/>
                <w:color w:val="auto"/>
              </w:rPr>
            </w:pPr>
            <w:r>
              <w:rPr>
                <w:rFonts w:ascii="Arial" w:cs="Arial" w:eastAsia="Arial" w:hAnsi="Arial"/>
                <w:sz w:val="14"/>
                <w:szCs w:val="14"/>
                <w:b w:val="1"/>
                <w:bCs w:val="1"/>
                <w:color w:val="FFFFFF"/>
              </w:rPr>
              <w:t>Average</w:t>
            </w:r>
          </w:p>
        </w:tc>
        <w:tc>
          <w:tcPr>
            <w:tcW w:w="240" w:type="dxa"/>
            <w:vAlign w:val="bottom"/>
            <w:shd w:val="clear" w:color="auto" w:fill="005CB9"/>
          </w:tcPr>
          <w:p>
            <w:pPr>
              <w:spacing w:after="0"/>
              <w:rPr>
                <w:sz w:val="7"/>
                <w:szCs w:val="7"/>
                <w:color w:val="auto"/>
              </w:rPr>
            </w:pPr>
          </w:p>
        </w:tc>
        <w:tc>
          <w:tcPr>
            <w:tcW w:w="2100" w:type="dxa"/>
            <w:vAlign w:val="bottom"/>
            <w:gridSpan w:val="2"/>
            <w:vMerge w:val="continue"/>
            <w:shd w:val="clear" w:color="auto" w:fill="005CB9"/>
          </w:tcPr>
          <w:p>
            <w:pPr>
              <w:spacing w:after="0"/>
              <w:rPr>
                <w:sz w:val="7"/>
                <w:szCs w:val="7"/>
                <w:color w:val="auto"/>
              </w:rPr>
            </w:pPr>
          </w:p>
        </w:tc>
        <w:tc>
          <w:tcPr>
            <w:tcW w:w="1180" w:type="dxa"/>
            <w:vAlign w:val="bottom"/>
            <w:shd w:val="clear" w:color="auto" w:fill="005CB9"/>
          </w:tcPr>
          <w:p>
            <w:pPr>
              <w:spacing w:after="0"/>
              <w:rPr>
                <w:sz w:val="7"/>
                <w:szCs w:val="7"/>
                <w:color w:val="auto"/>
              </w:rPr>
            </w:pPr>
          </w:p>
        </w:tc>
        <w:tc>
          <w:tcPr>
            <w:tcW w:w="118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180" w:type="dxa"/>
            <w:vAlign w:val="bottom"/>
            <w:shd w:val="clear" w:color="auto" w:fill="005CB9"/>
          </w:tcPr>
          <w:p>
            <w:pPr>
              <w:spacing w:after="0"/>
              <w:rPr>
                <w:sz w:val="6"/>
                <w:szCs w:val="6"/>
                <w:color w:val="auto"/>
              </w:rPr>
            </w:pPr>
          </w:p>
        </w:tc>
        <w:tc>
          <w:tcPr>
            <w:tcW w:w="260" w:type="dxa"/>
            <w:vAlign w:val="bottom"/>
            <w:shd w:val="clear" w:color="auto" w:fill="005CB9"/>
          </w:tcPr>
          <w:p>
            <w:pPr>
              <w:spacing w:after="0"/>
              <w:rPr>
                <w:sz w:val="6"/>
                <w:szCs w:val="6"/>
                <w:color w:val="auto"/>
              </w:rPr>
            </w:pPr>
          </w:p>
        </w:tc>
        <w:tc>
          <w:tcPr>
            <w:tcW w:w="1140" w:type="dxa"/>
            <w:vAlign w:val="bottom"/>
            <w:vMerge w:val="restart"/>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Summary</w:t>
            </w:r>
          </w:p>
        </w:tc>
        <w:tc>
          <w:tcPr>
            <w:tcW w:w="1120" w:type="dxa"/>
            <w:vAlign w:val="bottom"/>
            <w:shd w:val="clear" w:color="auto" w:fill="005CB9"/>
          </w:tcPr>
          <w:p>
            <w:pPr>
              <w:spacing w:after="0"/>
              <w:rPr>
                <w:sz w:val="6"/>
                <w:szCs w:val="6"/>
                <w:color w:val="auto"/>
              </w:rPr>
            </w:pPr>
          </w:p>
        </w:tc>
        <w:tc>
          <w:tcPr>
            <w:tcW w:w="120" w:type="dxa"/>
            <w:vAlign w:val="bottom"/>
            <w:shd w:val="clear" w:color="auto" w:fill="005CB9"/>
          </w:tcPr>
          <w:p>
            <w:pPr>
              <w:spacing w:after="0"/>
              <w:rPr>
                <w:sz w:val="6"/>
                <w:szCs w:val="6"/>
                <w:color w:val="auto"/>
              </w:rPr>
            </w:pPr>
          </w:p>
        </w:tc>
        <w:tc>
          <w:tcPr>
            <w:tcW w:w="1260" w:type="dxa"/>
            <w:vAlign w:val="bottom"/>
            <w:vMerge w:val="continue"/>
            <w:shd w:val="clear" w:color="auto" w:fill="005CB9"/>
          </w:tcPr>
          <w:p>
            <w:pPr>
              <w:spacing w:after="0"/>
              <w:rPr>
                <w:sz w:val="6"/>
                <w:szCs w:val="6"/>
                <w:color w:val="auto"/>
              </w:rPr>
            </w:pPr>
          </w:p>
        </w:tc>
        <w:tc>
          <w:tcPr>
            <w:tcW w:w="1140" w:type="dxa"/>
            <w:vAlign w:val="bottom"/>
            <w:vMerge w:val="continue"/>
            <w:shd w:val="clear" w:color="auto" w:fill="005CB9"/>
          </w:tcPr>
          <w:p>
            <w:pPr>
              <w:spacing w:after="0"/>
              <w:rPr>
                <w:sz w:val="6"/>
                <w:szCs w:val="6"/>
                <w:color w:val="auto"/>
              </w:rPr>
            </w:pPr>
          </w:p>
        </w:tc>
        <w:tc>
          <w:tcPr>
            <w:tcW w:w="240" w:type="dxa"/>
            <w:vAlign w:val="bottom"/>
            <w:shd w:val="clear" w:color="auto" w:fill="005CB9"/>
          </w:tcPr>
          <w:p>
            <w:pPr>
              <w:spacing w:after="0"/>
              <w:rPr>
                <w:sz w:val="6"/>
                <w:szCs w:val="6"/>
                <w:color w:val="auto"/>
              </w:rPr>
            </w:pPr>
          </w:p>
        </w:tc>
        <w:tc>
          <w:tcPr>
            <w:tcW w:w="980" w:type="dxa"/>
            <w:vAlign w:val="bottom"/>
            <w:shd w:val="clear" w:color="auto" w:fill="005CB9"/>
          </w:tcPr>
          <w:p>
            <w:pPr>
              <w:spacing w:after="0"/>
              <w:rPr>
                <w:sz w:val="6"/>
                <w:szCs w:val="6"/>
                <w:color w:val="auto"/>
              </w:rPr>
            </w:pPr>
          </w:p>
        </w:tc>
        <w:tc>
          <w:tcPr>
            <w:tcW w:w="112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Peer Group</w:t>
            </w:r>
          </w:p>
        </w:tc>
        <w:tc>
          <w:tcPr>
            <w:tcW w:w="1180" w:type="dxa"/>
            <w:vAlign w:val="bottom"/>
            <w:shd w:val="clear" w:color="auto" w:fill="005CB9"/>
          </w:tcPr>
          <w:p>
            <w:pPr>
              <w:spacing w:after="0"/>
              <w:rPr>
                <w:sz w:val="6"/>
                <w:szCs w:val="6"/>
                <w:color w:val="auto"/>
              </w:rPr>
            </w:pPr>
          </w:p>
        </w:tc>
        <w:tc>
          <w:tcPr>
            <w:tcW w:w="1180" w:type="dxa"/>
            <w:vAlign w:val="bottom"/>
            <w:shd w:val="clear" w:color="auto" w:fill="005CB9"/>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1180" w:type="dxa"/>
            <w:vAlign w:val="bottom"/>
            <w:shd w:val="clear" w:color="auto" w:fill="005CB9"/>
          </w:tcPr>
          <w:p>
            <w:pPr>
              <w:spacing w:after="0"/>
              <w:rPr>
                <w:sz w:val="8"/>
                <w:szCs w:val="8"/>
                <w:color w:val="auto"/>
              </w:rPr>
            </w:pPr>
          </w:p>
        </w:tc>
        <w:tc>
          <w:tcPr>
            <w:tcW w:w="260" w:type="dxa"/>
            <w:vAlign w:val="bottom"/>
            <w:shd w:val="clear" w:color="auto" w:fill="005CB9"/>
          </w:tcPr>
          <w:p>
            <w:pPr>
              <w:spacing w:after="0"/>
              <w:rPr>
                <w:sz w:val="8"/>
                <w:szCs w:val="8"/>
                <w:color w:val="auto"/>
              </w:rPr>
            </w:pPr>
          </w:p>
        </w:tc>
        <w:tc>
          <w:tcPr>
            <w:tcW w:w="1140" w:type="dxa"/>
            <w:vAlign w:val="bottom"/>
            <w:vMerge w:val="continue"/>
            <w:shd w:val="clear" w:color="auto" w:fill="005CB9"/>
          </w:tcPr>
          <w:p>
            <w:pPr>
              <w:spacing w:after="0"/>
              <w:rPr>
                <w:sz w:val="8"/>
                <w:szCs w:val="8"/>
                <w:color w:val="auto"/>
              </w:rPr>
            </w:pPr>
          </w:p>
        </w:tc>
        <w:tc>
          <w:tcPr>
            <w:tcW w:w="1120" w:type="dxa"/>
            <w:vAlign w:val="bottom"/>
            <w:shd w:val="clear" w:color="auto" w:fill="005CB9"/>
          </w:tcPr>
          <w:p>
            <w:pPr>
              <w:spacing w:after="0"/>
              <w:rPr>
                <w:sz w:val="8"/>
                <w:szCs w:val="8"/>
                <w:color w:val="auto"/>
              </w:rPr>
            </w:pPr>
          </w:p>
        </w:tc>
        <w:tc>
          <w:tcPr>
            <w:tcW w:w="120" w:type="dxa"/>
            <w:vAlign w:val="bottom"/>
            <w:shd w:val="clear" w:color="auto" w:fill="005CB9"/>
          </w:tcPr>
          <w:p>
            <w:pPr>
              <w:spacing w:after="0"/>
              <w:rPr>
                <w:sz w:val="8"/>
                <w:szCs w:val="8"/>
                <w:color w:val="auto"/>
              </w:rPr>
            </w:pPr>
          </w:p>
        </w:tc>
        <w:tc>
          <w:tcPr>
            <w:tcW w:w="126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gridSpan w:val="2"/>
            <w:vMerge w:val="restart"/>
            <w:shd w:val="clear" w:color="auto" w:fill="005CB9"/>
          </w:tcPr>
          <w:p>
            <w:pPr>
              <w:jc w:val="right"/>
              <w:ind w:right="260"/>
              <w:spacing w:after="0"/>
              <w:rPr>
                <w:sz w:val="20"/>
                <w:szCs w:val="20"/>
                <w:color w:val="auto"/>
              </w:rPr>
            </w:pPr>
            <w:r>
              <w:rPr>
                <w:rFonts w:ascii="Arial" w:cs="Arial" w:eastAsia="Arial" w:hAnsi="Arial"/>
                <w:sz w:val="14"/>
                <w:szCs w:val="14"/>
                <w:b w:val="1"/>
                <w:bCs w:val="1"/>
                <w:color w:val="FFFFFF"/>
              </w:rPr>
              <w:t>Compensation</w:t>
            </w:r>
          </w:p>
        </w:tc>
        <w:tc>
          <w:tcPr>
            <w:tcW w:w="980" w:type="dxa"/>
            <w:vAlign w:val="bottom"/>
            <w:shd w:val="clear" w:color="auto" w:fill="005CB9"/>
          </w:tcPr>
          <w:p>
            <w:pPr>
              <w:spacing w:after="0"/>
              <w:rPr>
                <w:sz w:val="8"/>
                <w:szCs w:val="8"/>
                <w:color w:val="auto"/>
              </w:rPr>
            </w:pPr>
          </w:p>
        </w:tc>
        <w:tc>
          <w:tcPr>
            <w:tcW w:w="1120" w:type="dxa"/>
            <w:vAlign w:val="bottom"/>
            <w:vMerge w:val="continue"/>
            <w:shd w:val="clear" w:color="auto" w:fill="005CB9"/>
          </w:tcPr>
          <w:p>
            <w:pPr>
              <w:spacing w:after="0"/>
              <w:rPr>
                <w:sz w:val="8"/>
                <w:szCs w:val="8"/>
                <w:color w:val="auto"/>
              </w:rPr>
            </w:pPr>
          </w:p>
        </w:tc>
        <w:tc>
          <w:tcPr>
            <w:tcW w:w="1180" w:type="dxa"/>
            <w:vAlign w:val="bottom"/>
            <w:shd w:val="clear" w:color="auto" w:fill="005CB9"/>
          </w:tcPr>
          <w:p>
            <w:pPr>
              <w:spacing w:after="0"/>
              <w:rPr>
                <w:sz w:val="8"/>
                <w:szCs w:val="8"/>
                <w:color w:val="auto"/>
              </w:rPr>
            </w:pPr>
          </w:p>
        </w:tc>
        <w:tc>
          <w:tcPr>
            <w:tcW w:w="1180" w:type="dxa"/>
            <w:vAlign w:val="bottom"/>
            <w:shd w:val="clear" w:color="auto" w:fill="005CB9"/>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80" w:type="dxa"/>
            <w:vAlign w:val="bottom"/>
            <w:shd w:val="clear" w:color="auto" w:fill="005CB9"/>
          </w:tcPr>
          <w:p>
            <w:pPr>
              <w:spacing w:after="0"/>
              <w:rPr>
                <w:sz w:val="5"/>
                <w:szCs w:val="5"/>
                <w:color w:val="auto"/>
              </w:rPr>
            </w:pPr>
          </w:p>
        </w:tc>
        <w:tc>
          <w:tcPr>
            <w:tcW w:w="260" w:type="dxa"/>
            <w:vAlign w:val="bottom"/>
            <w:shd w:val="clear" w:color="auto" w:fill="005CB9"/>
          </w:tcPr>
          <w:p>
            <w:pPr>
              <w:spacing w:after="0"/>
              <w:rPr>
                <w:sz w:val="5"/>
                <w:szCs w:val="5"/>
                <w:color w:val="auto"/>
              </w:rPr>
            </w:pPr>
          </w:p>
        </w:tc>
        <w:tc>
          <w:tcPr>
            <w:tcW w:w="1140" w:type="dxa"/>
            <w:vAlign w:val="bottom"/>
            <w:vMerge w:val="restart"/>
            <w:shd w:val="clear" w:color="auto" w:fill="005CB9"/>
          </w:tcPr>
          <w:p>
            <w:pPr>
              <w:jc w:val="right"/>
              <w:ind w:right="69"/>
              <w:spacing w:after="0"/>
              <w:rPr>
                <w:sz w:val="20"/>
                <w:szCs w:val="20"/>
                <w:color w:val="auto"/>
              </w:rPr>
            </w:pPr>
            <w:r>
              <w:rPr>
                <w:rFonts w:ascii="Arial" w:cs="Arial" w:eastAsia="Arial" w:hAnsi="Arial"/>
                <w:sz w:val="14"/>
                <w:szCs w:val="14"/>
                <w:b w:val="1"/>
                <w:bCs w:val="1"/>
                <w:color w:val="FFFFFF"/>
              </w:rPr>
              <w:t>Compensation</w:t>
            </w:r>
          </w:p>
        </w:tc>
        <w:tc>
          <w:tcPr>
            <w:tcW w:w="1120" w:type="dxa"/>
            <w:vAlign w:val="bottom"/>
            <w:vMerge w:val="restart"/>
            <w:shd w:val="clear" w:color="auto" w:fill="005CB9"/>
          </w:tcPr>
          <w:p>
            <w:pPr>
              <w:jc w:val="right"/>
              <w:spacing w:after="0"/>
              <w:rPr>
                <w:sz w:val="20"/>
                <w:szCs w:val="20"/>
                <w:color w:val="auto"/>
              </w:rPr>
            </w:pPr>
            <w:r>
              <w:rPr>
                <w:rFonts w:ascii="Arial" w:cs="Arial" w:eastAsia="Arial" w:hAnsi="Arial"/>
                <w:sz w:val="14"/>
                <w:szCs w:val="14"/>
                <w:b w:val="1"/>
                <w:bCs w:val="1"/>
                <w:color w:val="FFFFFF"/>
              </w:rPr>
              <w:t>Compensation</w:t>
            </w:r>
          </w:p>
        </w:tc>
        <w:tc>
          <w:tcPr>
            <w:tcW w:w="120" w:type="dxa"/>
            <w:vAlign w:val="bottom"/>
            <w:shd w:val="clear" w:color="auto" w:fill="005CB9"/>
          </w:tcPr>
          <w:p>
            <w:pPr>
              <w:spacing w:after="0"/>
              <w:rPr>
                <w:sz w:val="5"/>
                <w:szCs w:val="5"/>
                <w:color w:val="auto"/>
              </w:rPr>
            </w:pPr>
          </w:p>
        </w:tc>
        <w:tc>
          <w:tcPr>
            <w:tcW w:w="1260" w:type="dxa"/>
            <w:vAlign w:val="bottom"/>
            <w:vMerge w:val="continue"/>
            <w:shd w:val="clear" w:color="auto" w:fill="005CB9"/>
          </w:tcPr>
          <w:p>
            <w:pPr>
              <w:spacing w:after="0"/>
              <w:rPr>
                <w:sz w:val="5"/>
                <w:szCs w:val="5"/>
                <w:color w:val="auto"/>
              </w:rPr>
            </w:pPr>
          </w:p>
        </w:tc>
        <w:tc>
          <w:tcPr>
            <w:tcW w:w="1380" w:type="dxa"/>
            <w:vAlign w:val="bottom"/>
            <w:gridSpan w:val="2"/>
            <w:vMerge w:val="continue"/>
            <w:shd w:val="clear" w:color="auto" w:fill="005CB9"/>
          </w:tcPr>
          <w:p>
            <w:pPr>
              <w:spacing w:after="0"/>
              <w:rPr>
                <w:sz w:val="5"/>
                <w:szCs w:val="5"/>
                <w:color w:val="auto"/>
              </w:rPr>
            </w:pPr>
          </w:p>
        </w:tc>
        <w:tc>
          <w:tcPr>
            <w:tcW w:w="980" w:type="dxa"/>
            <w:vAlign w:val="bottom"/>
            <w:vMerge w:val="restart"/>
            <w:shd w:val="clear" w:color="auto" w:fill="005CB9"/>
          </w:tcPr>
          <w:p>
            <w:pPr>
              <w:jc w:val="center"/>
              <w:ind w:right="49"/>
              <w:spacing w:after="0"/>
              <w:rPr>
                <w:sz w:val="20"/>
                <w:szCs w:val="20"/>
                <w:color w:val="auto"/>
              </w:rPr>
            </w:pPr>
            <w:r>
              <w:rPr>
                <w:rFonts w:ascii="Arial" w:cs="Arial" w:eastAsia="Arial" w:hAnsi="Arial"/>
                <w:sz w:val="14"/>
                <w:szCs w:val="14"/>
                <w:b w:val="1"/>
                <w:bCs w:val="1"/>
                <w:color w:val="FFFFFF"/>
              </w:rPr>
              <w:t>Total</w:t>
            </w:r>
          </w:p>
        </w:tc>
        <w:tc>
          <w:tcPr>
            <w:tcW w:w="112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180" w:type="dxa"/>
            <w:vAlign w:val="bottom"/>
            <w:shd w:val="clear" w:color="auto" w:fill="005CB9"/>
          </w:tcPr>
          <w:p>
            <w:pPr>
              <w:spacing w:after="0"/>
              <w:rPr>
                <w:sz w:val="5"/>
                <w:szCs w:val="5"/>
                <w:color w:val="auto"/>
              </w:rPr>
            </w:pPr>
          </w:p>
        </w:tc>
        <w:tc>
          <w:tcPr>
            <w:tcW w:w="1180" w:type="dxa"/>
            <w:vAlign w:val="bottom"/>
            <w:shd w:val="clear" w:color="auto" w:fill="005CB9"/>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180" w:type="dxa"/>
            <w:vAlign w:val="bottom"/>
            <w:shd w:val="clear" w:color="auto" w:fill="005CB9"/>
          </w:tcPr>
          <w:p>
            <w:pPr>
              <w:spacing w:after="0"/>
              <w:rPr>
                <w:sz w:val="8"/>
                <w:szCs w:val="8"/>
                <w:color w:val="auto"/>
              </w:rPr>
            </w:pPr>
          </w:p>
        </w:tc>
        <w:tc>
          <w:tcPr>
            <w:tcW w:w="260" w:type="dxa"/>
            <w:vAlign w:val="bottom"/>
            <w:shd w:val="clear" w:color="auto" w:fill="005CB9"/>
          </w:tcPr>
          <w:p>
            <w:pPr>
              <w:spacing w:after="0"/>
              <w:rPr>
                <w:sz w:val="8"/>
                <w:szCs w:val="8"/>
                <w:color w:val="auto"/>
              </w:rPr>
            </w:pPr>
          </w:p>
        </w:tc>
        <w:tc>
          <w:tcPr>
            <w:tcW w:w="1140" w:type="dxa"/>
            <w:vAlign w:val="bottom"/>
            <w:vMerge w:val="continue"/>
            <w:shd w:val="clear" w:color="auto" w:fill="005CB9"/>
          </w:tcPr>
          <w:p>
            <w:pPr>
              <w:spacing w:after="0"/>
              <w:rPr>
                <w:sz w:val="8"/>
                <w:szCs w:val="8"/>
                <w:color w:val="auto"/>
              </w:rPr>
            </w:pPr>
          </w:p>
        </w:tc>
        <w:tc>
          <w:tcPr>
            <w:tcW w:w="1120" w:type="dxa"/>
            <w:vAlign w:val="bottom"/>
            <w:vMerge w:val="continue"/>
            <w:shd w:val="clear" w:color="auto" w:fill="005CB9"/>
          </w:tcPr>
          <w:p>
            <w:pPr>
              <w:spacing w:after="0"/>
              <w:rPr>
                <w:sz w:val="8"/>
                <w:szCs w:val="8"/>
                <w:color w:val="auto"/>
              </w:rPr>
            </w:pPr>
          </w:p>
        </w:tc>
        <w:tc>
          <w:tcPr>
            <w:tcW w:w="120" w:type="dxa"/>
            <w:vAlign w:val="bottom"/>
            <w:shd w:val="clear" w:color="auto" w:fill="005CB9"/>
          </w:tcPr>
          <w:p>
            <w:pPr>
              <w:spacing w:after="0"/>
              <w:rPr>
                <w:sz w:val="8"/>
                <w:szCs w:val="8"/>
                <w:color w:val="auto"/>
              </w:rPr>
            </w:pPr>
          </w:p>
        </w:tc>
        <w:tc>
          <w:tcPr>
            <w:tcW w:w="126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w w:val="99"/>
              </w:rPr>
              <w:t>Table Total for</w:t>
            </w:r>
          </w:p>
        </w:tc>
        <w:tc>
          <w:tcPr>
            <w:tcW w:w="1380" w:type="dxa"/>
            <w:vAlign w:val="bottom"/>
            <w:gridSpan w:val="2"/>
            <w:vMerge w:val="restart"/>
            <w:shd w:val="clear" w:color="auto" w:fill="005CB9"/>
          </w:tcPr>
          <w:p>
            <w:pPr>
              <w:jc w:val="center"/>
              <w:ind w:right="120"/>
              <w:spacing w:after="0"/>
              <w:rPr>
                <w:sz w:val="20"/>
                <w:szCs w:val="20"/>
                <w:color w:val="auto"/>
              </w:rPr>
            </w:pPr>
            <w:r>
              <w:rPr>
                <w:rFonts w:ascii="Arial" w:cs="Arial" w:eastAsia="Arial" w:hAnsi="Arial"/>
                <w:sz w:val="14"/>
                <w:szCs w:val="14"/>
                <w:b w:val="1"/>
                <w:bCs w:val="1"/>
                <w:color w:val="FFFFFF"/>
              </w:rPr>
              <w:t>Actually Paid</w:t>
            </w:r>
          </w:p>
        </w:tc>
        <w:tc>
          <w:tcPr>
            <w:tcW w:w="980" w:type="dxa"/>
            <w:vAlign w:val="bottom"/>
            <w:vMerge w:val="continue"/>
            <w:shd w:val="clear" w:color="auto" w:fill="005CB9"/>
          </w:tcPr>
          <w:p>
            <w:pPr>
              <w:spacing w:after="0"/>
              <w:rPr>
                <w:sz w:val="8"/>
                <w:szCs w:val="8"/>
                <w:color w:val="auto"/>
              </w:rPr>
            </w:pPr>
          </w:p>
        </w:tc>
        <w:tc>
          <w:tcPr>
            <w:tcW w:w="1120" w:type="dxa"/>
            <w:vAlign w:val="bottom"/>
            <w:vMerge w:val="continue"/>
            <w:shd w:val="clear" w:color="auto" w:fill="005CB9"/>
          </w:tcPr>
          <w:p>
            <w:pPr>
              <w:spacing w:after="0"/>
              <w:rPr>
                <w:sz w:val="8"/>
                <w:szCs w:val="8"/>
                <w:color w:val="auto"/>
              </w:rPr>
            </w:pPr>
          </w:p>
        </w:tc>
        <w:tc>
          <w:tcPr>
            <w:tcW w:w="1180" w:type="dxa"/>
            <w:vAlign w:val="bottom"/>
            <w:shd w:val="clear" w:color="auto" w:fill="005CB9"/>
          </w:tcPr>
          <w:p>
            <w:pPr>
              <w:spacing w:after="0"/>
              <w:rPr>
                <w:sz w:val="8"/>
                <w:szCs w:val="8"/>
                <w:color w:val="auto"/>
              </w:rPr>
            </w:pPr>
          </w:p>
        </w:tc>
        <w:tc>
          <w:tcPr>
            <w:tcW w:w="1180" w:type="dxa"/>
            <w:vAlign w:val="bottom"/>
            <w:shd w:val="clear" w:color="auto" w:fill="005CB9"/>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80" w:type="dxa"/>
            <w:vAlign w:val="bottom"/>
            <w:shd w:val="clear" w:color="auto" w:fill="005CB9"/>
          </w:tcPr>
          <w:p>
            <w:pPr>
              <w:spacing w:after="0"/>
              <w:rPr>
                <w:sz w:val="5"/>
                <w:szCs w:val="5"/>
                <w:color w:val="auto"/>
              </w:rPr>
            </w:pPr>
          </w:p>
        </w:tc>
        <w:tc>
          <w:tcPr>
            <w:tcW w:w="260" w:type="dxa"/>
            <w:vAlign w:val="bottom"/>
            <w:shd w:val="clear" w:color="auto" w:fill="005CB9"/>
          </w:tcPr>
          <w:p>
            <w:pPr>
              <w:spacing w:after="0"/>
              <w:rPr>
                <w:sz w:val="5"/>
                <w:szCs w:val="5"/>
                <w:color w:val="auto"/>
              </w:rPr>
            </w:pPr>
          </w:p>
        </w:tc>
        <w:tc>
          <w:tcPr>
            <w:tcW w:w="1140" w:type="dxa"/>
            <w:vAlign w:val="bottom"/>
            <w:vMerge w:val="restart"/>
            <w:shd w:val="clear" w:color="auto" w:fill="005CB9"/>
          </w:tcPr>
          <w:p>
            <w:pPr>
              <w:jc w:val="right"/>
              <w:ind w:right="89"/>
              <w:spacing w:after="0"/>
              <w:rPr>
                <w:sz w:val="20"/>
                <w:szCs w:val="20"/>
                <w:color w:val="auto"/>
              </w:rPr>
            </w:pPr>
            <w:r>
              <w:rPr>
                <w:rFonts w:ascii="Arial" w:cs="Arial" w:eastAsia="Arial" w:hAnsi="Arial"/>
                <w:sz w:val="14"/>
                <w:szCs w:val="14"/>
                <w:b w:val="1"/>
                <w:bCs w:val="1"/>
                <w:color w:val="FFFFFF"/>
                <w:w w:val="99"/>
              </w:rPr>
              <w:t>Table Total for</w:t>
            </w:r>
          </w:p>
        </w:tc>
        <w:tc>
          <w:tcPr>
            <w:tcW w:w="1120" w:type="dxa"/>
            <w:vAlign w:val="bottom"/>
            <w:vMerge w:val="restart"/>
            <w:shd w:val="clear" w:color="auto" w:fill="005CB9"/>
          </w:tcPr>
          <w:p>
            <w:pPr>
              <w:jc w:val="center"/>
              <w:ind w:left="29"/>
              <w:spacing w:after="0"/>
              <w:rPr>
                <w:sz w:val="20"/>
                <w:szCs w:val="20"/>
                <w:color w:val="auto"/>
              </w:rPr>
            </w:pPr>
            <w:r>
              <w:rPr>
                <w:rFonts w:ascii="Arial" w:cs="Arial" w:eastAsia="Arial" w:hAnsi="Arial"/>
                <w:sz w:val="14"/>
                <w:szCs w:val="14"/>
                <w:b w:val="1"/>
                <w:bCs w:val="1"/>
                <w:color w:val="FFFFFF"/>
              </w:rPr>
              <w:t>Actually Paid</w:t>
            </w:r>
          </w:p>
        </w:tc>
        <w:tc>
          <w:tcPr>
            <w:tcW w:w="120" w:type="dxa"/>
            <w:vAlign w:val="bottom"/>
            <w:shd w:val="clear" w:color="auto" w:fill="005CB9"/>
          </w:tcPr>
          <w:p>
            <w:pPr>
              <w:spacing w:after="0"/>
              <w:rPr>
                <w:sz w:val="5"/>
                <w:szCs w:val="5"/>
                <w:color w:val="auto"/>
              </w:rPr>
            </w:pPr>
          </w:p>
        </w:tc>
        <w:tc>
          <w:tcPr>
            <w:tcW w:w="1260" w:type="dxa"/>
            <w:vAlign w:val="bottom"/>
            <w:vMerge w:val="continue"/>
            <w:shd w:val="clear" w:color="auto" w:fill="005CB9"/>
          </w:tcPr>
          <w:p>
            <w:pPr>
              <w:spacing w:after="0"/>
              <w:rPr>
                <w:sz w:val="5"/>
                <w:szCs w:val="5"/>
                <w:color w:val="auto"/>
              </w:rPr>
            </w:pPr>
          </w:p>
        </w:tc>
        <w:tc>
          <w:tcPr>
            <w:tcW w:w="1380" w:type="dxa"/>
            <w:vAlign w:val="bottom"/>
            <w:gridSpan w:val="2"/>
            <w:vMerge w:val="continue"/>
            <w:shd w:val="clear" w:color="auto" w:fill="005CB9"/>
          </w:tcPr>
          <w:p>
            <w:pPr>
              <w:spacing w:after="0"/>
              <w:rPr>
                <w:sz w:val="5"/>
                <w:szCs w:val="5"/>
                <w:color w:val="auto"/>
              </w:rPr>
            </w:pPr>
          </w:p>
        </w:tc>
        <w:tc>
          <w:tcPr>
            <w:tcW w:w="980" w:type="dxa"/>
            <w:vAlign w:val="bottom"/>
            <w:vMerge w:val="restart"/>
            <w:shd w:val="clear" w:color="auto" w:fill="005CB9"/>
          </w:tcPr>
          <w:p>
            <w:pPr>
              <w:jc w:val="center"/>
              <w:ind w:right="49"/>
              <w:spacing w:after="0"/>
              <w:rPr>
                <w:sz w:val="20"/>
                <w:szCs w:val="20"/>
                <w:color w:val="auto"/>
              </w:rPr>
            </w:pPr>
            <w:r>
              <w:rPr>
                <w:rFonts w:ascii="Arial" w:cs="Arial" w:eastAsia="Arial" w:hAnsi="Arial"/>
                <w:sz w:val="14"/>
                <w:szCs w:val="14"/>
                <w:b w:val="1"/>
                <w:bCs w:val="1"/>
                <w:color w:val="FFFFFF"/>
              </w:rPr>
              <w:t>Shareholder</w:t>
            </w:r>
          </w:p>
        </w:tc>
        <w:tc>
          <w:tcPr>
            <w:tcW w:w="112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rPr>
              <w:t>Shareholder</w:t>
            </w:r>
          </w:p>
        </w:tc>
        <w:tc>
          <w:tcPr>
            <w:tcW w:w="118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rPr>
              <w:t>Net Income</w:t>
            </w:r>
          </w:p>
        </w:tc>
        <w:tc>
          <w:tcPr>
            <w:tcW w:w="1180" w:type="dxa"/>
            <w:vAlign w:val="bottom"/>
            <w:vMerge w:val="restart"/>
            <w:shd w:val="clear" w:color="auto" w:fill="005CB9"/>
          </w:tcPr>
          <w:p>
            <w:pPr>
              <w:jc w:val="right"/>
              <w:spacing w:after="0"/>
              <w:rPr>
                <w:sz w:val="20"/>
                <w:szCs w:val="20"/>
                <w:color w:val="auto"/>
              </w:rPr>
            </w:pPr>
            <w:r>
              <w:rPr>
                <w:rFonts w:ascii="Arial" w:cs="Arial" w:eastAsia="Arial" w:hAnsi="Arial"/>
                <w:sz w:val="14"/>
                <w:szCs w:val="14"/>
                <w:b w:val="1"/>
                <w:bCs w:val="1"/>
                <w:color w:val="FFFFFF"/>
              </w:rPr>
              <w:t> ABP Earnings</w:t>
            </w:r>
          </w:p>
        </w:tc>
        <w:tc>
          <w:tcPr>
            <w:tcW w:w="0" w:type="dxa"/>
            <w:vAlign w:val="bottom"/>
          </w:tcPr>
          <w:p>
            <w:pPr>
              <w:spacing w:after="0"/>
              <w:rPr>
                <w:sz w:val="1"/>
                <w:szCs w:val="1"/>
                <w:color w:val="auto"/>
              </w:rPr>
            </w:pPr>
          </w:p>
        </w:tc>
      </w:tr>
      <w:tr>
        <w:trPr>
          <w:trHeight w:val="94"/>
        </w:trPr>
        <w:tc>
          <w:tcPr>
            <w:tcW w:w="1180" w:type="dxa"/>
            <w:vAlign w:val="bottom"/>
            <w:shd w:val="clear" w:color="auto" w:fill="005CB9"/>
          </w:tcPr>
          <w:p>
            <w:pPr>
              <w:spacing w:after="0"/>
              <w:rPr>
                <w:sz w:val="8"/>
                <w:szCs w:val="8"/>
                <w:color w:val="auto"/>
              </w:rPr>
            </w:pPr>
          </w:p>
        </w:tc>
        <w:tc>
          <w:tcPr>
            <w:tcW w:w="260" w:type="dxa"/>
            <w:vAlign w:val="bottom"/>
            <w:shd w:val="clear" w:color="auto" w:fill="005CB9"/>
          </w:tcPr>
          <w:p>
            <w:pPr>
              <w:spacing w:after="0"/>
              <w:rPr>
                <w:sz w:val="8"/>
                <w:szCs w:val="8"/>
                <w:color w:val="auto"/>
              </w:rPr>
            </w:pPr>
          </w:p>
        </w:tc>
        <w:tc>
          <w:tcPr>
            <w:tcW w:w="1140" w:type="dxa"/>
            <w:vAlign w:val="bottom"/>
            <w:vMerge w:val="continue"/>
            <w:shd w:val="clear" w:color="auto" w:fill="005CB9"/>
          </w:tcPr>
          <w:p>
            <w:pPr>
              <w:spacing w:after="0"/>
              <w:rPr>
                <w:sz w:val="8"/>
                <w:szCs w:val="8"/>
                <w:color w:val="auto"/>
              </w:rPr>
            </w:pPr>
          </w:p>
        </w:tc>
        <w:tc>
          <w:tcPr>
            <w:tcW w:w="1120" w:type="dxa"/>
            <w:vAlign w:val="bottom"/>
            <w:vMerge w:val="continue"/>
            <w:shd w:val="clear" w:color="auto" w:fill="005CB9"/>
          </w:tcPr>
          <w:p>
            <w:pPr>
              <w:spacing w:after="0"/>
              <w:rPr>
                <w:sz w:val="8"/>
                <w:szCs w:val="8"/>
                <w:color w:val="auto"/>
              </w:rPr>
            </w:pPr>
          </w:p>
        </w:tc>
        <w:tc>
          <w:tcPr>
            <w:tcW w:w="120" w:type="dxa"/>
            <w:vAlign w:val="bottom"/>
            <w:shd w:val="clear" w:color="auto" w:fill="005CB9"/>
          </w:tcPr>
          <w:p>
            <w:pPr>
              <w:spacing w:after="0"/>
              <w:rPr>
                <w:sz w:val="8"/>
                <w:szCs w:val="8"/>
                <w:color w:val="auto"/>
              </w:rPr>
            </w:pPr>
          </w:p>
        </w:tc>
        <w:tc>
          <w:tcPr>
            <w:tcW w:w="126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rPr>
              <w:t>Non-PEO</w:t>
            </w:r>
          </w:p>
        </w:tc>
        <w:tc>
          <w:tcPr>
            <w:tcW w:w="1380" w:type="dxa"/>
            <w:vAlign w:val="bottom"/>
            <w:gridSpan w:val="2"/>
            <w:vMerge w:val="restart"/>
            <w:shd w:val="clear" w:color="auto" w:fill="005CB9"/>
          </w:tcPr>
          <w:p>
            <w:pPr>
              <w:jc w:val="center"/>
              <w:ind w:right="100"/>
              <w:spacing w:after="0"/>
              <w:rPr>
                <w:sz w:val="20"/>
                <w:szCs w:val="20"/>
                <w:color w:val="auto"/>
              </w:rPr>
            </w:pPr>
            <w:r>
              <w:rPr>
                <w:rFonts w:ascii="Arial" w:cs="Arial" w:eastAsia="Arial" w:hAnsi="Arial"/>
                <w:sz w:val="14"/>
                <w:szCs w:val="14"/>
                <w:b w:val="1"/>
                <w:bCs w:val="1"/>
                <w:color w:val="FFFFFF"/>
              </w:rPr>
              <w:t>to Non-PEO</w:t>
            </w:r>
          </w:p>
        </w:tc>
        <w:tc>
          <w:tcPr>
            <w:tcW w:w="980" w:type="dxa"/>
            <w:vAlign w:val="bottom"/>
            <w:vMerge w:val="continue"/>
            <w:shd w:val="clear" w:color="auto" w:fill="005CB9"/>
          </w:tcPr>
          <w:p>
            <w:pPr>
              <w:spacing w:after="0"/>
              <w:rPr>
                <w:sz w:val="8"/>
                <w:szCs w:val="8"/>
                <w:color w:val="auto"/>
              </w:rPr>
            </w:pPr>
          </w:p>
        </w:tc>
        <w:tc>
          <w:tcPr>
            <w:tcW w:w="1120" w:type="dxa"/>
            <w:vAlign w:val="bottom"/>
            <w:vMerge w:val="continue"/>
            <w:shd w:val="clear" w:color="auto" w:fill="005CB9"/>
          </w:tcPr>
          <w:p>
            <w:pPr>
              <w:spacing w:after="0"/>
              <w:rPr>
                <w:sz w:val="8"/>
                <w:szCs w:val="8"/>
                <w:color w:val="auto"/>
              </w:rPr>
            </w:pPr>
          </w:p>
        </w:tc>
        <w:tc>
          <w:tcPr>
            <w:tcW w:w="1180" w:type="dxa"/>
            <w:vAlign w:val="bottom"/>
            <w:vMerge w:val="continue"/>
            <w:shd w:val="clear" w:color="auto" w:fill="005CB9"/>
          </w:tcPr>
          <w:p>
            <w:pPr>
              <w:spacing w:after="0"/>
              <w:rPr>
                <w:sz w:val="8"/>
                <w:szCs w:val="8"/>
                <w:color w:val="auto"/>
              </w:rPr>
            </w:pPr>
          </w:p>
        </w:tc>
        <w:tc>
          <w:tcPr>
            <w:tcW w:w="1180" w:type="dxa"/>
            <w:vAlign w:val="bottom"/>
            <w:vMerge w:val="continue"/>
            <w:shd w:val="clear" w:color="auto" w:fill="005CB9"/>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180" w:type="dxa"/>
            <w:vAlign w:val="bottom"/>
            <w:vMerge w:val="restart"/>
            <w:shd w:val="clear" w:color="auto" w:fill="005CB9"/>
          </w:tcPr>
          <w:p>
            <w:pPr>
              <w:ind w:left="80"/>
              <w:spacing w:after="0"/>
              <w:rPr>
                <w:sz w:val="20"/>
                <w:szCs w:val="20"/>
                <w:color w:val="auto"/>
              </w:rPr>
            </w:pPr>
            <w:r>
              <w:rPr>
                <w:rFonts w:ascii="Arial" w:cs="Arial" w:eastAsia="Arial" w:hAnsi="Arial"/>
                <w:sz w:val="14"/>
                <w:szCs w:val="14"/>
                <w:b w:val="1"/>
                <w:bCs w:val="1"/>
                <w:color w:val="FFFFFF"/>
              </w:rPr>
              <w:t>Year</w:t>
            </w:r>
          </w:p>
        </w:tc>
        <w:tc>
          <w:tcPr>
            <w:tcW w:w="260" w:type="dxa"/>
            <w:vAlign w:val="bottom"/>
            <w:shd w:val="clear" w:color="auto" w:fill="005CB9"/>
          </w:tcPr>
          <w:p>
            <w:pPr>
              <w:spacing w:after="0"/>
              <w:rPr>
                <w:sz w:val="5"/>
                <w:szCs w:val="5"/>
                <w:color w:val="auto"/>
              </w:rPr>
            </w:pPr>
          </w:p>
        </w:tc>
        <w:tc>
          <w:tcPr>
            <w:tcW w:w="1140" w:type="dxa"/>
            <w:vAlign w:val="bottom"/>
            <w:vMerge w:val="restart"/>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w w:val="97"/>
              </w:rPr>
              <w:t>PEO</w:t>
            </w:r>
            <w:r>
              <w:rPr>
                <w:rFonts w:ascii="Arial" w:cs="Arial" w:eastAsia="Arial" w:hAnsi="Arial"/>
                <w:sz w:val="17"/>
                <w:szCs w:val="17"/>
                <w:b w:val="1"/>
                <w:bCs w:val="1"/>
                <w:color w:val="FFFFFF"/>
                <w:w w:val="97"/>
                <w:vertAlign w:val="superscript"/>
              </w:rPr>
              <w:t>(A)</w:t>
            </w:r>
          </w:p>
        </w:tc>
        <w:tc>
          <w:tcPr>
            <w:tcW w:w="1120" w:type="dxa"/>
            <w:vAlign w:val="bottom"/>
            <w:vMerge w:val="restart"/>
            <w:shd w:val="clear" w:color="auto" w:fill="005CB9"/>
          </w:tcPr>
          <w:p>
            <w:pPr>
              <w:jc w:val="center"/>
              <w:ind w:left="49"/>
              <w:spacing w:after="0"/>
              <w:rPr>
                <w:sz w:val="20"/>
                <w:szCs w:val="20"/>
                <w:color w:val="auto"/>
              </w:rPr>
            </w:pPr>
            <w:r>
              <w:rPr>
                <w:rFonts w:ascii="Arial" w:cs="Arial" w:eastAsia="Arial" w:hAnsi="Arial"/>
                <w:sz w:val="14"/>
                <w:szCs w:val="14"/>
                <w:b w:val="1"/>
                <w:bCs w:val="1"/>
                <w:color w:val="FFFFFF"/>
                <w:w w:val="96"/>
              </w:rPr>
              <w:t>to PEO</w:t>
            </w:r>
            <w:r>
              <w:rPr>
                <w:rFonts w:ascii="Arial" w:cs="Arial" w:eastAsia="Arial" w:hAnsi="Arial"/>
                <w:sz w:val="17"/>
                <w:szCs w:val="17"/>
                <w:b w:val="1"/>
                <w:bCs w:val="1"/>
                <w:color w:val="FFFFFF"/>
                <w:w w:val="96"/>
                <w:vertAlign w:val="superscript"/>
              </w:rPr>
              <w:t>(A)</w:t>
            </w:r>
          </w:p>
        </w:tc>
        <w:tc>
          <w:tcPr>
            <w:tcW w:w="120" w:type="dxa"/>
            <w:vAlign w:val="bottom"/>
            <w:shd w:val="clear" w:color="auto" w:fill="005CB9"/>
          </w:tcPr>
          <w:p>
            <w:pPr>
              <w:spacing w:after="0"/>
              <w:rPr>
                <w:sz w:val="5"/>
                <w:szCs w:val="5"/>
                <w:color w:val="auto"/>
              </w:rPr>
            </w:pPr>
          </w:p>
        </w:tc>
        <w:tc>
          <w:tcPr>
            <w:tcW w:w="1260" w:type="dxa"/>
            <w:vAlign w:val="bottom"/>
            <w:vMerge w:val="continue"/>
            <w:shd w:val="clear" w:color="auto" w:fill="005CB9"/>
          </w:tcPr>
          <w:p>
            <w:pPr>
              <w:spacing w:after="0"/>
              <w:rPr>
                <w:sz w:val="5"/>
                <w:szCs w:val="5"/>
                <w:color w:val="auto"/>
              </w:rPr>
            </w:pPr>
          </w:p>
        </w:tc>
        <w:tc>
          <w:tcPr>
            <w:tcW w:w="1380" w:type="dxa"/>
            <w:vAlign w:val="bottom"/>
            <w:gridSpan w:val="2"/>
            <w:vMerge w:val="continue"/>
            <w:shd w:val="clear" w:color="auto" w:fill="005CB9"/>
          </w:tcPr>
          <w:p>
            <w:pPr>
              <w:spacing w:after="0"/>
              <w:rPr>
                <w:sz w:val="5"/>
                <w:szCs w:val="5"/>
                <w:color w:val="auto"/>
              </w:rPr>
            </w:pPr>
          </w:p>
        </w:tc>
        <w:tc>
          <w:tcPr>
            <w:tcW w:w="980" w:type="dxa"/>
            <w:vAlign w:val="bottom"/>
            <w:vMerge w:val="restart"/>
            <w:shd w:val="clear" w:color="auto" w:fill="005CB9"/>
          </w:tcPr>
          <w:p>
            <w:pPr>
              <w:jc w:val="center"/>
              <w:ind w:right="49"/>
              <w:spacing w:after="0"/>
              <w:rPr>
                <w:sz w:val="20"/>
                <w:szCs w:val="20"/>
                <w:color w:val="auto"/>
              </w:rPr>
            </w:pPr>
            <w:r>
              <w:rPr>
                <w:rFonts w:ascii="Arial" w:cs="Arial" w:eastAsia="Arial" w:hAnsi="Arial"/>
                <w:sz w:val="14"/>
                <w:szCs w:val="14"/>
                <w:b w:val="1"/>
                <w:bCs w:val="1"/>
                <w:color w:val="FFFFFF"/>
                <w:w w:val="95"/>
              </w:rPr>
              <w:t>Return</w:t>
            </w:r>
            <w:r>
              <w:rPr>
                <w:rFonts w:ascii="Arial" w:cs="Arial" w:eastAsia="Arial" w:hAnsi="Arial"/>
                <w:sz w:val="17"/>
                <w:szCs w:val="17"/>
                <w:b w:val="1"/>
                <w:bCs w:val="1"/>
                <w:color w:val="FFFFFF"/>
                <w:w w:val="95"/>
                <w:vertAlign w:val="superscript"/>
              </w:rPr>
              <w:t>(B)</w:t>
            </w:r>
          </w:p>
        </w:tc>
        <w:tc>
          <w:tcPr>
            <w:tcW w:w="112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w w:val="95"/>
              </w:rPr>
              <w:t>Return</w:t>
            </w:r>
            <w:r>
              <w:rPr>
                <w:rFonts w:ascii="Arial" w:cs="Arial" w:eastAsia="Arial" w:hAnsi="Arial"/>
                <w:sz w:val="17"/>
                <w:szCs w:val="17"/>
                <w:b w:val="1"/>
                <w:bCs w:val="1"/>
                <w:color w:val="FFFFFF"/>
                <w:w w:val="95"/>
                <w:vertAlign w:val="superscript"/>
              </w:rPr>
              <w:t>(B)</w:t>
            </w:r>
          </w:p>
        </w:tc>
        <w:tc>
          <w:tcPr>
            <w:tcW w:w="1180" w:type="dxa"/>
            <w:vAlign w:val="bottom"/>
            <w:vMerge w:val="restart"/>
            <w:shd w:val="clear" w:color="auto" w:fill="005CB9"/>
          </w:tcPr>
          <w:p>
            <w:pPr>
              <w:jc w:val="center"/>
              <w:spacing w:after="0"/>
              <w:rPr>
                <w:sz w:val="20"/>
                <w:szCs w:val="20"/>
                <w:color w:val="auto"/>
              </w:rPr>
            </w:pPr>
            <w:r>
              <w:rPr>
                <w:rFonts w:ascii="Arial" w:cs="Arial" w:eastAsia="Arial" w:hAnsi="Arial"/>
                <w:sz w:val="14"/>
                <w:szCs w:val="14"/>
                <w:b w:val="1"/>
                <w:bCs w:val="1"/>
                <w:color w:val="FFFFFF"/>
                <w:w w:val="97"/>
              </w:rPr>
              <w:t>(in millions)</w:t>
            </w:r>
            <w:r>
              <w:rPr>
                <w:rFonts w:ascii="Arial" w:cs="Arial" w:eastAsia="Arial" w:hAnsi="Arial"/>
                <w:sz w:val="17"/>
                <w:szCs w:val="17"/>
                <w:b w:val="1"/>
                <w:bCs w:val="1"/>
                <w:color w:val="FFFFFF"/>
                <w:w w:val="97"/>
                <w:vertAlign w:val="superscript"/>
              </w:rPr>
              <w:t>(C)</w:t>
            </w:r>
          </w:p>
        </w:tc>
        <w:tc>
          <w:tcPr>
            <w:tcW w:w="1180" w:type="dxa"/>
            <w:vAlign w:val="bottom"/>
            <w:vMerge w:val="restart"/>
            <w:shd w:val="clear" w:color="auto" w:fill="005CB9"/>
          </w:tcPr>
          <w:p>
            <w:pPr>
              <w:jc w:val="right"/>
              <w:spacing w:after="0"/>
              <w:rPr>
                <w:sz w:val="20"/>
                <w:szCs w:val="20"/>
                <w:color w:val="auto"/>
              </w:rPr>
            </w:pPr>
            <w:r>
              <w:rPr>
                <w:rFonts w:ascii="Arial" w:cs="Arial" w:eastAsia="Arial" w:hAnsi="Arial"/>
                <w:sz w:val="14"/>
                <w:szCs w:val="14"/>
                <w:b w:val="1"/>
                <w:bCs w:val="1"/>
                <w:color w:val="FFFFFF"/>
              </w:rPr>
              <w:t>(in millions)</w:t>
            </w:r>
            <w:r>
              <w:rPr>
                <w:rFonts w:ascii="Arial" w:cs="Arial" w:eastAsia="Arial" w:hAnsi="Arial"/>
                <w:sz w:val="17"/>
                <w:szCs w:val="17"/>
                <w:b w:val="1"/>
                <w:bCs w:val="1"/>
                <w:color w:val="FFFFFF"/>
                <w:vertAlign w:val="superscript"/>
              </w:rPr>
              <w:t>(D)</w:t>
            </w:r>
          </w:p>
        </w:tc>
        <w:tc>
          <w:tcPr>
            <w:tcW w:w="0" w:type="dxa"/>
            <w:vAlign w:val="bottom"/>
          </w:tcPr>
          <w:p>
            <w:pPr>
              <w:spacing w:after="0"/>
              <w:rPr>
                <w:sz w:val="1"/>
                <w:szCs w:val="1"/>
                <w:color w:val="auto"/>
              </w:rPr>
            </w:pPr>
          </w:p>
        </w:tc>
      </w:tr>
      <w:tr>
        <w:trPr>
          <w:trHeight w:val="143"/>
        </w:trPr>
        <w:tc>
          <w:tcPr>
            <w:tcW w:w="1180" w:type="dxa"/>
            <w:vAlign w:val="bottom"/>
            <w:vMerge w:val="continue"/>
            <w:shd w:val="clear" w:color="auto" w:fill="005CB9"/>
          </w:tcPr>
          <w:p>
            <w:pPr>
              <w:spacing w:after="0"/>
              <w:rPr>
                <w:sz w:val="12"/>
                <w:szCs w:val="12"/>
                <w:color w:val="auto"/>
              </w:rPr>
            </w:pPr>
          </w:p>
        </w:tc>
        <w:tc>
          <w:tcPr>
            <w:tcW w:w="260" w:type="dxa"/>
            <w:vAlign w:val="bottom"/>
            <w:shd w:val="clear" w:color="auto" w:fill="005CB9"/>
          </w:tcPr>
          <w:p>
            <w:pPr>
              <w:spacing w:after="0"/>
              <w:rPr>
                <w:sz w:val="12"/>
                <w:szCs w:val="12"/>
                <w:color w:val="auto"/>
              </w:rPr>
            </w:pPr>
          </w:p>
        </w:tc>
        <w:tc>
          <w:tcPr>
            <w:tcW w:w="1140" w:type="dxa"/>
            <w:vAlign w:val="bottom"/>
            <w:vMerge w:val="continue"/>
            <w:shd w:val="clear" w:color="auto" w:fill="005CB9"/>
          </w:tcPr>
          <w:p>
            <w:pPr>
              <w:spacing w:after="0"/>
              <w:rPr>
                <w:sz w:val="12"/>
                <w:szCs w:val="12"/>
                <w:color w:val="auto"/>
              </w:rPr>
            </w:pPr>
          </w:p>
        </w:tc>
        <w:tc>
          <w:tcPr>
            <w:tcW w:w="1120" w:type="dxa"/>
            <w:vAlign w:val="bottom"/>
            <w:vMerge w:val="continue"/>
            <w:shd w:val="clear" w:color="auto" w:fill="005CB9"/>
          </w:tcPr>
          <w:p>
            <w:pPr>
              <w:spacing w:after="0"/>
              <w:rPr>
                <w:sz w:val="12"/>
                <w:szCs w:val="12"/>
                <w:color w:val="auto"/>
              </w:rPr>
            </w:pPr>
          </w:p>
        </w:tc>
        <w:tc>
          <w:tcPr>
            <w:tcW w:w="120" w:type="dxa"/>
            <w:vAlign w:val="bottom"/>
            <w:shd w:val="clear" w:color="auto" w:fill="005CB9"/>
          </w:tcPr>
          <w:p>
            <w:pPr>
              <w:spacing w:after="0"/>
              <w:rPr>
                <w:sz w:val="12"/>
                <w:szCs w:val="12"/>
                <w:color w:val="auto"/>
              </w:rPr>
            </w:pPr>
          </w:p>
        </w:tc>
        <w:tc>
          <w:tcPr>
            <w:tcW w:w="1260" w:type="dxa"/>
            <w:vAlign w:val="bottom"/>
            <w:shd w:val="clear" w:color="auto" w:fill="005CB9"/>
          </w:tcPr>
          <w:p>
            <w:pPr>
              <w:jc w:val="center"/>
              <w:spacing w:after="0" w:line="143" w:lineRule="exact"/>
              <w:rPr>
                <w:sz w:val="20"/>
                <w:szCs w:val="20"/>
                <w:color w:val="auto"/>
              </w:rPr>
            </w:pPr>
            <w:r>
              <w:rPr>
                <w:rFonts w:ascii="Arial" w:cs="Arial" w:eastAsia="Arial" w:hAnsi="Arial"/>
                <w:sz w:val="13"/>
                <w:szCs w:val="13"/>
                <w:b w:val="1"/>
                <w:bCs w:val="1"/>
                <w:color w:val="FFFFFF"/>
                <w:w w:val="99"/>
              </w:rPr>
              <w:t>NEOs</w:t>
            </w:r>
            <w:r>
              <w:rPr>
                <w:rFonts w:ascii="Arial" w:cs="Arial" w:eastAsia="Arial" w:hAnsi="Arial"/>
                <w:sz w:val="16"/>
                <w:szCs w:val="16"/>
                <w:b w:val="1"/>
                <w:bCs w:val="1"/>
                <w:color w:val="FFFFFF"/>
                <w:w w:val="99"/>
                <w:vertAlign w:val="superscript"/>
              </w:rPr>
              <w:t>(A)</w:t>
            </w:r>
          </w:p>
        </w:tc>
        <w:tc>
          <w:tcPr>
            <w:tcW w:w="1380" w:type="dxa"/>
            <w:vAlign w:val="bottom"/>
            <w:gridSpan w:val="2"/>
            <w:shd w:val="clear" w:color="auto" w:fill="005CB9"/>
          </w:tcPr>
          <w:p>
            <w:pPr>
              <w:jc w:val="center"/>
              <w:ind w:right="120"/>
              <w:spacing w:after="0" w:line="143" w:lineRule="exact"/>
              <w:rPr>
                <w:sz w:val="20"/>
                <w:szCs w:val="20"/>
                <w:color w:val="auto"/>
              </w:rPr>
            </w:pPr>
            <w:r>
              <w:rPr>
                <w:rFonts w:ascii="Arial" w:cs="Arial" w:eastAsia="Arial" w:hAnsi="Arial"/>
                <w:sz w:val="13"/>
                <w:szCs w:val="13"/>
                <w:b w:val="1"/>
                <w:bCs w:val="1"/>
                <w:color w:val="FFFFFF"/>
                <w:w w:val="99"/>
              </w:rPr>
              <w:t>NEOs</w:t>
            </w:r>
            <w:r>
              <w:rPr>
                <w:rFonts w:ascii="Arial" w:cs="Arial" w:eastAsia="Arial" w:hAnsi="Arial"/>
                <w:sz w:val="16"/>
                <w:szCs w:val="16"/>
                <w:b w:val="1"/>
                <w:bCs w:val="1"/>
                <w:color w:val="FFFFFF"/>
                <w:w w:val="99"/>
                <w:vertAlign w:val="superscript"/>
              </w:rPr>
              <w:t>(A)</w:t>
            </w:r>
          </w:p>
        </w:tc>
        <w:tc>
          <w:tcPr>
            <w:tcW w:w="980" w:type="dxa"/>
            <w:vAlign w:val="bottom"/>
            <w:vMerge w:val="continue"/>
            <w:shd w:val="clear" w:color="auto" w:fill="005CB9"/>
          </w:tcPr>
          <w:p>
            <w:pPr>
              <w:spacing w:after="0"/>
              <w:rPr>
                <w:sz w:val="12"/>
                <w:szCs w:val="12"/>
                <w:color w:val="auto"/>
              </w:rPr>
            </w:pPr>
          </w:p>
        </w:tc>
        <w:tc>
          <w:tcPr>
            <w:tcW w:w="1120" w:type="dxa"/>
            <w:vAlign w:val="bottom"/>
            <w:vMerge w:val="continue"/>
            <w:shd w:val="clear" w:color="auto" w:fill="005CB9"/>
          </w:tcPr>
          <w:p>
            <w:pPr>
              <w:spacing w:after="0"/>
              <w:rPr>
                <w:sz w:val="12"/>
                <w:szCs w:val="12"/>
                <w:color w:val="auto"/>
              </w:rPr>
            </w:pPr>
          </w:p>
        </w:tc>
        <w:tc>
          <w:tcPr>
            <w:tcW w:w="1180" w:type="dxa"/>
            <w:vAlign w:val="bottom"/>
            <w:vMerge w:val="continue"/>
            <w:shd w:val="clear" w:color="auto" w:fill="005CB9"/>
          </w:tcPr>
          <w:p>
            <w:pPr>
              <w:spacing w:after="0"/>
              <w:rPr>
                <w:sz w:val="12"/>
                <w:szCs w:val="12"/>
                <w:color w:val="auto"/>
              </w:rPr>
            </w:pPr>
          </w:p>
        </w:tc>
        <w:tc>
          <w:tcPr>
            <w:tcW w:w="1180" w:type="dxa"/>
            <w:vAlign w:val="bottom"/>
            <w:vMerge w:val="continue"/>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18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  (a)</w:t>
            </w:r>
          </w:p>
        </w:tc>
        <w:tc>
          <w:tcPr>
            <w:tcW w:w="260" w:type="dxa"/>
            <w:vAlign w:val="bottom"/>
            <w:tcBorders>
              <w:bottom w:val="single" w:sz="8" w:color="005CB9"/>
            </w:tcBorders>
            <w:shd w:val="clear" w:color="auto" w:fill="005CB9"/>
          </w:tcPr>
          <w:p>
            <w:pPr>
              <w:spacing w:after="0"/>
              <w:rPr>
                <w:sz w:val="15"/>
                <w:szCs w:val="15"/>
                <w:color w:val="auto"/>
              </w:rPr>
            </w:pPr>
          </w:p>
        </w:tc>
        <w:tc>
          <w:tcPr>
            <w:tcW w:w="1140" w:type="dxa"/>
            <w:vAlign w:val="bottom"/>
            <w:tcBorders>
              <w:bottom w:val="single" w:sz="8" w:color="005CB9"/>
            </w:tcBorders>
            <w:shd w:val="clear" w:color="auto" w:fill="005CB9"/>
          </w:tcPr>
          <w:p>
            <w:pPr>
              <w:jc w:val="center"/>
              <w:ind w:right="69"/>
              <w:spacing w:after="0"/>
              <w:rPr>
                <w:sz w:val="20"/>
                <w:szCs w:val="20"/>
                <w:color w:val="auto"/>
              </w:rPr>
            </w:pPr>
            <w:r>
              <w:rPr>
                <w:rFonts w:ascii="Arial" w:cs="Arial" w:eastAsia="Arial" w:hAnsi="Arial"/>
                <w:sz w:val="14"/>
                <w:szCs w:val="14"/>
                <w:b w:val="1"/>
                <w:bCs w:val="1"/>
                <w:color w:val="FFFFFF"/>
              </w:rPr>
              <w:t>(b)</w:t>
            </w:r>
          </w:p>
        </w:tc>
        <w:tc>
          <w:tcPr>
            <w:tcW w:w="1120" w:type="dxa"/>
            <w:vAlign w:val="bottom"/>
            <w:tcBorders>
              <w:bottom w:val="single" w:sz="8" w:color="005CB9"/>
            </w:tcBorders>
            <w:shd w:val="clear" w:color="auto" w:fill="005CB9"/>
          </w:tcPr>
          <w:p>
            <w:pPr>
              <w:jc w:val="center"/>
              <w:ind w:left="49"/>
              <w:spacing w:after="0"/>
              <w:rPr>
                <w:sz w:val="20"/>
                <w:szCs w:val="20"/>
                <w:color w:val="auto"/>
              </w:rPr>
            </w:pPr>
            <w:r>
              <w:rPr>
                <w:rFonts w:ascii="Arial" w:cs="Arial" w:eastAsia="Arial" w:hAnsi="Arial"/>
                <w:sz w:val="14"/>
                <w:szCs w:val="14"/>
                <w:b w:val="1"/>
                <w:bCs w:val="1"/>
                <w:color w:val="FFFFFF"/>
                <w:w w:val="93"/>
              </w:rPr>
              <w:t>(c)</w:t>
            </w:r>
          </w:p>
        </w:tc>
        <w:tc>
          <w:tcPr>
            <w:tcW w:w="120" w:type="dxa"/>
            <w:vAlign w:val="bottom"/>
            <w:tcBorders>
              <w:bottom w:val="single" w:sz="8" w:color="005CB9"/>
            </w:tcBorders>
            <w:shd w:val="clear" w:color="auto" w:fill="005CB9"/>
          </w:tcPr>
          <w:p>
            <w:pPr>
              <w:spacing w:after="0"/>
              <w:rPr>
                <w:sz w:val="15"/>
                <w:szCs w:val="15"/>
                <w:color w:val="auto"/>
              </w:rPr>
            </w:pPr>
          </w:p>
        </w:tc>
        <w:tc>
          <w:tcPr>
            <w:tcW w:w="126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(d)</w:t>
            </w:r>
          </w:p>
        </w:tc>
        <w:tc>
          <w:tcPr>
            <w:tcW w:w="1380" w:type="dxa"/>
            <w:vAlign w:val="bottom"/>
            <w:tcBorders>
              <w:bottom w:val="single" w:sz="8" w:color="005CB9"/>
            </w:tcBorders>
            <w:gridSpan w:val="2"/>
            <w:shd w:val="clear" w:color="auto" w:fill="005CB9"/>
          </w:tcPr>
          <w:p>
            <w:pPr>
              <w:jc w:val="center"/>
              <w:ind w:right="120"/>
              <w:spacing w:after="0"/>
              <w:rPr>
                <w:sz w:val="20"/>
                <w:szCs w:val="20"/>
                <w:color w:val="auto"/>
              </w:rPr>
            </w:pPr>
            <w:r>
              <w:rPr>
                <w:rFonts w:ascii="Arial" w:cs="Arial" w:eastAsia="Arial" w:hAnsi="Arial"/>
                <w:sz w:val="14"/>
                <w:szCs w:val="14"/>
                <w:b w:val="1"/>
                <w:bCs w:val="1"/>
                <w:color w:val="FFFFFF"/>
              </w:rPr>
              <w:t>(e)</w:t>
            </w:r>
          </w:p>
        </w:tc>
        <w:tc>
          <w:tcPr>
            <w:tcW w:w="980" w:type="dxa"/>
            <w:vAlign w:val="bottom"/>
            <w:tcBorders>
              <w:bottom w:val="single" w:sz="8" w:color="005CB9"/>
            </w:tcBorders>
            <w:shd w:val="clear" w:color="auto" w:fill="005CB9"/>
          </w:tcPr>
          <w:p>
            <w:pPr>
              <w:ind w:left="360"/>
              <w:spacing w:after="0"/>
              <w:rPr>
                <w:sz w:val="20"/>
                <w:szCs w:val="20"/>
                <w:color w:val="auto"/>
              </w:rPr>
            </w:pPr>
            <w:r>
              <w:rPr>
                <w:rFonts w:ascii="Arial" w:cs="Arial" w:eastAsia="Arial" w:hAnsi="Arial"/>
                <w:sz w:val="14"/>
                <w:szCs w:val="14"/>
                <w:b w:val="1"/>
                <w:bCs w:val="1"/>
                <w:color w:val="FFFFFF"/>
              </w:rPr>
              <w:t>(f)</w:t>
            </w:r>
          </w:p>
        </w:tc>
        <w:tc>
          <w:tcPr>
            <w:tcW w:w="112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(g)</w:t>
            </w:r>
          </w:p>
        </w:tc>
        <w:tc>
          <w:tcPr>
            <w:tcW w:w="118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b w:val="1"/>
                <w:bCs w:val="1"/>
                <w:color w:val="FFFFFF"/>
              </w:rPr>
              <w:t>(h)</w:t>
            </w:r>
          </w:p>
        </w:tc>
        <w:tc>
          <w:tcPr>
            <w:tcW w:w="1180" w:type="dxa"/>
            <w:vAlign w:val="bottom"/>
            <w:tcBorders>
              <w:bottom w:val="single" w:sz="8" w:color="005CB9"/>
            </w:tcBorders>
            <w:shd w:val="clear" w:color="auto" w:fill="005CB9"/>
          </w:tcPr>
          <w:p>
            <w:pPr>
              <w:jc w:val="right"/>
              <w:ind w:right="389"/>
              <w:spacing w:after="0"/>
              <w:rPr>
                <w:sz w:val="20"/>
                <w:szCs w:val="20"/>
                <w:color w:val="auto"/>
              </w:rPr>
            </w:pPr>
            <w:r>
              <w:rPr>
                <w:rFonts w:ascii="Arial" w:cs="Arial" w:eastAsia="Arial" w:hAnsi="Arial"/>
                <w:sz w:val="14"/>
                <w:szCs w:val="14"/>
                <w:b w:val="1"/>
                <w:bCs w:val="1"/>
                <w:color w:val="FFFFFF"/>
              </w:rPr>
              <w:t>(i)</w:t>
            </w:r>
          </w:p>
        </w:tc>
        <w:tc>
          <w:tcPr>
            <w:tcW w:w="0" w:type="dxa"/>
            <w:vAlign w:val="bottom"/>
          </w:tcPr>
          <w:p>
            <w:pPr>
              <w:spacing w:after="0"/>
              <w:rPr>
                <w:sz w:val="1"/>
                <w:szCs w:val="1"/>
                <w:color w:val="auto"/>
              </w:rPr>
            </w:pPr>
          </w:p>
        </w:tc>
      </w:tr>
      <w:tr>
        <w:trPr>
          <w:trHeight w:val="308"/>
        </w:trPr>
        <w:tc>
          <w:tcPr>
            <w:tcW w:w="1180" w:type="dxa"/>
            <w:vAlign w:val="bottom"/>
            <w:tcBorders>
              <w:bottom w:val="single" w:sz="8" w:color="7F7F7F"/>
            </w:tcBorders>
          </w:tcPr>
          <w:p>
            <w:pPr>
              <w:ind w:left="80"/>
              <w:spacing w:after="0"/>
              <w:rPr>
                <w:sz w:val="20"/>
                <w:szCs w:val="20"/>
                <w:color w:val="auto"/>
              </w:rPr>
            </w:pPr>
            <w:r>
              <w:rPr>
                <w:rFonts w:ascii="Arial" w:cs="Arial" w:eastAsia="Arial" w:hAnsi="Arial"/>
                <w:sz w:val="14"/>
                <w:szCs w:val="14"/>
                <w:color w:val="auto"/>
              </w:rPr>
              <w:t>2025</w:t>
            </w:r>
            <w:r>
              <w:rPr>
                <w:rFonts w:ascii="Arial" w:cs="Arial" w:eastAsia="Arial" w:hAnsi="Arial"/>
                <w:sz w:val="17"/>
                <w:szCs w:val="17"/>
                <w:color w:val="auto"/>
                <w:vertAlign w:val="superscript"/>
              </w:rPr>
              <w:t>(E)</w:t>
            </w:r>
          </w:p>
        </w:tc>
        <w:tc>
          <w:tcPr>
            <w:tcW w:w="1400" w:type="dxa"/>
            <w:vAlign w:val="bottom"/>
            <w:tcBorders>
              <w:bottom w:val="single" w:sz="8" w:color="7F7F7F"/>
            </w:tcBorders>
            <w:gridSpan w:val="2"/>
          </w:tcPr>
          <w:p>
            <w:pPr>
              <w:jc w:val="right"/>
              <w:ind w:right="69"/>
              <w:spacing w:after="0"/>
              <w:rPr>
                <w:sz w:val="20"/>
                <w:szCs w:val="20"/>
                <w:color w:val="auto"/>
              </w:rPr>
            </w:pPr>
            <w:r>
              <w:rPr>
                <w:rFonts w:ascii="Arial" w:cs="Arial" w:eastAsia="Arial" w:hAnsi="Arial"/>
                <w:sz w:val="14"/>
                <w:szCs w:val="14"/>
                <w:color w:val="auto"/>
              </w:rPr>
              <w:t>$22,245,589</w:t>
            </w:r>
          </w:p>
        </w:tc>
        <w:tc>
          <w:tcPr>
            <w:tcW w:w="124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4"/>
                <w:szCs w:val="14"/>
                <w:color w:val="auto"/>
              </w:rPr>
              <w:t>$ 11,709,926</w:t>
            </w:r>
          </w:p>
        </w:tc>
        <w:tc>
          <w:tcPr>
            <w:tcW w:w="1260" w:type="dxa"/>
            <w:vAlign w:val="bottom"/>
            <w:tcBorders>
              <w:bottom w:val="single" w:sz="8" w:color="7F7F7F"/>
            </w:tcBorders>
          </w:tcPr>
          <w:p>
            <w:pPr>
              <w:jc w:val="right"/>
              <w:ind w:right="49"/>
              <w:spacing w:after="0"/>
              <w:rPr>
                <w:sz w:val="20"/>
                <w:szCs w:val="20"/>
                <w:color w:val="auto"/>
              </w:rPr>
            </w:pPr>
            <w:r>
              <w:rPr>
                <w:rFonts w:ascii="Arial" w:cs="Arial" w:eastAsia="Arial" w:hAnsi="Arial"/>
                <w:sz w:val="14"/>
                <w:szCs w:val="14"/>
                <w:color w:val="auto"/>
              </w:rPr>
              <w:t>$5,474,679</w:t>
            </w:r>
          </w:p>
        </w:tc>
        <w:tc>
          <w:tcPr>
            <w:tcW w:w="1380" w:type="dxa"/>
            <w:vAlign w:val="bottom"/>
            <w:tcBorders>
              <w:bottom w:val="single" w:sz="8" w:color="7F7F7F"/>
            </w:tcBorders>
            <w:gridSpan w:val="2"/>
          </w:tcPr>
          <w:p>
            <w:pPr>
              <w:jc w:val="right"/>
              <w:ind w:right="240"/>
              <w:spacing w:after="0"/>
              <w:rPr>
                <w:sz w:val="20"/>
                <w:szCs w:val="20"/>
                <w:color w:val="auto"/>
              </w:rPr>
            </w:pPr>
            <w:r>
              <w:rPr>
                <w:rFonts w:ascii="Arial" w:cs="Arial" w:eastAsia="Arial" w:hAnsi="Arial"/>
                <w:sz w:val="14"/>
                <w:szCs w:val="14"/>
                <w:color w:val="auto"/>
              </w:rPr>
              <w:t>$3,123,396</w:t>
            </w:r>
          </w:p>
        </w:tc>
        <w:tc>
          <w:tcPr>
            <w:tcW w:w="980" w:type="dxa"/>
            <w:vAlign w:val="bottom"/>
            <w:tcBorders>
              <w:bottom w:val="single" w:sz="8" w:color="7F7F7F"/>
            </w:tcBorders>
          </w:tcPr>
          <w:p>
            <w:pPr>
              <w:ind w:left="360"/>
              <w:spacing w:after="0"/>
              <w:rPr>
                <w:sz w:val="20"/>
                <w:szCs w:val="20"/>
                <w:color w:val="auto"/>
              </w:rPr>
            </w:pPr>
            <w:r>
              <w:rPr>
                <w:rFonts w:ascii="Arial" w:cs="Arial" w:eastAsia="Arial" w:hAnsi="Arial"/>
                <w:sz w:val="14"/>
                <w:szCs w:val="14"/>
                <w:color w:val="auto"/>
              </w:rPr>
              <w:t>$163</w:t>
            </w:r>
          </w:p>
        </w:tc>
        <w:tc>
          <w:tcPr>
            <w:tcW w:w="1120" w:type="dxa"/>
            <w:vAlign w:val="bottom"/>
            <w:tcBorders>
              <w:bottom w:val="single" w:sz="8" w:color="7F7F7F"/>
            </w:tcBorders>
          </w:tcPr>
          <w:p>
            <w:pPr>
              <w:jc w:val="right"/>
              <w:ind w:right="209"/>
              <w:spacing w:after="0"/>
              <w:rPr>
                <w:sz w:val="20"/>
                <w:szCs w:val="20"/>
                <w:color w:val="auto"/>
              </w:rPr>
            </w:pPr>
            <w:r>
              <w:rPr>
                <w:rFonts w:ascii="Arial" w:cs="Arial" w:eastAsia="Arial" w:hAnsi="Arial"/>
                <w:sz w:val="14"/>
                <w:szCs w:val="14"/>
                <w:color w:val="auto"/>
              </w:rPr>
              <w:t>$159</w:t>
            </w:r>
          </w:p>
        </w:tc>
        <w:tc>
          <w:tcPr>
            <w:tcW w:w="1180" w:type="dxa"/>
            <w:vAlign w:val="bottom"/>
            <w:tcBorders>
              <w:bottom w:val="single" w:sz="8" w:color="7F7F7F"/>
            </w:tcBorders>
          </w:tcPr>
          <w:p>
            <w:pPr>
              <w:jc w:val="right"/>
              <w:ind w:right="229"/>
              <w:spacing w:after="0"/>
              <w:rPr>
                <w:sz w:val="20"/>
                <w:szCs w:val="20"/>
                <w:color w:val="auto"/>
              </w:rPr>
            </w:pPr>
            <w:r>
              <w:rPr>
                <w:rFonts w:ascii="Arial" w:cs="Arial" w:eastAsia="Arial" w:hAnsi="Arial"/>
                <w:sz w:val="14"/>
                <w:szCs w:val="14"/>
                <w:color w:val="auto"/>
              </w:rPr>
              <w:t>$2,072</w:t>
            </w:r>
          </w:p>
        </w:tc>
        <w:tc>
          <w:tcPr>
            <w:tcW w:w="1180" w:type="dxa"/>
            <w:vAlign w:val="bottom"/>
            <w:tcBorders>
              <w:bottom w:val="single" w:sz="8" w:color="7F7F7F"/>
            </w:tcBorders>
          </w:tcPr>
          <w:p>
            <w:pPr>
              <w:jc w:val="right"/>
              <w:ind w:right="149"/>
              <w:spacing w:after="0"/>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274"/>
        </w:trPr>
        <w:tc>
          <w:tcPr>
            <w:tcW w:w="118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2024</w:t>
            </w:r>
            <w:r>
              <w:rPr>
                <w:rFonts w:ascii="Arial" w:cs="Arial" w:eastAsia="Arial" w:hAnsi="Arial"/>
                <w:sz w:val="17"/>
                <w:szCs w:val="17"/>
                <w:color w:val="auto"/>
                <w:vertAlign w:val="superscript"/>
              </w:rPr>
              <w:t>(E)</w:t>
            </w:r>
          </w:p>
        </w:tc>
        <w:tc>
          <w:tcPr>
            <w:tcW w:w="1400" w:type="dxa"/>
            <w:vAlign w:val="bottom"/>
            <w:tcBorders>
              <w:bottom w:val="single" w:sz="8" w:color="7F7F7F"/>
            </w:tcBorders>
            <w:gridSpan w:val="2"/>
            <w:shd w:val="clear" w:color="auto" w:fill="F2F2F2"/>
          </w:tcPr>
          <w:p>
            <w:pPr>
              <w:jc w:val="right"/>
              <w:ind w:right="69"/>
              <w:spacing w:after="0"/>
              <w:rPr>
                <w:sz w:val="20"/>
                <w:szCs w:val="20"/>
                <w:color w:val="auto"/>
              </w:rPr>
            </w:pPr>
            <w:r>
              <w:rPr>
                <w:rFonts w:ascii="Arial" w:cs="Arial" w:eastAsia="Arial" w:hAnsi="Arial"/>
                <w:sz w:val="14"/>
                <w:szCs w:val="14"/>
                <w:color w:val="auto"/>
              </w:rPr>
              <w:t>$21,513,802</w:t>
            </w:r>
          </w:p>
        </w:tc>
        <w:tc>
          <w:tcPr>
            <w:tcW w:w="1240" w:type="dxa"/>
            <w:vAlign w:val="bottom"/>
            <w:tcBorders>
              <w:bottom w:val="single" w:sz="8" w:color="7F7F7F"/>
            </w:tcBorders>
            <w:gridSpan w:val="2"/>
            <w:shd w:val="clear" w:color="auto" w:fill="F2F2F2"/>
          </w:tcPr>
          <w:p>
            <w:pPr>
              <w:jc w:val="right"/>
              <w:ind w:right="120"/>
              <w:spacing w:after="0"/>
              <w:rPr>
                <w:sz w:val="20"/>
                <w:szCs w:val="20"/>
                <w:color w:val="auto"/>
              </w:rPr>
            </w:pPr>
            <w:r>
              <w:rPr>
                <w:rFonts w:ascii="Arial" w:cs="Arial" w:eastAsia="Arial" w:hAnsi="Arial"/>
                <w:sz w:val="14"/>
                <w:szCs w:val="14"/>
                <w:color w:val="auto"/>
              </w:rPr>
              <w:t>$28,127,126</w:t>
            </w:r>
          </w:p>
        </w:tc>
        <w:tc>
          <w:tcPr>
            <w:tcW w:w="1260" w:type="dxa"/>
            <w:vAlign w:val="bottom"/>
            <w:tcBorders>
              <w:bottom w:val="single" w:sz="8" w:color="7F7F7F"/>
            </w:tcBorders>
            <w:shd w:val="clear" w:color="auto" w:fill="F2F2F2"/>
          </w:tcPr>
          <w:p>
            <w:pPr>
              <w:jc w:val="right"/>
              <w:ind w:right="49"/>
              <w:spacing w:after="0"/>
              <w:rPr>
                <w:sz w:val="20"/>
                <w:szCs w:val="20"/>
                <w:color w:val="auto"/>
              </w:rPr>
            </w:pPr>
            <w:r>
              <w:rPr>
                <w:rFonts w:ascii="Arial" w:cs="Arial" w:eastAsia="Arial" w:hAnsi="Arial"/>
                <w:sz w:val="14"/>
                <w:szCs w:val="14"/>
                <w:color w:val="auto"/>
              </w:rPr>
              <w:t>$6,388,301</w:t>
            </w:r>
          </w:p>
        </w:tc>
        <w:tc>
          <w:tcPr>
            <w:tcW w:w="1380" w:type="dxa"/>
            <w:vAlign w:val="bottom"/>
            <w:tcBorders>
              <w:bottom w:val="single" w:sz="8" w:color="7F7F7F"/>
            </w:tcBorders>
            <w:gridSpan w:val="2"/>
            <w:shd w:val="clear" w:color="auto" w:fill="F2F2F2"/>
          </w:tcPr>
          <w:p>
            <w:pPr>
              <w:jc w:val="right"/>
              <w:ind w:right="240"/>
              <w:spacing w:after="0"/>
              <w:rPr>
                <w:sz w:val="20"/>
                <w:szCs w:val="20"/>
                <w:color w:val="auto"/>
              </w:rPr>
            </w:pPr>
            <w:r>
              <w:rPr>
                <w:rFonts w:ascii="Arial" w:cs="Arial" w:eastAsia="Arial" w:hAnsi="Arial"/>
                <w:sz w:val="14"/>
                <w:szCs w:val="14"/>
                <w:color w:val="auto"/>
              </w:rPr>
              <w:t>$5,250,029</w:t>
            </w:r>
          </w:p>
        </w:tc>
        <w:tc>
          <w:tcPr>
            <w:tcW w:w="980" w:type="dxa"/>
            <w:vAlign w:val="bottom"/>
            <w:tcBorders>
              <w:bottom w:val="single" w:sz="8" w:color="7F7F7F"/>
            </w:tcBorders>
            <w:shd w:val="clear" w:color="auto" w:fill="F2F2F2"/>
          </w:tcPr>
          <w:p>
            <w:pPr>
              <w:ind w:left="360"/>
              <w:spacing w:after="0"/>
              <w:rPr>
                <w:sz w:val="20"/>
                <w:szCs w:val="20"/>
                <w:color w:val="auto"/>
              </w:rPr>
            </w:pPr>
            <w:r>
              <w:rPr>
                <w:rFonts w:ascii="Arial" w:cs="Arial" w:eastAsia="Arial" w:hAnsi="Arial"/>
                <w:sz w:val="14"/>
                <w:szCs w:val="14"/>
                <w:color w:val="auto"/>
              </w:rPr>
              <w:t>$156</w:t>
            </w:r>
          </w:p>
        </w:tc>
        <w:tc>
          <w:tcPr>
            <w:tcW w:w="1120" w:type="dxa"/>
            <w:vAlign w:val="bottom"/>
            <w:tcBorders>
              <w:bottom w:val="single" w:sz="8" w:color="7F7F7F"/>
            </w:tcBorders>
            <w:shd w:val="clear" w:color="auto" w:fill="F2F2F2"/>
          </w:tcPr>
          <w:p>
            <w:pPr>
              <w:jc w:val="right"/>
              <w:ind w:right="209"/>
              <w:spacing w:after="0"/>
              <w:rPr>
                <w:sz w:val="20"/>
                <w:szCs w:val="20"/>
                <w:color w:val="auto"/>
              </w:rPr>
            </w:pPr>
            <w:r>
              <w:rPr>
                <w:rFonts w:ascii="Arial" w:cs="Arial" w:eastAsia="Arial" w:hAnsi="Arial"/>
                <w:sz w:val="14"/>
                <w:szCs w:val="14"/>
                <w:color w:val="auto"/>
              </w:rPr>
              <w:t>$137</w:t>
            </w:r>
          </w:p>
        </w:tc>
        <w:tc>
          <w:tcPr>
            <w:tcW w:w="1180" w:type="dxa"/>
            <w:vAlign w:val="bottom"/>
            <w:tcBorders>
              <w:bottom w:val="single" w:sz="8" w:color="7F7F7F"/>
            </w:tcBorders>
            <w:shd w:val="clear" w:color="auto" w:fill="F2F2F2"/>
          </w:tcPr>
          <w:p>
            <w:pPr>
              <w:jc w:val="right"/>
              <w:ind w:right="229"/>
              <w:spacing w:after="0"/>
              <w:rPr>
                <w:sz w:val="20"/>
                <w:szCs w:val="20"/>
                <w:color w:val="auto"/>
              </w:rPr>
            </w:pPr>
            <w:r>
              <w:rPr>
                <w:rFonts w:ascii="Arial" w:cs="Arial" w:eastAsia="Arial" w:hAnsi="Arial"/>
                <w:sz w:val="14"/>
                <w:szCs w:val="14"/>
                <w:color w:val="auto"/>
              </w:rPr>
              <w:t>$3,500</w:t>
            </w:r>
          </w:p>
        </w:tc>
        <w:tc>
          <w:tcPr>
            <w:tcW w:w="1180" w:type="dxa"/>
            <w:vAlign w:val="bottom"/>
            <w:tcBorders>
              <w:bottom w:val="single" w:sz="8" w:color="7F7F7F"/>
            </w:tcBorders>
            <w:shd w:val="clear" w:color="auto" w:fill="F2F2F2"/>
          </w:tcPr>
          <w:p>
            <w:pPr>
              <w:jc w:val="right"/>
              <w:ind w:right="149"/>
              <w:spacing w:after="0"/>
              <w:rPr>
                <w:sz w:val="20"/>
                <w:szCs w:val="20"/>
                <w:color w:val="auto"/>
              </w:rPr>
            </w:pPr>
            <w:r>
              <w:rPr>
                <w:rFonts w:ascii="Arial" w:cs="Arial" w:eastAsia="Arial" w:hAnsi="Arial"/>
                <w:sz w:val="14"/>
                <w:szCs w:val="14"/>
                <w:color w:val="auto"/>
              </w:rPr>
              <w:t>$3,158</w:t>
            </w:r>
          </w:p>
        </w:tc>
        <w:tc>
          <w:tcPr>
            <w:tcW w:w="0" w:type="dxa"/>
            <w:vAlign w:val="bottom"/>
          </w:tcPr>
          <w:p>
            <w:pPr>
              <w:spacing w:after="0"/>
              <w:rPr>
                <w:sz w:val="1"/>
                <w:szCs w:val="1"/>
                <w:color w:val="auto"/>
              </w:rPr>
            </w:pPr>
          </w:p>
        </w:tc>
      </w:tr>
      <w:tr>
        <w:trPr>
          <w:trHeight w:val="274"/>
        </w:trPr>
        <w:tc>
          <w:tcPr>
            <w:tcW w:w="1180" w:type="dxa"/>
            <w:vAlign w:val="bottom"/>
            <w:tcBorders>
              <w:bottom w:val="single" w:sz="8" w:color="7F7F7F"/>
            </w:tcBorders>
          </w:tcPr>
          <w:p>
            <w:pPr>
              <w:ind w:left="80"/>
              <w:spacing w:after="0"/>
              <w:rPr>
                <w:sz w:val="20"/>
                <w:szCs w:val="20"/>
                <w:color w:val="auto"/>
              </w:rPr>
            </w:pPr>
            <w:r>
              <w:rPr>
                <w:rFonts w:ascii="Arial" w:cs="Arial" w:eastAsia="Arial" w:hAnsi="Arial"/>
                <w:sz w:val="14"/>
                <w:szCs w:val="14"/>
                <w:color w:val="auto"/>
              </w:rPr>
              <w:t>2023</w:t>
            </w:r>
            <w:r>
              <w:rPr>
                <w:rFonts w:ascii="Arial" w:cs="Arial" w:eastAsia="Arial" w:hAnsi="Arial"/>
                <w:sz w:val="17"/>
                <w:szCs w:val="17"/>
                <w:color w:val="auto"/>
                <w:vertAlign w:val="superscript"/>
              </w:rPr>
              <w:t>(E)</w:t>
            </w:r>
          </w:p>
        </w:tc>
        <w:tc>
          <w:tcPr>
            <w:tcW w:w="1400" w:type="dxa"/>
            <w:vAlign w:val="bottom"/>
            <w:tcBorders>
              <w:bottom w:val="single" w:sz="8" w:color="7F7F7F"/>
            </w:tcBorders>
            <w:gridSpan w:val="2"/>
          </w:tcPr>
          <w:p>
            <w:pPr>
              <w:jc w:val="right"/>
              <w:ind w:right="69"/>
              <w:spacing w:after="0"/>
              <w:rPr>
                <w:sz w:val="20"/>
                <w:szCs w:val="20"/>
                <w:color w:val="auto"/>
              </w:rPr>
            </w:pPr>
            <w:r>
              <w:rPr>
                <w:rFonts w:ascii="Arial" w:cs="Arial" w:eastAsia="Arial" w:hAnsi="Arial"/>
                <w:sz w:val="14"/>
                <w:szCs w:val="14"/>
                <w:color w:val="auto"/>
              </w:rPr>
              <w:t>$27,421,881</w:t>
            </w:r>
          </w:p>
        </w:tc>
        <w:tc>
          <w:tcPr>
            <w:tcW w:w="1240" w:type="dxa"/>
            <w:vAlign w:val="bottom"/>
            <w:tcBorders>
              <w:bottom w:val="single" w:sz="8" w:color="7F7F7F"/>
            </w:tcBorders>
            <w:gridSpan w:val="2"/>
          </w:tcPr>
          <w:p>
            <w:pPr>
              <w:jc w:val="right"/>
              <w:ind w:right="120"/>
              <w:spacing w:after="0"/>
              <w:rPr>
                <w:sz w:val="20"/>
                <w:szCs w:val="20"/>
                <w:color w:val="auto"/>
              </w:rPr>
            </w:pPr>
            <w:r>
              <w:rPr>
                <w:rFonts w:ascii="Arial" w:cs="Arial" w:eastAsia="Arial" w:hAnsi="Arial"/>
                <w:sz w:val="14"/>
                <w:szCs w:val="14"/>
                <w:color w:val="auto"/>
              </w:rPr>
              <w:t>$ 11,517,838</w:t>
            </w:r>
          </w:p>
        </w:tc>
        <w:tc>
          <w:tcPr>
            <w:tcW w:w="1260" w:type="dxa"/>
            <w:vAlign w:val="bottom"/>
            <w:tcBorders>
              <w:bottom w:val="single" w:sz="8" w:color="7F7F7F"/>
            </w:tcBorders>
          </w:tcPr>
          <w:p>
            <w:pPr>
              <w:jc w:val="right"/>
              <w:ind w:right="49"/>
              <w:spacing w:after="0"/>
              <w:rPr>
                <w:sz w:val="20"/>
                <w:szCs w:val="20"/>
                <w:color w:val="auto"/>
              </w:rPr>
            </w:pPr>
            <w:r>
              <w:rPr>
                <w:rFonts w:ascii="Arial" w:cs="Arial" w:eastAsia="Arial" w:hAnsi="Arial"/>
                <w:sz w:val="14"/>
                <w:szCs w:val="14"/>
                <w:color w:val="auto"/>
              </w:rPr>
              <w:t>$6,585,961</w:t>
            </w:r>
          </w:p>
        </w:tc>
        <w:tc>
          <w:tcPr>
            <w:tcW w:w="1380" w:type="dxa"/>
            <w:vAlign w:val="bottom"/>
            <w:tcBorders>
              <w:bottom w:val="single" w:sz="8" w:color="7F7F7F"/>
            </w:tcBorders>
            <w:gridSpan w:val="2"/>
          </w:tcPr>
          <w:p>
            <w:pPr>
              <w:jc w:val="right"/>
              <w:ind w:right="240"/>
              <w:spacing w:after="0"/>
              <w:rPr>
                <w:sz w:val="20"/>
                <w:szCs w:val="20"/>
                <w:color w:val="auto"/>
              </w:rPr>
            </w:pPr>
            <w:r>
              <w:rPr>
                <w:rFonts w:ascii="Arial" w:cs="Arial" w:eastAsia="Arial" w:hAnsi="Arial"/>
                <w:sz w:val="14"/>
                <w:szCs w:val="14"/>
                <w:color w:val="auto"/>
              </w:rPr>
              <w:t>$3,417,879</w:t>
            </w:r>
          </w:p>
        </w:tc>
        <w:tc>
          <w:tcPr>
            <w:tcW w:w="980" w:type="dxa"/>
            <w:vAlign w:val="bottom"/>
            <w:tcBorders>
              <w:bottom w:val="single" w:sz="8" w:color="7F7F7F"/>
            </w:tcBorders>
          </w:tcPr>
          <w:p>
            <w:pPr>
              <w:ind w:left="360"/>
              <w:spacing w:after="0"/>
              <w:rPr>
                <w:sz w:val="20"/>
                <w:szCs w:val="20"/>
                <w:color w:val="auto"/>
              </w:rPr>
            </w:pPr>
            <w:r>
              <w:rPr>
                <w:rFonts w:ascii="Arial" w:cs="Arial" w:eastAsia="Arial" w:hAnsi="Arial"/>
                <w:sz w:val="14"/>
                <w:szCs w:val="14"/>
                <w:color w:val="auto"/>
              </w:rPr>
              <w:t>$129</w:t>
            </w:r>
          </w:p>
        </w:tc>
        <w:tc>
          <w:tcPr>
            <w:tcW w:w="1120" w:type="dxa"/>
            <w:vAlign w:val="bottom"/>
            <w:tcBorders>
              <w:bottom w:val="single" w:sz="8" w:color="7F7F7F"/>
            </w:tcBorders>
          </w:tcPr>
          <w:p>
            <w:pPr>
              <w:jc w:val="right"/>
              <w:ind w:right="209"/>
              <w:spacing w:after="0"/>
              <w:rPr>
                <w:sz w:val="20"/>
                <w:szCs w:val="20"/>
                <w:color w:val="auto"/>
              </w:rPr>
            </w:pPr>
            <w:r>
              <w:rPr>
                <w:rFonts w:ascii="Arial" w:cs="Arial" w:eastAsia="Arial" w:hAnsi="Arial"/>
                <w:sz w:val="14"/>
                <w:szCs w:val="14"/>
                <w:color w:val="auto"/>
              </w:rPr>
              <w:t>$ 111</w:t>
            </w:r>
          </w:p>
        </w:tc>
        <w:tc>
          <w:tcPr>
            <w:tcW w:w="1180" w:type="dxa"/>
            <w:vAlign w:val="bottom"/>
            <w:tcBorders>
              <w:bottom w:val="single" w:sz="8" w:color="7F7F7F"/>
            </w:tcBorders>
          </w:tcPr>
          <w:p>
            <w:pPr>
              <w:jc w:val="right"/>
              <w:ind w:right="229"/>
              <w:spacing w:after="0"/>
              <w:rPr>
                <w:sz w:val="20"/>
                <w:szCs w:val="20"/>
                <w:color w:val="auto"/>
              </w:rPr>
            </w:pPr>
            <w:r>
              <w:rPr>
                <w:rFonts w:ascii="Arial" w:cs="Arial" w:eastAsia="Arial" w:hAnsi="Arial"/>
                <w:sz w:val="14"/>
                <w:szCs w:val="14"/>
                <w:color w:val="auto"/>
              </w:rPr>
              <w:t>$3,618</w:t>
            </w:r>
          </w:p>
        </w:tc>
        <w:tc>
          <w:tcPr>
            <w:tcW w:w="1180" w:type="dxa"/>
            <w:vAlign w:val="bottom"/>
            <w:tcBorders>
              <w:bottom w:val="single" w:sz="8" w:color="7F7F7F"/>
            </w:tcBorders>
          </w:tcPr>
          <w:p>
            <w:pPr>
              <w:jc w:val="right"/>
              <w:ind w:right="149"/>
              <w:spacing w:after="0"/>
              <w:rPr>
                <w:sz w:val="20"/>
                <w:szCs w:val="20"/>
                <w:color w:val="auto"/>
              </w:rPr>
            </w:pPr>
            <w:r>
              <w:rPr>
                <w:rFonts w:ascii="Arial" w:cs="Arial" w:eastAsia="Arial" w:hAnsi="Arial"/>
                <w:sz w:val="14"/>
                <w:szCs w:val="14"/>
                <w:color w:val="auto"/>
              </w:rPr>
              <w:t>$2,977</w:t>
            </w:r>
          </w:p>
        </w:tc>
        <w:tc>
          <w:tcPr>
            <w:tcW w:w="0" w:type="dxa"/>
            <w:vAlign w:val="bottom"/>
          </w:tcPr>
          <w:p>
            <w:pPr>
              <w:spacing w:after="0"/>
              <w:rPr>
                <w:sz w:val="1"/>
                <w:szCs w:val="1"/>
                <w:color w:val="auto"/>
              </w:rPr>
            </w:pPr>
          </w:p>
        </w:tc>
      </w:tr>
      <w:tr>
        <w:trPr>
          <w:trHeight w:val="274"/>
        </w:trPr>
        <w:tc>
          <w:tcPr>
            <w:tcW w:w="118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color w:val="auto"/>
              </w:rPr>
              <w:t>2022</w:t>
            </w:r>
            <w:r>
              <w:rPr>
                <w:rFonts w:ascii="Arial" w:cs="Arial" w:eastAsia="Arial" w:hAnsi="Arial"/>
                <w:sz w:val="17"/>
                <w:szCs w:val="17"/>
                <w:color w:val="auto"/>
                <w:vertAlign w:val="superscript"/>
              </w:rPr>
              <w:t>(E)</w:t>
            </w:r>
          </w:p>
        </w:tc>
        <w:tc>
          <w:tcPr>
            <w:tcW w:w="1400" w:type="dxa"/>
            <w:vAlign w:val="bottom"/>
            <w:tcBorders>
              <w:bottom w:val="single" w:sz="8" w:color="7F7F7F"/>
            </w:tcBorders>
            <w:gridSpan w:val="2"/>
            <w:shd w:val="clear" w:color="auto" w:fill="F2F2F2"/>
          </w:tcPr>
          <w:p>
            <w:pPr>
              <w:jc w:val="right"/>
              <w:ind w:right="69"/>
              <w:spacing w:after="0"/>
              <w:rPr>
                <w:sz w:val="20"/>
                <w:szCs w:val="20"/>
                <w:color w:val="auto"/>
              </w:rPr>
            </w:pPr>
            <w:r>
              <w:rPr>
                <w:rFonts w:ascii="Arial" w:cs="Arial" w:eastAsia="Arial" w:hAnsi="Arial"/>
                <w:sz w:val="14"/>
                <w:szCs w:val="14"/>
                <w:color w:val="auto"/>
              </w:rPr>
              <w:t>$18,608,094</w:t>
            </w:r>
          </w:p>
        </w:tc>
        <w:tc>
          <w:tcPr>
            <w:tcW w:w="1240" w:type="dxa"/>
            <w:vAlign w:val="bottom"/>
            <w:tcBorders>
              <w:bottom w:val="single" w:sz="8" w:color="7F7F7F"/>
            </w:tcBorders>
            <w:gridSpan w:val="2"/>
            <w:shd w:val="clear" w:color="auto" w:fill="F2F2F2"/>
          </w:tcPr>
          <w:p>
            <w:pPr>
              <w:jc w:val="right"/>
              <w:ind w:right="120"/>
              <w:spacing w:after="0"/>
              <w:rPr>
                <w:sz w:val="20"/>
                <w:szCs w:val="20"/>
                <w:color w:val="auto"/>
              </w:rPr>
            </w:pPr>
            <w:r>
              <w:rPr>
                <w:rFonts w:ascii="Arial" w:cs="Arial" w:eastAsia="Arial" w:hAnsi="Arial"/>
                <w:sz w:val="14"/>
                <w:szCs w:val="14"/>
                <w:color w:val="auto"/>
              </w:rPr>
              <w:t>$34,176,500</w:t>
            </w:r>
          </w:p>
        </w:tc>
        <w:tc>
          <w:tcPr>
            <w:tcW w:w="1260" w:type="dxa"/>
            <w:vAlign w:val="bottom"/>
            <w:tcBorders>
              <w:bottom w:val="single" w:sz="8" w:color="7F7F7F"/>
            </w:tcBorders>
            <w:shd w:val="clear" w:color="auto" w:fill="F2F2F2"/>
          </w:tcPr>
          <w:p>
            <w:pPr>
              <w:jc w:val="right"/>
              <w:ind w:right="49"/>
              <w:spacing w:after="0"/>
              <w:rPr>
                <w:sz w:val="20"/>
                <w:szCs w:val="20"/>
                <w:color w:val="auto"/>
              </w:rPr>
            </w:pPr>
            <w:r>
              <w:rPr>
                <w:rFonts w:ascii="Arial" w:cs="Arial" w:eastAsia="Arial" w:hAnsi="Arial"/>
                <w:sz w:val="14"/>
                <w:szCs w:val="14"/>
                <w:color w:val="auto"/>
              </w:rPr>
              <w:t>$4,172,220</w:t>
            </w:r>
          </w:p>
        </w:tc>
        <w:tc>
          <w:tcPr>
            <w:tcW w:w="1380" w:type="dxa"/>
            <w:vAlign w:val="bottom"/>
            <w:tcBorders>
              <w:bottom w:val="single" w:sz="8" w:color="7F7F7F"/>
            </w:tcBorders>
            <w:gridSpan w:val="2"/>
            <w:shd w:val="clear" w:color="auto" w:fill="F2F2F2"/>
          </w:tcPr>
          <w:p>
            <w:pPr>
              <w:jc w:val="right"/>
              <w:ind w:right="240"/>
              <w:spacing w:after="0"/>
              <w:rPr>
                <w:sz w:val="20"/>
                <w:szCs w:val="20"/>
                <w:color w:val="auto"/>
              </w:rPr>
            </w:pPr>
            <w:r>
              <w:rPr>
                <w:rFonts w:ascii="Arial" w:cs="Arial" w:eastAsia="Arial" w:hAnsi="Arial"/>
                <w:sz w:val="14"/>
                <w:szCs w:val="14"/>
                <w:color w:val="auto"/>
              </w:rPr>
              <w:t>$6,055,660</w:t>
            </w:r>
          </w:p>
        </w:tc>
        <w:tc>
          <w:tcPr>
            <w:tcW w:w="980" w:type="dxa"/>
            <w:vAlign w:val="bottom"/>
            <w:tcBorders>
              <w:bottom w:val="single" w:sz="8" w:color="7F7F7F"/>
            </w:tcBorders>
            <w:shd w:val="clear" w:color="auto" w:fill="F2F2F2"/>
          </w:tcPr>
          <w:p>
            <w:pPr>
              <w:ind w:left="360"/>
              <w:spacing w:after="0"/>
              <w:rPr>
                <w:sz w:val="20"/>
                <w:szCs w:val="20"/>
                <w:color w:val="auto"/>
              </w:rPr>
            </w:pPr>
            <w:r>
              <w:rPr>
                <w:rFonts w:ascii="Arial" w:cs="Arial" w:eastAsia="Arial" w:hAnsi="Arial"/>
                <w:sz w:val="14"/>
                <w:szCs w:val="14"/>
                <w:color w:val="auto"/>
              </w:rPr>
              <w:t>$129</w:t>
            </w:r>
          </w:p>
        </w:tc>
        <w:tc>
          <w:tcPr>
            <w:tcW w:w="1120" w:type="dxa"/>
            <w:vAlign w:val="bottom"/>
            <w:tcBorders>
              <w:bottom w:val="single" w:sz="8" w:color="7F7F7F"/>
            </w:tcBorders>
            <w:shd w:val="clear" w:color="auto" w:fill="F2F2F2"/>
          </w:tcPr>
          <w:p>
            <w:pPr>
              <w:jc w:val="right"/>
              <w:ind w:right="209"/>
              <w:spacing w:after="0"/>
              <w:rPr>
                <w:sz w:val="20"/>
                <w:szCs w:val="20"/>
                <w:color w:val="auto"/>
              </w:rPr>
            </w:pPr>
            <w:r>
              <w:rPr>
                <w:rFonts w:ascii="Arial" w:cs="Arial" w:eastAsia="Arial" w:hAnsi="Arial"/>
                <w:sz w:val="14"/>
                <w:szCs w:val="14"/>
                <w:color w:val="auto"/>
              </w:rPr>
              <w:t>$120</w:t>
            </w:r>
          </w:p>
        </w:tc>
        <w:tc>
          <w:tcPr>
            <w:tcW w:w="1180" w:type="dxa"/>
            <w:vAlign w:val="bottom"/>
            <w:tcBorders>
              <w:bottom w:val="single" w:sz="8" w:color="7F7F7F"/>
            </w:tcBorders>
            <w:shd w:val="clear" w:color="auto" w:fill="F2F2F2"/>
          </w:tcPr>
          <w:p>
            <w:pPr>
              <w:jc w:val="right"/>
              <w:ind w:right="229"/>
              <w:spacing w:after="0"/>
              <w:rPr>
                <w:sz w:val="20"/>
                <w:szCs w:val="20"/>
                <w:color w:val="auto"/>
              </w:rPr>
            </w:pPr>
            <w:r>
              <w:rPr>
                <w:rFonts w:ascii="Arial" w:cs="Arial" w:eastAsia="Arial" w:hAnsi="Arial"/>
                <w:sz w:val="14"/>
                <w:szCs w:val="14"/>
                <w:color w:val="auto"/>
              </w:rPr>
              <w:t>$2,285</w:t>
            </w:r>
          </w:p>
        </w:tc>
        <w:tc>
          <w:tcPr>
            <w:tcW w:w="1180" w:type="dxa"/>
            <w:vAlign w:val="bottom"/>
            <w:tcBorders>
              <w:bottom w:val="single" w:sz="8" w:color="7F7F7F"/>
            </w:tcBorders>
            <w:shd w:val="clear" w:color="auto" w:fill="F2F2F2"/>
          </w:tcPr>
          <w:p>
            <w:pPr>
              <w:jc w:val="right"/>
              <w:ind w:right="149"/>
              <w:spacing w:after="0"/>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275"/>
        </w:trPr>
        <w:tc>
          <w:tcPr>
            <w:tcW w:w="1180" w:type="dxa"/>
            <w:vAlign w:val="bottom"/>
          </w:tcPr>
          <w:p>
            <w:pPr>
              <w:ind w:left="80"/>
              <w:spacing w:after="0"/>
              <w:rPr>
                <w:sz w:val="20"/>
                <w:szCs w:val="20"/>
                <w:color w:val="auto"/>
              </w:rPr>
            </w:pPr>
            <w:r>
              <w:rPr>
                <w:rFonts w:ascii="Arial" w:cs="Arial" w:eastAsia="Arial" w:hAnsi="Arial"/>
                <w:sz w:val="14"/>
                <w:szCs w:val="14"/>
                <w:color w:val="auto"/>
              </w:rPr>
              <w:t>2021</w:t>
            </w:r>
            <w:r>
              <w:rPr>
                <w:rFonts w:ascii="Arial" w:cs="Arial" w:eastAsia="Arial" w:hAnsi="Arial"/>
                <w:sz w:val="17"/>
                <w:szCs w:val="17"/>
                <w:color w:val="auto"/>
                <w:vertAlign w:val="superscript"/>
              </w:rPr>
              <w:t>(E)</w:t>
            </w:r>
          </w:p>
        </w:tc>
        <w:tc>
          <w:tcPr>
            <w:tcW w:w="1400" w:type="dxa"/>
            <w:vAlign w:val="bottom"/>
            <w:gridSpan w:val="2"/>
          </w:tcPr>
          <w:p>
            <w:pPr>
              <w:jc w:val="right"/>
              <w:ind w:right="69"/>
              <w:spacing w:after="0"/>
              <w:rPr>
                <w:sz w:val="20"/>
                <w:szCs w:val="20"/>
                <w:color w:val="auto"/>
              </w:rPr>
            </w:pPr>
            <w:r>
              <w:rPr>
                <w:rFonts w:ascii="Arial" w:cs="Arial" w:eastAsia="Arial" w:hAnsi="Arial"/>
                <w:sz w:val="14"/>
                <w:szCs w:val="14"/>
                <w:color w:val="auto"/>
              </w:rPr>
              <w:t>$24,675,982</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$ 11,770,982</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$4,727,198</w:t>
            </w: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$2,995,826</w:t>
            </w:r>
          </w:p>
        </w:tc>
        <w:tc>
          <w:tcPr>
            <w:tcW w:w="980" w:type="dxa"/>
            <w:vAlign w:val="bottom"/>
          </w:tcPr>
          <w:p>
            <w:pPr>
              <w:ind w:left="360"/>
              <w:spacing w:after="0"/>
              <w:rPr>
                <w:sz w:val="20"/>
                <w:szCs w:val="20"/>
                <w:color w:val="auto"/>
              </w:rPr>
            </w:pPr>
            <w:r>
              <w:rPr>
                <w:rFonts w:ascii="Arial" w:cs="Arial" w:eastAsia="Arial" w:hAnsi="Arial"/>
                <w:sz w:val="14"/>
                <w:szCs w:val="14"/>
                <w:color w:val="auto"/>
              </w:rPr>
              <w:t>$107</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$118</w:t>
            </w:r>
          </w:p>
        </w:tc>
        <w:tc>
          <w:tcPr>
            <w:tcW w:w="1180" w:type="dxa"/>
            <w:vAlign w:val="bottom"/>
          </w:tcPr>
          <w:p>
            <w:pPr>
              <w:jc w:val="right"/>
              <w:ind w:right="229"/>
              <w:spacing w:after="0"/>
              <w:rPr>
                <w:sz w:val="20"/>
                <w:szCs w:val="20"/>
                <w:color w:val="auto"/>
              </w:rPr>
            </w:pPr>
            <w:r>
              <w:rPr>
                <w:rFonts w:ascii="Arial" w:cs="Arial" w:eastAsia="Arial" w:hAnsi="Arial"/>
                <w:sz w:val="14"/>
                <w:szCs w:val="14"/>
                <w:color w:val="auto"/>
              </w:rPr>
              <w:t>$1,463</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4208145</wp:posOffset>
            </wp:positionH>
            <wp:positionV relativeFrom="paragraph">
              <wp:posOffset>-1511300</wp:posOffset>
            </wp:positionV>
            <wp:extent cx="12401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spacing w:after="0" w:line="55" w:lineRule="exact"/>
        <w:rPr>
          <w:sz w:val="20"/>
          <w:szCs w:val="20"/>
          <w:color w:val="auto"/>
        </w:rPr>
      </w:pPr>
    </w:p>
    <w:p>
      <w:pPr>
        <w:ind w:left="480" w:right="40" w:hanging="313"/>
        <w:spacing w:after="0" w:line="244" w:lineRule="auto"/>
        <w:tabs>
          <w:tab w:leader="none" w:pos="480" w:val="left"/>
        </w:tabs>
        <w:numPr>
          <w:ilvl w:val="0"/>
          <w:numId w:val="119"/>
        </w:numPr>
        <w:rPr>
          <w:rFonts w:ascii="Arial" w:cs="Arial" w:eastAsia="Arial" w:hAnsi="Arial"/>
          <w:sz w:val="12"/>
          <w:szCs w:val="12"/>
          <w:color w:val="auto"/>
        </w:rPr>
      </w:pPr>
      <w:r>
        <w:rPr>
          <w:rFonts w:ascii="Arial" w:cs="Arial" w:eastAsia="Arial" w:hAnsi="Arial"/>
          <w:sz w:val="12"/>
          <w:szCs w:val="12"/>
          <w:b w:val="1"/>
          <w:bCs w:val="1"/>
          <w:color w:val="auto"/>
        </w:rPr>
        <w:t xml:space="preserve">The amounts reported in the “Compensation Actually Paid to PEO” and “Average Compensation Actually Paid to Non-PEO NEOs” columns do not reflect the actual compensation paid to or realized by the PEO or the Non-PEO NEOs during each applicable year. </w:t>
      </w:r>
      <w:r>
        <w:rPr>
          <w:rFonts w:ascii="Arial" w:cs="Arial" w:eastAsia="Arial" w:hAnsi="Arial"/>
          <w:sz w:val="12"/>
          <w:szCs w:val="12"/>
          <w:color w:val="auto"/>
        </w:rPr>
        <w:t>The calculation of compensation actually paid (CAP) for purposes of this table includes point-in-time</w:t>
      </w:r>
      <w:r>
        <w:rPr>
          <w:rFonts w:ascii="Arial" w:cs="Arial" w:eastAsia="Arial" w:hAnsi="Arial"/>
          <w:sz w:val="12"/>
          <w:szCs w:val="12"/>
          <w:b w:val="1"/>
          <w:bCs w:val="1"/>
          <w:color w:val="auto"/>
        </w:rPr>
        <w:t xml:space="preserve"> </w:t>
      </w:r>
      <w:r>
        <w:rPr>
          <w:rFonts w:ascii="Arial" w:cs="Arial" w:eastAsia="Arial" w:hAnsi="Arial"/>
          <w:sz w:val="12"/>
          <w:szCs w:val="12"/>
          <w:color w:val="auto"/>
        </w:rPr>
        <w:t>valuations as required by the SEC’s prescribed methodology for stock awards and option awards (collectively, Equity Awards), including unvested Equity Awards, and these values fluctuate based on the company’s stock price. See the 2025 Summary Compensation Table for the amounts of the PEO’s and each of the Non-PEO NEO’s base salary, annual bonus plan award and certain other compensation and the 2025 Option Exercises and Stock Vested table for the value realized by each of them upon the vesting of restricted stock unit awards during 2025.</w:t>
      </w:r>
    </w:p>
    <w:p>
      <w:pPr>
        <w:spacing w:after="0" w:line="7" w:lineRule="exact"/>
        <w:rPr>
          <w:sz w:val="20"/>
          <w:szCs w:val="20"/>
          <w:color w:val="auto"/>
        </w:rPr>
      </w:pPr>
    </w:p>
    <w:p>
      <w:pPr>
        <w:ind w:left="480" w:right="260" w:hanging="313"/>
        <w:spacing w:after="0" w:line="279" w:lineRule="auto"/>
        <w:tabs>
          <w:tab w:leader="none" w:pos="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following adjustments were made to the amounts reported in the Total column of the Summary Compensation Table (SCT) for the applicable year (SCT Total Compensation), which are reported in columns (b) and (d), to derive the CAP reported in columns (c) and (e), respectively:</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PEO: SCT Total Compensation to CAP Reconciliation</w:t>
      </w:r>
    </w:p>
    <w:p>
      <w:pPr>
        <w:spacing w:after="0" w:line="129"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1660" w:type="dxa"/>
            <w:vAlign w:val="bottom"/>
            <w:shd w:val="clear" w:color="auto" w:fill="005CB9"/>
          </w:tcPr>
          <w:p>
            <w:pPr>
              <w:spacing w:after="0"/>
              <w:rPr>
                <w:sz w:val="15"/>
                <w:szCs w:val="15"/>
                <w:color w:val="auto"/>
              </w:rPr>
            </w:pPr>
          </w:p>
        </w:tc>
        <w:tc>
          <w:tcPr>
            <w:tcW w:w="1500" w:type="dxa"/>
            <w:vAlign w:val="bottom"/>
            <w:shd w:val="clear" w:color="auto" w:fill="005CB9"/>
          </w:tcPr>
          <w:p>
            <w:pPr>
              <w:jc w:val="right"/>
              <w:ind w:right="478"/>
              <w:spacing w:after="0"/>
              <w:rPr>
                <w:sz w:val="20"/>
                <w:szCs w:val="20"/>
                <w:color w:val="auto"/>
              </w:rPr>
            </w:pPr>
            <w:r>
              <w:rPr>
                <w:rFonts w:ascii="Arial" w:cs="Arial" w:eastAsia="Arial" w:hAnsi="Arial"/>
                <w:sz w:val="12"/>
                <w:szCs w:val="12"/>
                <w:b w:val="1"/>
                <w:bCs w:val="1"/>
                <w:color w:val="FFFFFF"/>
              </w:rPr>
              <w:t>Total</w:t>
            </w:r>
          </w:p>
        </w:tc>
        <w:tc>
          <w:tcPr>
            <w:tcW w:w="1480" w:type="dxa"/>
            <w:vAlign w:val="bottom"/>
            <w:gridSpan w:val="2"/>
            <w:vMerge w:val="restart"/>
            <w:shd w:val="clear" w:color="auto" w:fill="005CB9"/>
          </w:tcPr>
          <w:p>
            <w:pPr>
              <w:jc w:val="right"/>
              <w:ind w:right="238"/>
              <w:spacing w:after="0"/>
              <w:rPr>
                <w:sz w:val="20"/>
                <w:szCs w:val="20"/>
                <w:color w:val="auto"/>
              </w:rPr>
            </w:pPr>
            <w:r>
              <w:rPr>
                <w:rFonts w:ascii="Arial" w:cs="Arial" w:eastAsia="Arial" w:hAnsi="Arial"/>
                <w:sz w:val="12"/>
                <w:szCs w:val="12"/>
                <w:b w:val="1"/>
                <w:bCs w:val="1"/>
                <w:color w:val="FFFFFF"/>
              </w:rPr>
              <w:t>Equity Awards</w:t>
            </w:r>
          </w:p>
        </w:tc>
        <w:tc>
          <w:tcPr>
            <w:tcW w:w="144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rPr>
              <w:t>Adjusted Equity</w:t>
            </w:r>
          </w:p>
        </w:tc>
        <w:tc>
          <w:tcPr>
            <w:tcW w:w="148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rPr>
              <w:t>Change in</w:t>
            </w:r>
          </w:p>
        </w:tc>
        <w:tc>
          <w:tcPr>
            <w:tcW w:w="1460" w:type="dxa"/>
            <w:vAlign w:val="bottom"/>
            <w:gridSpan w:val="2"/>
            <w:shd w:val="clear" w:color="auto" w:fill="005CB9"/>
          </w:tcPr>
          <w:p>
            <w:pPr>
              <w:ind w:left="200"/>
              <w:spacing w:after="0"/>
              <w:rPr>
                <w:sz w:val="20"/>
                <w:szCs w:val="20"/>
                <w:color w:val="auto"/>
              </w:rPr>
            </w:pPr>
            <w:r>
              <w:rPr>
                <w:rFonts w:ascii="Arial" w:cs="Arial" w:eastAsia="Arial" w:hAnsi="Arial"/>
                <w:sz w:val="12"/>
                <w:szCs w:val="12"/>
                <w:b w:val="1"/>
                <w:bCs w:val="1"/>
                <w:color w:val="FFFFFF"/>
              </w:rPr>
              <w:t>Adjusted Change</w:t>
            </w:r>
          </w:p>
        </w:tc>
        <w:tc>
          <w:tcPr>
            <w:tcW w:w="1000" w:type="dxa"/>
            <w:vAlign w:val="bottom"/>
            <w:shd w:val="clear" w:color="auto" w:fill="005CB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660" w:type="dxa"/>
            <w:vAlign w:val="bottom"/>
            <w:vMerge w:val="restart"/>
            <w:shd w:val="clear" w:color="auto" w:fill="005CB9"/>
          </w:tcPr>
          <w:p>
            <w:pPr>
              <w:ind w:left="60"/>
              <w:spacing w:after="0"/>
              <w:rPr>
                <w:sz w:val="20"/>
                <w:szCs w:val="20"/>
                <w:color w:val="auto"/>
              </w:rPr>
            </w:pPr>
            <w:r>
              <w:rPr>
                <w:rFonts w:ascii="Arial" w:cs="Arial" w:eastAsia="Arial" w:hAnsi="Arial"/>
                <w:sz w:val="12"/>
                <w:szCs w:val="12"/>
                <w:b w:val="1"/>
                <w:bCs w:val="1"/>
                <w:color w:val="FFFFFF"/>
              </w:rPr>
              <w:t>Year</w:t>
            </w:r>
          </w:p>
        </w:tc>
        <w:tc>
          <w:tcPr>
            <w:tcW w:w="1500" w:type="dxa"/>
            <w:vAlign w:val="bottom"/>
            <w:shd w:val="clear" w:color="auto" w:fill="005CB9"/>
          </w:tcPr>
          <w:p>
            <w:pPr>
              <w:jc w:val="right"/>
              <w:ind w:right="178"/>
              <w:spacing w:after="0" w:line="134" w:lineRule="exact"/>
              <w:rPr>
                <w:sz w:val="20"/>
                <w:szCs w:val="20"/>
                <w:color w:val="auto"/>
              </w:rPr>
            </w:pPr>
            <w:r>
              <w:rPr>
                <w:rFonts w:ascii="Arial" w:cs="Arial" w:eastAsia="Arial" w:hAnsi="Arial"/>
                <w:sz w:val="12"/>
                <w:szCs w:val="12"/>
                <w:b w:val="1"/>
                <w:bCs w:val="1"/>
                <w:color w:val="FFFFFF"/>
              </w:rPr>
              <w:t>Compensation</w:t>
            </w:r>
          </w:p>
        </w:tc>
        <w:tc>
          <w:tcPr>
            <w:tcW w:w="1480" w:type="dxa"/>
            <w:vAlign w:val="bottom"/>
            <w:gridSpan w:val="2"/>
            <w:vMerge w:val="continue"/>
            <w:shd w:val="clear" w:color="auto" w:fill="005CB9"/>
          </w:tcPr>
          <w:p>
            <w:pPr>
              <w:spacing w:after="0"/>
              <w:rPr>
                <w:sz w:val="11"/>
                <w:szCs w:val="11"/>
                <w:color w:val="auto"/>
              </w:rPr>
            </w:pPr>
          </w:p>
        </w:tc>
        <w:tc>
          <w:tcPr>
            <w:tcW w:w="144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Awards</w:t>
            </w:r>
          </w:p>
        </w:tc>
        <w:tc>
          <w:tcPr>
            <w:tcW w:w="148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Pension Value</w:t>
            </w:r>
          </w:p>
        </w:tc>
        <w:tc>
          <w:tcPr>
            <w:tcW w:w="1460" w:type="dxa"/>
            <w:vAlign w:val="bottom"/>
            <w:gridSpan w:val="2"/>
            <w:shd w:val="clear" w:color="auto" w:fill="005CB9"/>
          </w:tcPr>
          <w:p>
            <w:pPr>
              <w:ind w:left="220"/>
              <w:spacing w:after="0" w:line="134" w:lineRule="exact"/>
              <w:rPr>
                <w:sz w:val="20"/>
                <w:szCs w:val="20"/>
                <w:color w:val="auto"/>
              </w:rPr>
            </w:pPr>
            <w:r>
              <w:rPr>
                <w:rFonts w:ascii="Arial" w:cs="Arial" w:eastAsia="Arial" w:hAnsi="Arial"/>
                <w:sz w:val="12"/>
                <w:szCs w:val="12"/>
                <w:b w:val="1"/>
                <w:bCs w:val="1"/>
                <w:color w:val="FFFFFF"/>
              </w:rPr>
              <w:t>in Pension Value</w:t>
            </w:r>
          </w:p>
        </w:tc>
        <w:tc>
          <w:tcPr>
            <w:tcW w:w="1000" w:type="dxa"/>
            <w:vAlign w:val="bottom"/>
            <w:vMerge w:val="restart"/>
            <w:shd w:val="clear" w:color="auto" w:fill="005CB9"/>
          </w:tcPr>
          <w:p>
            <w:pPr>
              <w:ind w:left="460"/>
              <w:spacing w:after="0"/>
              <w:rPr>
                <w:sz w:val="20"/>
                <w:szCs w:val="20"/>
                <w:color w:val="auto"/>
              </w:rPr>
            </w:pPr>
            <w:r>
              <w:rPr>
                <w:rFonts w:ascii="Arial" w:cs="Arial" w:eastAsia="Arial" w:hAnsi="Arial"/>
                <w:sz w:val="12"/>
                <w:szCs w:val="12"/>
                <w:b w:val="1"/>
                <w:bCs w:val="1"/>
                <w:color w:val="FFFFFF"/>
              </w:rPr>
              <w:t>CAP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660" w:type="dxa"/>
            <w:vAlign w:val="bottom"/>
            <w:vMerge w:val="continue"/>
            <w:shd w:val="clear" w:color="auto" w:fill="005CB9"/>
          </w:tcPr>
          <w:p>
            <w:pPr>
              <w:spacing w:after="0"/>
              <w:rPr>
                <w:sz w:val="19"/>
                <w:szCs w:val="19"/>
                <w:color w:val="auto"/>
              </w:rPr>
            </w:pPr>
          </w:p>
        </w:tc>
        <w:tc>
          <w:tcPr>
            <w:tcW w:w="1500" w:type="dxa"/>
            <w:vAlign w:val="bottom"/>
            <w:shd w:val="clear" w:color="auto" w:fill="005CB9"/>
          </w:tcPr>
          <w:p>
            <w:pPr>
              <w:jc w:val="right"/>
              <w:ind w:right="138"/>
              <w:spacing w:after="0"/>
              <w:rPr>
                <w:sz w:val="20"/>
                <w:szCs w:val="20"/>
                <w:color w:val="auto"/>
              </w:rPr>
            </w:pPr>
            <w:r>
              <w:rPr>
                <w:rFonts w:ascii="Arial" w:cs="Arial" w:eastAsia="Arial" w:hAnsi="Arial"/>
                <w:sz w:val="12"/>
                <w:szCs w:val="12"/>
                <w:b w:val="1"/>
                <w:bCs w:val="1"/>
                <w:color w:val="FFFFFF"/>
              </w:rPr>
              <w:t>Reported in SCT</w:t>
            </w:r>
          </w:p>
        </w:tc>
        <w:tc>
          <w:tcPr>
            <w:tcW w:w="1480" w:type="dxa"/>
            <w:vAlign w:val="bottom"/>
            <w:gridSpan w:val="2"/>
            <w:shd w:val="clear" w:color="auto" w:fill="005CB9"/>
          </w:tcPr>
          <w:p>
            <w:pPr>
              <w:jc w:val="right"/>
              <w:ind w:right="138"/>
              <w:spacing w:after="0"/>
              <w:rPr>
                <w:sz w:val="20"/>
                <w:szCs w:val="20"/>
                <w:color w:val="auto"/>
              </w:rPr>
            </w:pPr>
            <w:r>
              <w:rPr>
                <w:rFonts w:ascii="Arial" w:cs="Arial" w:eastAsia="Arial" w:hAnsi="Arial"/>
                <w:sz w:val="12"/>
                <w:szCs w:val="12"/>
                <w:b w:val="1"/>
                <w:bCs w:val="1"/>
                <w:color w:val="FFFFFF"/>
              </w:rPr>
              <w:t>Reported in SCT</w:t>
            </w:r>
            <w:r>
              <w:rPr>
                <w:rFonts w:ascii="Arial" w:cs="Arial" w:eastAsia="Arial" w:hAnsi="Arial"/>
                <w:sz w:val="15"/>
                <w:szCs w:val="15"/>
                <w:b w:val="1"/>
                <w:bCs w:val="1"/>
                <w:color w:val="FFFFFF"/>
                <w:vertAlign w:val="superscript"/>
              </w:rPr>
              <w:t>(1)</w:t>
            </w:r>
          </w:p>
        </w:tc>
        <w:tc>
          <w:tcPr>
            <w:tcW w:w="144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w w:val="99"/>
              </w:rPr>
              <w:t>Included in CAP</w:t>
            </w:r>
            <w:r>
              <w:rPr>
                <w:rFonts w:ascii="Arial" w:cs="Arial" w:eastAsia="Arial" w:hAnsi="Arial"/>
                <w:sz w:val="15"/>
                <w:szCs w:val="15"/>
                <w:b w:val="1"/>
                <w:bCs w:val="1"/>
                <w:color w:val="FFFFFF"/>
                <w:w w:val="99"/>
                <w:vertAlign w:val="superscript"/>
              </w:rPr>
              <w:t>(2)</w:t>
            </w:r>
          </w:p>
        </w:tc>
        <w:tc>
          <w:tcPr>
            <w:tcW w:w="148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rPr>
              <w:t>Reported in SCT</w:t>
            </w:r>
            <w:r>
              <w:rPr>
                <w:rFonts w:ascii="Arial" w:cs="Arial" w:eastAsia="Arial" w:hAnsi="Arial"/>
                <w:sz w:val="15"/>
                <w:szCs w:val="15"/>
                <w:b w:val="1"/>
                <w:bCs w:val="1"/>
                <w:color w:val="FFFFFF"/>
                <w:vertAlign w:val="superscript"/>
              </w:rPr>
              <w:t>(3)</w:t>
            </w:r>
          </w:p>
        </w:tc>
        <w:tc>
          <w:tcPr>
            <w:tcW w:w="1460" w:type="dxa"/>
            <w:vAlign w:val="bottom"/>
            <w:gridSpan w:val="2"/>
            <w:shd w:val="clear" w:color="auto" w:fill="005CB9"/>
          </w:tcPr>
          <w:p>
            <w:pPr>
              <w:ind w:left="180"/>
              <w:spacing w:after="0"/>
              <w:rPr>
                <w:sz w:val="20"/>
                <w:szCs w:val="20"/>
                <w:color w:val="auto"/>
              </w:rPr>
            </w:pPr>
            <w:r>
              <w:rPr>
                <w:rFonts w:ascii="Arial" w:cs="Arial" w:eastAsia="Arial" w:hAnsi="Arial"/>
                <w:sz w:val="12"/>
                <w:szCs w:val="12"/>
                <w:b w:val="1"/>
                <w:bCs w:val="1"/>
                <w:color w:val="FFFFFF"/>
              </w:rPr>
              <w:t>Included in CAP</w:t>
            </w:r>
            <w:r>
              <w:rPr>
                <w:rFonts w:ascii="Arial" w:cs="Arial" w:eastAsia="Arial" w:hAnsi="Arial"/>
                <w:sz w:val="15"/>
                <w:szCs w:val="15"/>
                <w:b w:val="1"/>
                <w:bCs w:val="1"/>
                <w:color w:val="FFFFFF"/>
                <w:vertAlign w:val="superscript"/>
              </w:rPr>
              <w:t>(4)</w:t>
            </w:r>
          </w:p>
        </w:tc>
        <w:tc>
          <w:tcPr>
            <w:tcW w:w="1000" w:type="dxa"/>
            <w:vAlign w:val="bottom"/>
            <w:vMerge w:val="continue"/>
            <w:shd w:val="clear" w:color="auto" w:fill="005CB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660" w:type="dxa"/>
            <w:vAlign w:val="bottom"/>
          </w:tcPr>
          <w:p>
            <w:pPr>
              <w:ind w:left="60"/>
              <w:spacing w:after="0"/>
              <w:rPr>
                <w:sz w:val="20"/>
                <w:szCs w:val="20"/>
                <w:color w:val="auto"/>
              </w:rPr>
            </w:pPr>
            <w:r>
              <w:rPr>
                <w:rFonts w:ascii="Arial" w:cs="Arial" w:eastAsia="Arial" w:hAnsi="Arial"/>
                <w:sz w:val="12"/>
                <w:szCs w:val="12"/>
                <w:color w:val="auto"/>
              </w:rPr>
              <w:t>2025</w:t>
            </w:r>
          </w:p>
        </w:tc>
        <w:tc>
          <w:tcPr>
            <w:tcW w:w="1500" w:type="dxa"/>
            <w:vAlign w:val="bottom"/>
          </w:tcPr>
          <w:p>
            <w:pPr>
              <w:jc w:val="right"/>
              <w:ind w:right="118"/>
              <w:spacing w:after="0"/>
              <w:rPr>
                <w:sz w:val="20"/>
                <w:szCs w:val="20"/>
                <w:color w:val="auto"/>
              </w:rPr>
            </w:pPr>
            <w:r>
              <w:rPr>
                <w:rFonts w:ascii="Arial" w:cs="Arial" w:eastAsia="Arial" w:hAnsi="Arial"/>
                <w:sz w:val="12"/>
                <w:szCs w:val="12"/>
                <w:color w:val="auto"/>
              </w:rPr>
              <w:t>$ 22,245,589</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(14,453,933)</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38"/>
              <w:spacing w:after="0"/>
              <w:rPr>
                <w:sz w:val="20"/>
                <w:szCs w:val="20"/>
                <w:color w:val="auto"/>
              </w:rPr>
            </w:pPr>
            <w:r>
              <w:rPr>
                <w:rFonts w:ascii="Arial" w:cs="Arial" w:eastAsia="Arial" w:hAnsi="Arial"/>
                <w:sz w:val="12"/>
                <w:szCs w:val="12"/>
                <w:color w:val="auto"/>
              </w:rPr>
              <w:t>3,756,766</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58"/>
              <w:spacing w:after="0"/>
              <w:rPr>
                <w:sz w:val="20"/>
                <w:szCs w:val="20"/>
                <w:color w:val="auto"/>
              </w:rPr>
            </w:pPr>
            <w:r>
              <w:rPr>
                <w:rFonts w:ascii="Arial" w:cs="Arial" w:eastAsia="Arial" w:hAnsi="Arial"/>
                <w:sz w:val="12"/>
                <w:szCs w:val="12"/>
                <w:color w:val="auto"/>
              </w:rPr>
              <w:t>161,504</w:t>
            </w:r>
          </w:p>
        </w:tc>
        <w:tc>
          <w:tcPr>
            <w:tcW w:w="1020" w:type="dxa"/>
            <w:vAlign w:val="bottom"/>
            <w:gridSpan w:val="2"/>
          </w:tcPr>
          <w:p>
            <w:pPr>
              <w:ind w:left="220"/>
              <w:spacing w:after="0"/>
              <w:rPr>
                <w:sz w:val="20"/>
                <w:szCs w:val="20"/>
                <w:color w:val="auto"/>
              </w:rPr>
            </w:pPr>
            <w:r>
              <w:rPr>
                <w:rFonts w:ascii="Arial" w:cs="Arial" w:eastAsia="Arial" w:hAnsi="Arial"/>
                <w:sz w:val="12"/>
                <w:szCs w:val="12"/>
                <w:color w:val="auto"/>
              </w:rPr>
              <w:t xml:space="preserve">$ 11,709,926   </w:t>
            </w:r>
          </w:p>
        </w:tc>
        <w:tc>
          <w:tcPr>
            <w:tcW w:w="0" w:type="dxa"/>
            <w:vAlign w:val="bottom"/>
          </w:tcPr>
          <w:p>
            <w:pPr>
              <w:spacing w:after="0"/>
              <w:rPr>
                <w:sz w:val="1"/>
                <w:szCs w:val="1"/>
                <w:color w:val="auto"/>
              </w:rPr>
            </w:pPr>
          </w:p>
        </w:tc>
      </w:tr>
      <w:tr>
        <w:trPr>
          <w:trHeight w:val="100"/>
        </w:trPr>
        <w:tc>
          <w:tcPr>
            <w:tcW w:w="1660" w:type="dxa"/>
            <w:vAlign w:val="bottom"/>
            <w:tcBorders>
              <w:bottom w:val="single" w:sz="8" w:color="7F7F7F"/>
            </w:tcBorders>
          </w:tcPr>
          <w:p>
            <w:pPr>
              <w:spacing w:after="0"/>
              <w:rPr>
                <w:sz w:val="8"/>
                <w:szCs w:val="8"/>
                <w:color w:val="auto"/>
              </w:rPr>
            </w:pPr>
          </w:p>
        </w:tc>
        <w:tc>
          <w:tcPr>
            <w:tcW w:w="1500" w:type="dxa"/>
            <w:vAlign w:val="bottom"/>
            <w:tcBorders>
              <w:bottom w:val="single" w:sz="8" w:color="7F7F7F"/>
            </w:tcBorders>
          </w:tcPr>
          <w:p>
            <w:pPr>
              <w:spacing w:after="0"/>
              <w:rPr>
                <w:sz w:val="8"/>
                <w:szCs w:val="8"/>
                <w:color w:val="auto"/>
              </w:rPr>
            </w:pPr>
          </w:p>
        </w:tc>
        <w:tc>
          <w:tcPr>
            <w:tcW w:w="560" w:type="dxa"/>
            <w:vAlign w:val="bottom"/>
            <w:tcBorders>
              <w:bottom w:val="single" w:sz="8" w:color="7F7F7F"/>
            </w:tcBorders>
          </w:tcPr>
          <w:p>
            <w:pPr>
              <w:spacing w:after="0"/>
              <w:rPr>
                <w:sz w:val="8"/>
                <w:szCs w:val="8"/>
                <w:color w:val="auto"/>
              </w:rPr>
            </w:pPr>
          </w:p>
        </w:tc>
        <w:tc>
          <w:tcPr>
            <w:tcW w:w="920" w:type="dxa"/>
            <w:vAlign w:val="bottom"/>
            <w:tcBorders>
              <w:bottom w:val="single" w:sz="8" w:color="7F7F7F"/>
            </w:tcBorders>
          </w:tcPr>
          <w:p>
            <w:pPr>
              <w:spacing w:after="0"/>
              <w:rPr>
                <w:sz w:val="8"/>
                <w:szCs w:val="8"/>
                <w:color w:val="auto"/>
              </w:rPr>
            </w:pPr>
          </w:p>
        </w:tc>
        <w:tc>
          <w:tcPr>
            <w:tcW w:w="62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2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1000" w:type="dxa"/>
            <w:vAlign w:val="bottom"/>
            <w:tcBorders>
              <w:bottom w:val="single" w:sz="8" w:color="7F7F7F"/>
            </w:tcBorders>
          </w:tcPr>
          <w:p>
            <w:pPr>
              <w:spacing w:after="0"/>
              <w:rPr>
                <w:sz w:val="8"/>
                <w:szCs w:val="8"/>
                <w:color w:val="auto"/>
              </w:rPr>
            </w:pPr>
          </w:p>
        </w:tc>
        <w:tc>
          <w:tcPr>
            <w:tcW w:w="20" w:type="dxa"/>
            <w:vAlign w:val="bottom"/>
            <w:tcBorders>
              <w:bottom w:val="single" w:sz="8" w:color="F2F2F2"/>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6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2024</w:t>
            </w:r>
          </w:p>
        </w:tc>
        <w:tc>
          <w:tcPr>
            <w:tcW w:w="1500" w:type="dxa"/>
            <w:vAlign w:val="bottom"/>
          </w:tcPr>
          <w:p>
            <w:pPr>
              <w:jc w:val="right"/>
              <w:ind w:right="118"/>
              <w:spacing w:after="0"/>
              <w:rPr>
                <w:sz w:val="20"/>
                <w:szCs w:val="20"/>
                <w:color w:val="auto"/>
              </w:rPr>
            </w:pPr>
            <w:r>
              <w:rPr>
                <w:rFonts w:ascii="Arial" w:cs="Arial" w:eastAsia="Arial" w:hAnsi="Arial"/>
                <w:sz w:val="12"/>
                <w:szCs w:val="12"/>
                <w:color w:val="auto"/>
              </w:rPr>
              <w:t>$ 21,513,802</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(13,503,977)</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38"/>
              <w:spacing w:after="0"/>
              <w:rPr>
                <w:sz w:val="20"/>
                <w:szCs w:val="20"/>
                <w:color w:val="auto"/>
              </w:rPr>
            </w:pPr>
            <w:r>
              <w:rPr>
                <w:rFonts w:ascii="Arial" w:cs="Arial" w:eastAsia="Arial" w:hAnsi="Arial"/>
                <w:sz w:val="12"/>
                <w:szCs w:val="12"/>
                <w:color w:val="auto"/>
                <w:w w:val="99"/>
              </w:rPr>
              <w:t>20,577,001</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(1,576,450)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58"/>
              <w:spacing w:after="0"/>
              <w:rPr>
                <w:sz w:val="20"/>
                <w:szCs w:val="20"/>
                <w:color w:val="auto"/>
              </w:rPr>
            </w:pPr>
            <w:r>
              <w:rPr>
                <w:rFonts w:ascii="Arial" w:cs="Arial" w:eastAsia="Arial" w:hAnsi="Arial"/>
                <w:sz w:val="12"/>
                <w:szCs w:val="12"/>
                <w:color w:val="auto"/>
              </w:rPr>
              <w:t>1,116,750</w:t>
            </w:r>
          </w:p>
        </w:tc>
        <w:tc>
          <w:tcPr>
            <w:tcW w:w="1020" w:type="dxa"/>
            <w:vAlign w:val="bottom"/>
            <w:gridSpan w:val="2"/>
          </w:tcPr>
          <w:p>
            <w:pPr>
              <w:ind w:left="220"/>
              <w:spacing w:after="0"/>
              <w:rPr>
                <w:sz w:val="20"/>
                <w:szCs w:val="20"/>
                <w:color w:val="auto"/>
              </w:rPr>
            </w:pPr>
            <w:r>
              <w:rPr>
                <w:rFonts w:ascii="Arial" w:cs="Arial" w:eastAsia="Arial" w:hAnsi="Arial"/>
                <w:sz w:val="12"/>
                <w:szCs w:val="12"/>
                <w:color w:val="auto"/>
              </w:rPr>
              <w:t xml:space="preserve">$28,127,126   </w:t>
            </w:r>
          </w:p>
        </w:tc>
        <w:tc>
          <w:tcPr>
            <w:tcW w:w="0" w:type="dxa"/>
            <w:vAlign w:val="bottom"/>
          </w:tcPr>
          <w:p>
            <w:pPr>
              <w:spacing w:after="0"/>
              <w:rPr>
                <w:sz w:val="1"/>
                <w:szCs w:val="1"/>
                <w:color w:val="auto"/>
              </w:rPr>
            </w:pPr>
          </w:p>
        </w:tc>
      </w:tr>
      <w:tr>
        <w:trPr>
          <w:trHeight w:val="20"/>
        </w:trPr>
        <w:tc>
          <w:tcPr>
            <w:tcW w:w="1660" w:type="dxa"/>
            <w:vAlign w:val="bottom"/>
            <w:shd w:val="clear" w:color="auto" w:fill="7F7F7F"/>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560" w:type="dxa"/>
            <w:vAlign w:val="bottom"/>
            <w:shd w:val="clear" w:color="auto" w:fill="7F7F7F"/>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62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620" w:type="dxa"/>
            <w:vAlign w:val="bottom"/>
            <w:shd w:val="clear" w:color="auto" w:fill="7F7F7F"/>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780" w:type="dxa"/>
            <w:vAlign w:val="bottom"/>
            <w:shd w:val="clear" w:color="auto" w:fill="7F7F7F"/>
          </w:tcPr>
          <w:p>
            <w:pPr>
              <w:spacing w:after="0" w:line="20" w:lineRule="exact"/>
              <w:rPr>
                <w:sz w:val="1"/>
                <w:szCs w:val="1"/>
                <w:color w:val="auto"/>
              </w:rPr>
            </w:pPr>
          </w:p>
        </w:tc>
        <w:tc>
          <w:tcPr>
            <w:tcW w:w="1000" w:type="dxa"/>
            <w:vAlign w:val="bottom"/>
            <w:shd w:val="clear" w:color="auto" w:fill="7F7F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60" w:type="dxa"/>
            <w:vAlign w:val="bottom"/>
          </w:tcPr>
          <w:p>
            <w:pPr>
              <w:ind w:left="60"/>
              <w:spacing w:after="0"/>
              <w:rPr>
                <w:sz w:val="20"/>
                <w:szCs w:val="20"/>
                <w:color w:val="auto"/>
              </w:rPr>
            </w:pPr>
            <w:r>
              <w:rPr>
                <w:rFonts w:ascii="Arial" w:cs="Arial" w:eastAsia="Arial" w:hAnsi="Arial"/>
                <w:sz w:val="12"/>
                <w:szCs w:val="12"/>
                <w:color w:val="auto"/>
              </w:rPr>
              <w:t>2023</w:t>
            </w:r>
          </w:p>
        </w:tc>
        <w:tc>
          <w:tcPr>
            <w:tcW w:w="1500" w:type="dxa"/>
            <w:vAlign w:val="bottom"/>
          </w:tcPr>
          <w:p>
            <w:pPr>
              <w:jc w:val="right"/>
              <w:ind w:right="118"/>
              <w:spacing w:after="0"/>
              <w:rPr>
                <w:sz w:val="20"/>
                <w:szCs w:val="20"/>
                <w:color w:val="auto"/>
              </w:rPr>
            </w:pPr>
            <w:r>
              <w:rPr>
                <w:rFonts w:ascii="Arial" w:cs="Arial" w:eastAsia="Arial" w:hAnsi="Arial"/>
                <w:sz w:val="12"/>
                <w:szCs w:val="12"/>
                <w:color w:val="auto"/>
              </w:rPr>
              <w:t>$ 27,421,881</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(12,086,069)</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38"/>
              <w:spacing w:after="0"/>
              <w:rPr>
                <w:sz w:val="20"/>
                <w:szCs w:val="20"/>
                <w:color w:val="auto"/>
              </w:rPr>
            </w:pPr>
            <w:r>
              <w:rPr>
                <w:rFonts w:ascii="Arial" w:cs="Arial" w:eastAsia="Arial" w:hAnsi="Arial"/>
                <w:sz w:val="12"/>
                <w:szCs w:val="12"/>
                <w:color w:val="auto"/>
              </w:rPr>
              <w:t>3,263,893</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(8,259,934)</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58"/>
              <w:spacing w:after="0"/>
              <w:rPr>
                <w:sz w:val="20"/>
                <w:szCs w:val="20"/>
                <w:color w:val="auto"/>
              </w:rPr>
            </w:pPr>
            <w:r>
              <w:rPr>
                <w:rFonts w:ascii="Arial" w:cs="Arial" w:eastAsia="Arial" w:hAnsi="Arial"/>
                <w:sz w:val="12"/>
                <w:szCs w:val="12"/>
                <w:color w:val="auto"/>
              </w:rPr>
              <w:t>1,178,067</w:t>
            </w:r>
          </w:p>
        </w:tc>
        <w:tc>
          <w:tcPr>
            <w:tcW w:w="1020" w:type="dxa"/>
            <w:vAlign w:val="bottom"/>
            <w:gridSpan w:val="2"/>
          </w:tcPr>
          <w:p>
            <w:pPr>
              <w:ind w:left="220"/>
              <w:spacing w:after="0"/>
              <w:rPr>
                <w:sz w:val="20"/>
                <w:szCs w:val="20"/>
                <w:color w:val="auto"/>
              </w:rPr>
            </w:pPr>
            <w:r>
              <w:rPr>
                <w:rFonts w:ascii="Arial" w:cs="Arial" w:eastAsia="Arial" w:hAnsi="Arial"/>
                <w:sz w:val="12"/>
                <w:szCs w:val="12"/>
                <w:color w:val="auto"/>
              </w:rPr>
              <w:t xml:space="preserve">$ 11,517,838   </w:t>
            </w:r>
          </w:p>
        </w:tc>
        <w:tc>
          <w:tcPr>
            <w:tcW w:w="0" w:type="dxa"/>
            <w:vAlign w:val="bottom"/>
          </w:tcPr>
          <w:p>
            <w:pPr>
              <w:spacing w:after="0"/>
              <w:rPr>
                <w:sz w:val="1"/>
                <w:szCs w:val="1"/>
                <w:color w:val="auto"/>
              </w:rPr>
            </w:pPr>
          </w:p>
        </w:tc>
      </w:tr>
      <w:tr>
        <w:trPr>
          <w:trHeight w:val="100"/>
        </w:trPr>
        <w:tc>
          <w:tcPr>
            <w:tcW w:w="1660" w:type="dxa"/>
            <w:vAlign w:val="bottom"/>
            <w:tcBorders>
              <w:bottom w:val="single" w:sz="8" w:color="7F7F7F"/>
            </w:tcBorders>
          </w:tcPr>
          <w:p>
            <w:pPr>
              <w:spacing w:after="0"/>
              <w:rPr>
                <w:sz w:val="8"/>
                <w:szCs w:val="8"/>
                <w:color w:val="auto"/>
              </w:rPr>
            </w:pPr>
          </w:p>
        </w:tc>
        <w:tc>
          <w:tcPr>
            <w:tcW w:w="1500" w:type="dxa"/>
            <w:vAlign w:val="bottom"/>
            <w:tcBorders>
              <w:bottom w:val="single" w:sz="8" w:color="7F7F7F"/>
            </w:tcBorders>
          </w:tcPr>
          <w:p>
            <w:pPr>
              <w:spacing w:after="0"/>
              <w:rPr>
                <w:sz w:val="8"/>
                <w:szCs w:val="8"/>
                <w:color w:val="auto"/>
              </w:rPr>
            </w:pPr>
          </w:p>
        </w:tc>
        <w:tc>
          <w:tcPr>
            <w:tcW w:w="560" w:type="dxa"/>
            <w:vAlign w:val="bottom"/>
            <w:tcBorders>
              <w:bottom w:val="single" w:sz="8" w:color="7F7F7F"/>
            </w:tcBorders>
          </w:tcPr>
          <w:p>
            <w:pPr>
              <w:spacing w:after="0"/>
              <w:rPr>
                <w:sz w:val="8"/>
                <w:szCs w:val="8"/>
                <w:color w:val="auto"/>
              </w:rPr>
            </w:pPr>
          </w:p>
        </w:tc>
        <w:tc>
          <w:tcPr>
            <w:tcW w:w="920" w:type="dxa"/>
            <w:vAlign w:val="bottom"/>
            <w:tcBorders>
              <w:bottom w:val="single" w:sz="8" w:color="7F7F7F"/>
            </w:tcBorders>
          </w:tcPr>
          <w:p>
            <w:pPr>
              <w:spacing w:after="0"/>
              <w:rPr>
                <w:sz w:val="8"/>
                <w:szCs w:val="8"/>
                <w:color w:val="auto"/>
              </w:rPr>
            </w:pPr>
          </w:p>
        </w:tc>
        <w:tc>
          <w:tcPr>
            <w:tcW w:w="620" w:type="dxa"/>
            <w:vAlign w:val="bottom"/>
            <w:tcBorders>
              <w:bottom w:val="single" w:sz="8" w:color="7F7F7F"/>
            </w:tcBorders>
          </w:tcPr>
          <w:p>
            <w:pPr>
              <w:spacing w:after="0"/>
              <w:rPr>
                <w:sz w:val="8"/>
                <w:szCs w:val="8"/>
                <w:color w:val="auto"/>
              </w:rPr>
            </w:pPr>
          </w:p>
        </w:tc>
        <w:tc>
          <w:tcPr>
            <w:tcW w:w="820" w:type="dxa"/>
            <w:vAlign w:val="bottom"/>
            <w:tcBorders>
              <w:bottom w:val="single" w:sz="8" w:color="7F7F7F"/>
            </w:tcBorders>
          </w:tcPr>
          <w:p>
            <w:pPr>
              <w:spacing w:after="0"/>
              <w:rPr>
                <w:sz w:val="8"/>
                <w:szCs w:val="8"/>
                <w:color w:val="auto"/>
              </w:rPr>
            </w:pPr>
          </w:p>
        </w:tc>
        <w:tc>
          <w:tcPr>
            <w:tcW w:w="620" w:type="dxa"/>
            <w:vAlign w:val="bottom"/>
            <w:tcBorders>
              <w:bottom w:val="single" w:sz="8" w:color="7F7F7F"/>
            </w:tcBorders>
          </w:tcPr>
          <w:p>
            <w:pPr>
              <w:spacing w:after="0"/>
              <w:rPr>
                <w:sz w:val="8"/>
                <w:szCs w:val="8"/>
                <w:color w:val="auto"/>
              </w:rPr>
            </w:pPr>
          </w:p>
        </w:tc>
        <w:tc>
          <w:tcPr>
            <w:tcW w:w="860" w:type="dxa"/>
            <w:vAlign w:val="bottom"/>
            <w:tcBorders>
              <w:bottom w:val="single" w:sz="8" w:color="7F7F7F"/>
            </w:tcBorders>
          </w:tcPr>
          <w:p>
            <w:pPr>
              <w:spacing w:after="0"/>
              <w:rPr>
                <w:sz w:val="8"/>
                <w:szCs w:val="8"/>
                <w:color w:val="auto"/>
              </w:rPr>
            </w:pPr>
          </w:p>
        </w:tc>
        <w:tc>
          <w:tcPr>
            <w:tcW w:w="680" w:type="dxa"/>
            <w:vAlign w:val="bottom"/>
            <w:tcBorders>
              <w:bottom w:val="single" w:sz="8" w:color="7F7F7F"/>
            </w:tcBorders>
          </w:tcPr>
          <w:p>
            <w:pPr>
              <w:spacing w:after="0"/>
              <w:rPr>
                <w:sz w:val="8"/>
                <w:szCs w:val="8"/>
                <w:color w:val="auto"/>
              </w:rPr>
            </w:pPr>
          </w:p>
        </w:tc>
        <w:tc>
          <w:tcPr>
            <w:tcW w:w="780" w:type="dxa"/>
            <w:vAlign w:val="bottom"/>
            <w:tcBorders>
              <w:bottom w:val="single" w:sz="8" w:color="7F7F7F"/>
            </w:tcBorders>
          </w:tcPr>
          <w:p>
            <w:pPr>
              <w:spacing w:after="0"/>
              <w:rPr>
                <w:sz w:val="8"/>
                <w:szCs w:val="8"/>
                <w:color w:val="auto"/>
              </w:rPr>
            </w:pPr>
          </w:p>
        </w:tc>
        <w:tc>
          <w:tcPr>
            <w:tcW w:w="1000" w:type="dxa"/>
            <w:vAlign w:val="bottom"/>
            <w:tcBorders>
              <w:bottom w:val="single" w:sz="8" w:color="7F7F7F"/>
            </w:tcBorders>
          </w:tcPr>
          <w:p>
            <w:pPr>
              <w:spacing w:after="0"/>
              <w:rPr>
                <w:sz w:val="8"/>
                <w:szCs w:val="8"/>
                <w:color w:val="auto"/>
              </w:rPr>
            </w:pPr>
          </w:p>
        </w:tc>
        <w:tc>
          <w:tcPr>
            <w:tcW w:w="20" w:type="dxa"/>
            <w:vAlign w:val="bottom"/>
            <w:tcBorders>
              <w:bottom w:val="single" w:sz="8" w:color="F2F2F2"/>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166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2022</w:t>
            </w:r>
          </w:p>
        </w:tc>
        <w:tc>
          <w:tcPr>
            <w:tcW w:w="1500" w:type="dxa"/>
            <w:vAlign w:val="bottom"/>
          </w:tcPr>
          <w:p>
            <w:pPr>
              <w:jc w:val="right"/>
              <w:ind w:right="118"/>
              <w:spacing w:after="0"/>
              <w:rPr>
                <w:sz w:val="20"/>
                <w:szCs w:val="20"/>
                <w:color w:val="auto"/>
              </w:rPr>
            </w:pPr>
            <w:r>
              <w:rPr>
                <w:rFonts w:ascii="Arial" w:cs="Arial" w:eastAsia="Arial" w:hAnsi="Arial"/>
                <w:sz w:val="12"/>
                <w:szCs w:val="12"/>
                <w:color w:val="auto"/>
              </w:rPr>
              <w:t>$ 18,608,094</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(10,185,024)</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38"/>
              <w:spacing w:after="0"/>
              <w:rPr>
                <w:sz w:val="20"/>
                <w:szCs w:val="20"/>
                <w:color w:val="auto"/>
              </w:rPr>
            </w:pPr>
            <w:r>
              <w:rPr>
                <w:rFonts w:ascii="Arial" w:cs="Arial" w:eastAsia="Arial" w:hAnsi="Arial"/>
                <w:sz w:val="12"/>
                <w:szCs w:val="12"/>
                <w:color w:val="auto"/>
                <w:w w:val="99"/>
              </w:rPr>
              <w:t>26,303,071</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(1,882,015)</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58"/>
              <w:spacing w:after="0"/>
              <w:rPr>
                <w:sz w:val="20"/>
                <w:szCs w:val="20"/>
                <w:color w:val="auto"/>
              </w:rPr>
            </w:pPr>
            <w:r>
              <w:rPr>
                <w:rFonts w:ascii="Arial" w:cs="Arial" w:eastAsia="Arial" w:hAnsi="Arial"/>
                <w:sz w:val="12"/>
                <w:szCs w:val="12"/>
                <w:color w:val="auto"/>
              </w:rPr>
              <w:t>1,332,374</w:t>
            </w:r>
          </w:p>
        </w:tc>
        <w:tc>
          <w:tcPr>
            <w:tcW w:w="1020" w:type="dxa"/>
            <w:vAlign w:val="bottom"/>
            <w:gridSpan w:val="2"/>
          </w:tcPr>
          <w:p>
            <w:pPr>
              <w:ind w:left="220"/>
              <w:spacing w:after="0"/>
              <w:rPr>
                <w:sz w:val="20"/>
                <w:szCs w:val="20"/>
                <w:color w:val="auto"/>
              </w:rPr>
            </w:pPr>
            <w:r>
              <w:rPr>
                <w:rFonts w:ascii="Arial" w:cs="Arial" w:eastAsia="Arial" w:hAnsi="Arial"/>
                <w:sz w:val="12"/>
                <w:szCs w:val="12"/>
                <w:color w:val="auto"/>
              </w:rPr>
              <w:t xml:space="preserve">$34,176,500   </w:t>
            </w:r>
          </w:p>
        </w:tc>
        <w:tc>
          <w:tcPr>
            <w:tcW w:w="0" w:type="dxa"/>
            <w:vAlign w:val="bottom"/>
          </w:tcPr>
          <w:p>
            <w:pPr>
              <w:spacing w:after="0"/>
              <w:rPr>
                <w:sz w:val="1"/>
                <w:szCs w:val="1"/>
                <w:color w:val="auto"/>
              </w:rPr>
            </w:pPr>
          </w:p>
        </w:tc>
      </w:tr>
      <w:tr>
        <w:trPr>
          <w:trHeight w:val="20"/>
        </w:trPr>
        <w:tc>
          <w:tcPr>
            <w:tcW w:w="1660" w:type="dxa"/>
            <w:vAlign w:val="bottom"/>
            <w:shd w:val="clear" w:color="auto" w:fill="7F7F7F"/>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560" w:type="dxa"/>
            <w:vAlign w:val="bottom"/>
            <w:shd w:val="clear" w:color="auto" w:fill="7F7F7F"/>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620" w:type="dxa"/>
            <w:vAlign w:val="bottom"/>
            <w:shd w:val="clear" w:color="auto" w:fill="7F7F7F"/>
          </w:tcPr>
          <w:p>
            <w:pPr>
              <w:spacing w:after="0" w:line="20" w:lineRule="exact"/>
              <w:rPr>
                <w:sz w:val="1"/>
                <w:szCs w:val="1"/>
                <w:color w:val="auto"/>
              </w:rPr>
            </w:pPr>
          </w:p>
        </w:tc>
        <w:tc>
          <w:tcPr>
            <w:tcW w:w="820" w:type="dxa"/>
            <w:vAlign w:val="bottom"/>
            <w:shd w:val="clear" w:color="auto" w:fill="7F7F7F"/>
          </w:tcPr>
          <w:p>
            <w:pPr>
              <w:spacing w:after="0" w:line="20" w:lineRule="exact"/>
              <w:rPr>
                <w:sz w:val="1"/>
                <w:szCs w:val="1"/>
                <w:color w:val="auto"/>
              </w:rPr>
            </w:pPr>
          </w:p>
        </w:tc>
        <w:tc>
          <w:tcPr>
            <w:tcW w:w="620" w:type="dxa"/>
            <w:vAlign w:val="bottom"/>
            <w:shd w:val="clear" w:color="auto" w:fill="7F7F7F"/>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780" w:type="dxa"/>
            <w:vAlign w:val="bottom"/>
            <w:shd w:val="clear" w:color="auto" w:fill="7F7F7F"/>
          </w:tcPr>
          <w:p>
            <w:pPr>
              <w:spacing w:after="0" w:line="20" w:lineRule="exact"/>
              <w:rPr>
                <w:sz w:val="1"/>
                <w:szCs w:val="1"/>
                <w:color w:val="auto"/>
              </w:rPr>
            </w:pPr>
          </w:p>
        </w:tc>
        <w:tc>
          <w:tcPr>
            <w:tcW w:w="1000" w:type="dxa"/>
            <w:vAlign w:val="bottom"/>
            <w:shd w:val="clear" w:color="auto" w:fill="7F7F7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660" w:type="dxa"/>
            <w:vAlign w:val="bottom"/>
          </w:tcPr>
          <w:p>
            <w:pPr>
              <w:ind w:left="60"/>
              <w:spacing w:after="0"/>
              <w:rPr>
                <w:sz w:val="20"/>
                <w:szCs w:val="20"/>
                <w:color w:val="auto"/>
              </w:rPr>
            </w:pPr>
            <w:r>
              <w:rPr>
                <w:rFonts w:ascii="Arial" w:cs="Arial" w:eastAsia="Arial" w:hAnsi="Arial"/>
                <w:sz w:val="12"/>
                <w:szCs w:val="12"/>
                <w:color w:val="auto"/>
              </w:rPr>
              <w:t>2021</w:t>
            </w:r>
          </w:p>
        </w:tc>
        <w:tc>
          <w:tcPr>
            <w:tcW w:w="1500" w:type="dxa"/>
            <w:vAlign w:val="bottom"/>
          </w:tcPr>
          <w:p>
            <w:pPr>
              <w:jc w:val="right"/>
              <w:ind w:right="118"/>
              <w:spacing w:after="0"/>
              <w:rPr>
                <w:sz w:val="20"/>
                <w:szCs w:val="20"/>
                <w:color w:val="auto"/>
              </w:rPr>
            </w:pPr>
            <w:r>
              <w:rPr>
                <w:rFonts w:ascii="Arial" w:cs="Arial" w:eastAsia="Arial" w:hAnsi="Arial"/>
                <w:sz w:val="12"/>
                <w:szCs w:val="12"/>
                <w:color w:val="auto"/>
              </w:rPr>
              <w:t>$ 24,675,982</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(8,916,873)</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38"/>
              <w:spacing w:after="0"/>
              <w:rPr>
                <w:sz w:val="20"/>
                <w:szCs w:val="20"/>
                <w:color w:val="auto"/>
              </w:rPr>
            </w:pPr>
            <w:r>
              <w:rPr>
                <w:rFonts w:ascii="Arial" w:cs="Arial" w:eastAsia="Arial" w:hAnsi="Arial"/>
                <w:sz w:val="12"/>
                <w:szCs w:val="12"/>
                <w:color w:val="auto"/>
              </w:rPr>
              <w:t>4,149,864</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(9,910,201)</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58"/>
              <w:spacing w:after="0"/>
              <w:rPr>
                <w:sz w:val="20"/>
                <w:szCs w:val="20"/>
                <w:color w:val="auto"/>
              </w:rPr>
            </w:pPr>
            <w:r>
              <w:rPr>
                <w:rFonts w:ascii="Arial" w:cs="Arial" w:eastAsia="Arial" w:hAnsi="Arial"/>
                <w:sz w:val="12"/>
                <w:szCs w:val="12"/>
                <w:color w:val="auto"/>
              </w:rPr>
              <w:t>1,772,210</w:t>
            </w:r>
          </w:p>
        </w:tc>
        <w:tc>
          <w:tcPr>
            <w:tcW w:w="1020" w:type="dxa"/>
            <w:vAlign w:val="bottom"/>
            <w:gridSpan w:val="2"/>
          </w:tcPr>
          <w:p>
            <w:pPr>
              <w:ind w:left="220"/>
              <w:spacing w:after="0"/>
              <w:rPr>
                <w:sz w:val="20"/>
                <w:szCs w:val="20"/>
                <w:color w:val="auto"/>
              </w:rPr>
            </w:pPr>
            <w:r>
              <w:rPr>
                <w:rFonts w:ascii="Arial" w:cs="Arial" w:eastAsia="Arial" w:hAnsi="Arial"/>
                <w:sz w:val="12"/>
                <w:szCs w:val="12"/>
                <w:color w:val="auto"/>
              </w:rPr>
              <w:t xml:space="preserve">$ 11,770,982   </w:t>
            </w:r>
          </w:p>
        </w:tc>
        <w:tc>
          <w:tcPr>
            <w:tcW w:w="0" w:type="dxa"/>
            <w:vAlign w:val="bottom"/>
          </w:tcPr>
          <w:p>
            <w:pPr>
              <w:spacing w:after="0"/>
              <w:rPr>
                <w:sz w:val="1"/>
                <w:szCs w:val="1"/>
                <w:color w:val="auto"/>
              </w:rPr>
            </w:pPr>
          </w:p>
        </w:tc>
      </w:tr>
      <w:tr>
        <w:trPr>
          <w:trHeight w:val="54"/>
        </w:trPr>
        <w:tc>
          <w:tcPr>
            <w:tcW w:w="1660" w:type="dxa"/>
            <w:vAlign w:val="bottom"/>
            <w:tcBorders>
              <w:bottom w:val="single" w:sz="8" w:color="7F7F7F"/>
            </w:tcBorders>
          </w:tcPr>
          <w:p>
            <w:pPr>
              <w:spacing w:after="0"/>
              <w:rPr>
                <w:sz w:val="4"/>
                <w:szCs w:val="4"/>
                <w:color w:val="auto"/>
              </w:rPr>
            </w:pPr>
          </w:p>
        </w:tc>
        <w:tc>
          <w:tcPr>
            <w:tcW w:w="1500" w:type="dxa"/>
            <w:vAlign w:val="bottom"/>
            <w:tcBorders>
              <w:bottom w:val="single" w:sz="8" w:color="7F7F7F"/>
            </w:tcBorders>
          </w:tcPr>
          <w:p>
            <w:pPr>
              <w:spacing w:after="0"/>
              <w:rPr>
                <w:sz w:val="4"/>
                <w:szCs w:val="4"/>
                <w:color w:val="auto"/>
              </w:rPr>
            </w:pPr>
          </w:p>
        </w:tc>
        <w:tc>
          <w:tcPr>
            <w:tcW w:w="560" w:type="dxa"/>
            <w:vAlign w:val="bottom"/>
            <w:tcBorders>
              <w:bottom w:val="single" w:sz="8" w:color="7F7F7F"/>
            </w:tcBorders>
          </w:tcPr>
          <w:p>
            <w:pPr>
              <w:spacing w:after="0"/>
              <w:rPr>
                <w:sz w:val="4"/>
                <w:szCs w:val="4"/>
                <w:color w:val="auto"/>
              </w:rPr>
            </w:pPr>
          </w:p>
        </w:tc>
        <w:tc>
          <w:tcPr>
            <w:tcW w:w="9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780" w:type="dxa"/>
            <w:vAlign w:val="bottom"/>
            <w:tcBorders>
              <w:bottom w:val="single" w:sz="8" w:color="7F7F7F"/>
            </w:tcBorders>
          </w:tcPr>
          <w:p>
            <w:pPr>
              <w:spacing w:after="0"/>
              <w:rPr>
                <w:sz w:val="4"/>
                <w:szCs w:val="4"/>
                <w:color w:val="auto"/>
              </w:rPr>
            </w:pPr>
          </w:p>
        </w:tc>
        <w:tc>
          <w:tcPr>
            <w:tcW w:w="1000" w:type="dxa"/>
            <w:vAlign w:val="bottom"/>
            <w:tcBorders>
              <w:bottom w:val="single" w:sz="8" w:color="7F7F7F"/>
            </w:tcBorders>
          </w:tcPr>
          <w:p>
            <w:pPr>
              <w:spacing w:after="0"/>
              <w:rPr>
                <w:sz w:val="4"/>
                <w:szCs w:val="4"/>
                <w:color w:val="auto"/>
              </w:rPr>
            </w:pPr>
          </w:p>
        </w:tc>
        <w:tc>
          <w:tcPr>
            <w:tcW w:w="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1728470</wp:posOffset>
            </wp:positionH>
            <wp:positionV relativeFrom="paragraph">
              <wp:posOffset>-644525</wp:posOffset>
            </wp:positionV>
            <wp:extent cx="5307965" cy="1276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307965" cy="127635"/>
                    </a:xfrm>
                    <a:prstGeom prst="rect">
                      <a:avLst/>
                    </a:prstGeom>
                    <a:noFill/>
                  </pic:spPr>
                </pic:pic>
              </a:graphicData>
            </a:graphic>
          </wp:anchor>
        </w:drawing>
        <w:drawing>
          <wp:anchor simplePos="0" relativeHeight="251657728" behindDoc="1" locked="0" layoutInCell="0" allowOverlap="1">
            <wp:simplePos x="0" y="0"/>
            <wp:positionH relativeFrom="column">
              <wp:posOffset>1728470</wp:posOffset>
            </wp:positionH>
            <wp:positionV relativeFrom="paragraph">
              <wp:posOffset>-304800</wp:posOffset>
            </wp:positionV>
            <wp:extent cx="5307965" cy="1276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307965" cy="127635"/>
                    </a:xfrm>
                    <a:prstGeom prst="rect">
                      <a:avLst/>
                    </a:prstGeom>
                    <a:noFill/>
                  </pic:spPr>
                </pic:pic>
              </a:graphicData>
            </a:graphic>
          </wp:anchor>
        </w:drawing>
      </w:r>
    </w:p>
    <w:p>
      <w:pPr>
        <w:spacing w:after="0" w:line="78"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Average Non-PEO NEOs: SCT Total Compensation to CAP Reconciliation</w:t>
      </w:r>
    </w:p>
    <w:p>
      <w:pPr>
        <w:spacing w:after="0" w:line="129" w:lineRule="exact"/>
        <w:rPr>
          <w:sz w:val="20"/>
          <w:szCs w:val="20"/>
          <w:color w:val="auto"/>
        </w:rPr>
      </w:pPr>
    </w:p>
    <w:tbl>
      <w:tblPr>
        <w:tblLayout w:type="fixed"/>
        <w:tblInd w:w="1060" w:type="dxa"/>
        <w:tblCellMar>
          <w:top w:w="0" w:type="dxa"/>
          <w:left w:w="0" w:type="dxa"/>
          <w:bottom w:w="0" w:type="dxa"/>
          <w:right w:w="0" w:type="dxa"/>
        </w:tblCellMar>
      </w:tblPr>
      <w:tr>
        <w:trPr>
          <w:trHeight w:val="183"/>
        </w:trPr>
        <w:tc>
          <w:tcPr>
            <w:tcW w:w="1100" w:type="dxa"/>
            <w:vAlign w:val="bottom"/>
            <w:shd w:val="clear" w:color="auto" w:fill="005CB9"/>
          </w:tcPr>
          <w:p>
            <w:pPr>
              <w:spacing w:after="0"/>
              <w:rPr>
                <w:sz w:val="15"/>
                <w:szCs w:val="15"/>
                <w:color w:val="auto"/>
              </w:rPr>
            </w:pPr>
          </w:p>
        </w:tc>
        <w:tc>
          <w:tcPr>
            <w:tcW w:w="1480" w:type="dxa"/>
            <w:vAlign w:val="bottom"/>
            <w:vMerge w:val="restart"/>
            <w:shd w:val="clear" w:color="auto" w:fill="005CB9"/>
          </w:tcPr>
          <w:p>
            <w:pPr>
              <w:jc w:val="right"/>
              <w:ind w:right="218"/>
              <w:spacing w:after="0"/>
              <w:rPr>
                <w:sz w:val="20"/>
                <w:szCs w:val="20"/>
                <w:color w:val="auto"/>
              </w:rPr>
            </w:pPr>
            <w:r>
              <w:rPr>
                <w:rFonts w:ascii="Arial" w:cs="Arial" w:eastAsia="Arial" w:hAnsi="Arial"/>
                <w:sz w:val="12"/>
                <w:szCs w:val="12"/>
                <w:b w:val="1"/>
                <w:bCs w:val="1"/>
                <w:color w:val="FFFFFF"/>
              </w:rPr>
              <w:t>Average Total</w:t>
            </w:r>
          </w:p>
        </w:tc>
        <w:tc>
          <w:tcPr>
            <w:tcW w:w="1440" w:type="dxa"/>
            <w:vAlign w:val="bottom"/>
            <w:vMerge w:val="restart"/>
            <w:shd w:val="clear" w:color="auto" w:fill="005CB9"/>
          </w:tcPr>
          <w:p>
            <w:pPr>
              <w:jc w:val="right"/>
              <w:ind w:right="198"/>
              <w:spacing w:after="0"/>
              <w:rPr>
                <w:sz w:val="20"/>
                <w:szCs w:val="20"/>
                <w:color w:val="auto"/>
              </w:rPr>
            </w:pPr>
            <w:r>
              <w:rPr>
                <w:rFonts w:ascii="Arial" w:cs="Arial" w:eastAsia="Arial" w:hAnsi="Arial"/>
                <w:sz w:val="12"/>
                <w:szCs w:val="12"/>
                <w:b w:val="1"/>
                <w:bCs w:val="1"/>
                <w:color w:val="FFFFFF"/>
              </w:rPr>
              <w:t>Average Equity</w:t>
            </w:r>
          </w:p>
        </w:tc>
        <w:tc>
          <w:tcPr>
            <w:tcW w:w="1420" w:type="dxa"/>
            <w:vAlign w:val="bottom"/>
            <w:gridSpan w:val="2"/>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Average Adjusted</w:t>
            </w:r>
          </w:p>
        </w:tc>
        <w:tc>
          <w:tcPr>
            <w:tcW w:w="1460" w:type="dxa"/>
            <w:vAlign w:val="bottom"/>
            <w:gridSpan w:val="2"/>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Average Change</w:t>
            </w:r>
          </w:p>
        </w:tc>
        <w:tc>
          <w:tcPr>
            <w:tcW w:w="1600" w:type="dxa"/>
            <w:vAlign w:val="bottom"/>
            <w:gridSpan w:val="2"/>
            <w:shd w:val="clear" w:color="auto" w:fill="005CB9"/>
          </w:tcPr>
          <w:p>
            <w:pPr>
              <w:jc w:val="center"/>
              <w:ind w:right="98"/>
              <w:spacing w:after="0"/>
              <w:rPr>
                <w:sz w:val="20"/>
                <w:szCs w:val="20"/>
                <w:color w:val="auto"/>
              </w:rPr>
            </w:pPr>
            <w:r>
              <w:rPr>
                <w:rFonts w:ascii="Arial" w:cs="Arial" w:eastAsia="Arial" w:hAnsi="Arial"/>
                <w:sz w:val="12"/>
                <w:szCs w:val="12"/>
                <w:b w:val="1"/>
                <w:bCs w:val="1"/>
                <w:color w:val="FFFFFF"/>
              </w:rPr>
              <w:t>Average Adjusted</w:t>
            </w:r>
          </w:p>
        </w:tc>
        <w:tc>
          <w:tcPr>
            <w:tcW w:w="1520" w:type="dxa"/>
            <w:vAlign w:val="bottom"/>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00" w:type="dxa"/>
            <w:vAlign w:val="bottom"/>
            <w:shd w:val="clear" w:color="auto" w:fill="005CB9"/>
          </w:tcPr>
          <w:p>
            <w:pPr>
              <w:spacing w:after="0"/>
              <w:rPr>
                <w:sz w:val="11"/>
                <w:szCs w:val="11"/>
                <w:color w:val="auto"/>
              </w:rPr>
            </w:pPr>
          </w:p>
        </w:tc>
        <w:tc>
          <w:tcPr>
            <w:tcW w:w="1480" w:type="dxa"/>
            <w:vAlign w:val="bottom"/>
            <w:vMerge w:val="continue"/>
            <w:shd w:val="clear" w:color="auto" w:fill="005CB9"/>
          </w:tcPr>
          <w:p>
            <w:pPr>
              <w:spacing w:after="0"/>
              <w:rPr>
                <w:sz w:val="11"/>
                <w:szCs w:val="11"/>
                <w:color w:val="auto"/>
              </w:rPr>
            </w:pPr>
          </w:p>
        </w:tc>
        <w:tc>
          <w:tcPr>
            <w:tcW w:w="1440" w:type="dxa"/>
            <w:vAlign w:val="bottom"/>
            <w:vMerge w:val="continue"/>
            <w:shd w:val="clear" w:color="auto" w:fill="005CB9"/>
          </w:tcPr>
          <w:p>
            <w:pPr>
              <w:spacing w:after="0"/>
              <w:rPr>
                <w:sz w:val="11"/>
                <w:szCs w:val="11"/>
                <w:color w:val="auto"/>
              </w:rPr>
            </w:pPr>
          </w:p>
        </w:tc>
        <w:tc>
          <w:tcPr>
            <w:tcW w:w="1420" w:type="dxa"/>
            <w:vAlign w:val="bottom"/>
            <w:gridSpan w:val="2"/>
            <w:vMerge w:val="continue"/>
            <w:shd w:val="clear" w:color="auto" w:fill="005CB9"/>
          </w:tcPr>
          <w:p>
            <w:pPr>
              <w:spacing w:after="0"/>
              <w:rPr>
                <w:sz w:val="11"/>
                <w:szCs w:val="11"/>
                <w:color w:val="auto"/>
              </w:rPr>
            </w:pPr>
          </w:p>
        </w:tc>
        <w:tc>
          <w:tcPr>
            <w:tcW w:w="1460" w:type="dxa"/>
            <w:vAlign w:val="bottom"/>
            <w:gridSpan w:val="2"/>
            <w:vMerge w:val="continue"/>
            <w:shd w:val="clear" w:color="auto" w:fill="005CB9"/>
          </w:tcPr>
          <w:p>
            <w:pPr>
              <w:spacing w:after="0"/>
              <w:rPr>
                <w:sz w:val="11"/>
                <w:szCs w:val="11"/>
                <w:color w:val="auto"/>
              </w:rPr>
            </w:pPr>
          </w:p>
        </w:tc>
        <w:tc>
          <w:tcPr>
            <w:tcW w:w="1600" w:type="dxa"/>
            <w:vAlign w:val="bottom"/>
            <w:gridSpan w:val="2"/>
            <w:shd w:val="clear" w:color="auto" w:fill="005CB9"/>
          </w:tcPr>
          <w:p>
            <w:pPr>
              <w:jc w:val="center"/>
              <w:ind w:right="98"/>
              <w:spacing w:after="0" w:line="134" w:lineRule="exact"/>
              <w:rPr>
                <w:sz w:val="20"/>
                <w:szCs w:val="20"/>
                <w:color w:val="auto"/>
              </w:rPr>
            </w:pPr>
            <w:r>
              <w:rPr>
                <w:rFonts w:ascii="Arial" w:cs="Arial" w:eastAsia="Arial" w:hAnsi="Arial"/>
                <w:sz w:val="12"/>
                <w:szCs w:val="12"/>
                <w:b w:val="1"/>
                <w:bCs w:val="1"/>
                <w:color w:val="FFFFFF"/>
              </w:rPr>
              <w:t>Change in</w:t>
            </w:r>
          </w:p>
        </w:tc>
        <w:tc>
          <w:tcPr>
            <w:tcW w:w="1520" w:type="dxa"/>
            <w:vAlign w:val="bottom"/>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shd w:val="clear" w:color="auto" w:fill="005CB9"/>
          </w:tcPr>
          <w:p>
            <w:pPr>
              <w:ind w:left="60"/>
              <w:spacing w:after="0"/>
              <w:rPr>
                <w:sz w:val="20"/>
                <w:szCs w:val="20"/>
                <w:color w:val="auto"/>
              </w:rPr>
            </w:pPr>
            <w:r>
              <w:rPr>
                <w:rFonts w:ascii="Arial" w:cs="Arial" w:eastAsia="Arial" w:hAnsi="Arial"/>
                <w:sz w:val="12"/>
                <w:szCs w:val="12"/>
                <w:b w:val="1"/>
                <w:bCs w:val="1"/>
                <w:color w:val="FFFFFF"/>
              </w:rPr>
              <w:t>Year</w:t>
            </w:r>
          </w:p>
        </w:tc>
        <w:tc>
          <w:tcPr>
            <w:tcW w:w="1480" w:type="dxa"/>
            <w:vAlign w:val="bottom"/>
            <w:shd w:val="clear" w:color="auto" w:fill="005CB9"/>
          </w:tcPr>
          <w:p>
            <w:pPr>
              <w:jc w:val="right"/>
              <w:ind w:right="178"/>
              <w:spacing w:after="0" w:line="134" w:lineRule="exact"/>
              <w:rPr>
                <w:sz w:val="20"/>
                <w:szCs w:val="20"/>
                <w:color w:val="auto"/>
              </w:rPr>
            </w:pPr>
            <w:r>
              <w:rPr>
                <w:rFonts w:ascii="Arial" w:cs="Arial" w:eastAsia="Arial" w:hAnsi="Arial"/>
                <w:sz w:val="12"/>
                <w:szCs w:val="12"/>
                <w:b w:val="1"/>
                <w:bCs w:val="1"/>
                <w:color w:val="FFFFFF"/>
              </w:rPr>
              <w:t>Compensation</w:t>
            </w:r>
          </w:p>
        </w:tc>
        <w:tc>
          <w:tcPr>
            <w:tcW w:w="1440" w:type="dxa"/>
            <w:vAlign w:val="bottom"/>
            <w:shd w:val="clear" w:color="auto" w:fill="005CB9"/>
          </w:tcPr>
          <w:p>
            <w:pPr>
              <w:jc w:val="right"/>
              <w:ind w:right="438"/>
              <w:spacing w:after="0" w:line="134" w:lineRule="exact"/>
              <w:rPr>
                <w:sz w:val="20"/>
                <w:szCs w:val="20"/>
                <w:color w:val="auto"/>
              </w:rPr>
            </w:pPr>
            <w:r>
              <w:rPr>
                <w:rFonts w:ascii="Arial" w:cs="Arial" w:eastAsia="Arial" w:hAnsi="Arial"/>
                <w:sz w:val="12"/>
                <w:szCs w:val="12"/>
                <w:b w:val="1"/>
                <w:bCs w:val="1"/>
                <w:color w:val="FFFFFF"/>
              </w:rPr>
              <w:t>Awards</w:t>
            </w:r>
          </w:p>
        </w:tc>
        <w:tc>
          <w:tcPr>
            <w:tcW w:w="142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Equity Awards</w:t>
            </w:r>
          </w:p>
        </w:tc>
        <w:tc>
          <w:tcPr>
            <w:tcW w:w="146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in Pension Value</w:t>
            </w:r>
          </w:p>
        </w:tc>
        <w:tc>
          <w:tcPr>
            <w:tcW w:w="1600" w:type="dxa"/>
            <w:vAlign w:val="bottom"/>
            <w:gridSpan w:val="2"/>
            <w:shd w:val="clear" w:color="auto" w:fill="005CB9"/>
          </w:tcPr>
          <w:p>
            <w:pPr>
              <w:jc w:val="center"/>
              <w:ind w:right="98"/>
              <w:spacing w:after="0" w:line="134" w:lineRule="exact"/>
              <w:rPr>
                <w:sz w:val="20"/>
                <w:szCs w:val="20"/>
                <w:color w:val="auto"/>
              </w:rPr>
            </w:pPr>
            <w:r>
              <w:rPr>
                <w:rFonts w:ascii="Arial" w:cs="Arial" w:eastAsia="Arial" w:hAnsi="Arial"/>
                <w:sz w:val="12"/>
                <w:szCs w:val="12"/>
                <w:b w:val="1"/>
                <w:bCs w:val="1"/>
                <w:color w:val="FFFFFF"/>
              </w:rPr>
              <w:t>Pension Value</w:t>
            </w:r>
          </w:p>
        </w:tc>
        <w:tc>
          <w:tcPr>
            <w:tcW w:w="1520" w:type="dxa"/>
            <w:vAlign w:val="bottom"/>
            <w:vMerge w:val="restart"/>
            <w:shd w:val="clear" w:color="auto" w:fill="005CB9"/>
          </w:tcPr>
          <w:p>
            <w:pPr>
              <w:jc w:val="right"/>
              <w:ind w:right="298"/>
              <w:spacing w:after="0"/>
              <w:rPr>
                <w:sz w:val="20"/>
                <w:szCs w:val="20"/>
                <w:color w:val="auto"/>
              </w:rPr>
            </w:pPr>
            <w:r>
              <w:rPr>
                <w:rFonts w:ascii="Arial" w:cs="Arial" w:eastAsia="Arial" w:hAnsi="Arial"/>
                <w:sz w:val="12"/>
                <w:szCs w:val="12"/>
                <w:b w:val="1"/>
                <w:bCs w:val="1"/>
                <w:color w:val="FFFFFF"/>
              </w:rPr>
              <w:t> Average CAP</w:t>
            </w:r>
          </w:p>
        </w:tc>
        <w:tc>
          <w:tcPr>
            <w:tcW w:w="0" w:type="dxa"/>
            <w:vAlign w:val="bottom"/>
          </w:tcPr>
          <w:p>
            <w:pPr>
              <w:spacing w:after="0"/>
              <w:rPr>
                <w:sz w:val="1"/>
                <w:szCs w:val="1"/>
                <w:color w:val="auto"/>
              </w:rPr>
            </w:pPr>
          </w:p>
        </w:tc>
      </w:tr>
      <w:tr>
        <w:trPr>
          <w:trHeight w:val="219"/>
        </w:trPr>
        <w:tc>
          <w:tcPr>
            <w:tcW w:w="1100" w:type="dxa"/>
            <w:vAlign w:val="bottom"/>
            <w:vMerge w:val="continue"/>
            <w:shd w:val="clear" w:color="auto" w:fill="005CB9"/>
          </w:tcPr>
          <w:p>
            <w:pPr>
              <w:spacing w:after="0"/>
              <w:rPr>
                <w:sz w:val="19"/>
                <w:szCs w:val="19"/>
                <w:color w:val="auto"/>
              </w:rPr>
            </w:pPr>
          </w:p>
        </w:tc>
        <w:tc>
          <w:tcPr>
            <w:tcW w:w="1480" w:type="dxa"/>
            <w:vAlign w:val="bottom"/>
            <w:shd w:val="clear" w:color="auto" w:fill="005CB9"/>
          </w:tcPr>
          <w:p>
            <w:pPr>
              <w:jc w:val="right"/>
              <w:ind w:right="118"/>
              <w:spacing w:after="0"/>
              <w:rPr>
                <w:sz w:val="20"/>
                <w:szCs w:val="20"/>
                <w:color w:val="auto"/>
              </w:rPr>
            </w:pPr>
            <w:r>
              <w:rPr>
                <w:rFonts w:ascii="Arial" w:cs="Arial" w:eastAsia="Arial" w:hAnsi="Arial"/>
                <w:sz w:val="12"/>
                <w:szCs w:val="12"/>
                <w:b w:val="1"/>
                <w:bCs w:val="1"/>
                <w:color w:val="FFFFFF"/>
              </w:rPr>
              <w:t>Reported in SCT</w:t>
            </w:r>
          </w:p>
        </w:tc>
        <w:tc>
          <w:tcPr>
            <w:tcW w:w="1440" w:type="dxa"/>
            <w:vAlign w:val="bottom"/>
            <w:shd w:val="clear" w:color="auto" w:fill="005CB9"/>
          </w:tcPr>
          <w:p>
            <w:pPr>
              <w:jc w:val="right"/>
              <w:ind w:right="118"/>
              <w:spacing w:after="0"/>
              <w:rPr>
                <w:sz w:val="20"/>
                <w:szCs w:val="20"/>
                <w:color w:val="auto"/>
              </w:rPr>
            </w:pPr>
            <w:r>
              <w:rPr>
                <w:rFonts w:ascii="Arial" w:cs="Arial" w:eastAsia="Arial" w:hAnsi="Arial"/>
                <w:sz w:val="12"/>
                <w:szCs w:val="12"/>
                <w:b w:val="1"/>
                <w:bCs w:val="1"/>
                <w:color w:val="FFFFFF"/>
              </w:rPr>
              <w:t>Reported in SCT</w:t>
            </w:r>
            <w:r>
              <w:rPr>
                <w:rFonts w:ascii="Arial" w:cs="Arial" w:eastAsia="Arial" w:hAnsi="Arial"/>
                <w:sz w:val="15"/>
                <w:szCs w:val="15"/>
                <w:b w:val="1"/>
                <w:bCs w:val="1"/>
                <w:color w:val="FFFFFF"/>
                <w:vertAlign w:val="superscript"/>
              </w:rPr>
              <w:t>(1)</w:t>
            </w:r>
          </w:p>
        </w:tc>
        <w:tc>
          <w:tcPr>
            <w:tcW w:w="142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rPr>
              <w:t>Included in CAP</w:t>
            </w:r>
            <w:r>
              <w:rPr>
                <w:rFonts w:ascii="Arial" w:cs="Arial" w:eastAsia="Arial" w:hAnsi="Arial"/>
                <w:sz w:val="15"/>
                <w:szCs w:val="15"/>
                <w:b w:val="1"/>
                <w:bCs w:val="1"/>
                <w:color w:val="FFFFFF"/>
                <w:vertAlign w:val="superscript"/>
              </w:rPr>
              <w:t>(2)</w:t>
            </w:r>
          </w:p>
        </w:tc>
        <w:tc>
          <w:tcPr>
            <w:tcW w:w="146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rPr>
              <w:t>Reported in SCT</w:t>
            </w:r>
            <w:r>
              <w:rPr>
                <w:rFonts w:ascii="Arial" w:cs="Arial" w:eastAsia="Arial" w:hAnsi="Arial"/>
                <w:sz w:val="15"/>
                <w:szCs w:val="15"/>
                <w:b w:val="1"/>
                <w:bCs w:val="1"/>
                <w:color w:val="FFFFFF"/>
                <w:vertAlign w:val="superscript"/>
              </w:rPr>
              <w:t>(3)</w:t>
            </w:r>
          </w:p>
        </w:tc>
        <w:tc>
          <w:tcPr>
            <w:tcW w:w="1600" w:type="dxa"/>
            <w:vAlign w:val="bottom"/>
            <w:gridSpan w:val="2"/>
            <w:shd w:val="clear" w:color="auto" w:fill="005CB9"/>
          </w:tcPr>
          <w:p>
            <w:pPr>
              <w:jc w:val="center"/>
              <w:ind w:right="98"/>
              <w:spacing w:after="0"/>
              <w:rPr>
                <w:sz w:val="20"/>
                <w:szCs w:val="20"/>
                <w:color w:val="auto"/>
              </w:rPr>
            </w:pPr>
            <w:r>
              <w:rPr>
                <w:rFonts w:ascii="Arial" w:cs="Arial" w:eastAsia="Arial" w:hAnsi="Arial"/>
                <w:sz w:val="12"/>
                <w:szCs w:val="12"/>
                <w:b w:val="1"/>
                <w:bCs w:val="1"/>
                <w:color w:val="FFFFFF"/>
                <w:w w:val="99"/>
              </w:rPr>
              <w:t>Included in CAP</w:t>
            </w:r>
            <w:r>
              <w:rPr>
                <w:rFonts w:ascii="Arial" w:cs="Arial" w:eastAsia="Arial" w:hAnsi="Arial"/>
                <w:sz w:val="15"/>
                <w:szCs w:val="15"/>
                <w:b w:val="1"/>
                <w:bCs w:val="1"/>
                <w:color w:val="FFFFFF"/>
                <w:w w:val="99"/>
                <w:vertAlign w:val="superscript"/>
              </w:rPr>
              <w:t>(4)</w:t>
            </w:r>
          </w:p>
        </w:tc>
        <w:tc>
          <w:tcPr>
            <w:tcW w:w="1520" w:type="dxa"/>
            <w:vAlign w:val="bottom"/>
            <w:vMerge w:val="continue"/>
            <w:shd w:val="clear" w:color="auto" w:fill="005CB9"/>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00" w:type="dxa"/>
            <w:vAlign w:val="bottom"/>
          </w:tcPr>
          <w:p>
            <w:pPr>
              <w:ind w:left="60"/>
              <w:spacing w:after="0"/>
              <w:rPr>
                <w:sz w:val="20"/>
                <w:szCs w:val="20"/>
                <w:color w:val="auto"/>
              </w:rPr>
            </w:pPr>
            <w:r>
              <w:rPr>
                <w:rFonts w:ascii="Arial" w:cs="Arial" w:eastAsia="Arial" w:hAnsi="Arial"/>
                <w:sz w:val="12"/>
                <w:szCs w:val="12"/>
                <w:color w:val="auto"/>
              </w:rPr>
              <w:t>2025</w:t>
            </w:r>
          </w:p>
        </w:tc>
        <w:tc>
          <w:tcPr>
            <w:tcW w:w="1480" w:type="dxa"/>
            <w:vAlign w:val="bottom"/>
          </w:tcPr>
          <w:p>
            <w:pPr>
              <w:jc w:val="right"/>
              <w:ind w:right="118"/>
              <w:spacing w:after="0"/>
              <w:rPr>
                <w:sz w:val="20"/>
                <w:szCs w:val="20"/>
                <w:color w:val="auto"/>
              </w:rPr>
            </w:pPr>
            <w:r>
              <w:rPr>
                <w:rFonts w:ascii="Arial" w:cs="Arial" w:eastAsia="Arial" w:hAnsi="Arial"/>
                <w:sz w:val="12"/>
                <w:szCs w:val="12"/>
                <w:color w:val="auto"/>
              </w:rPr>
              <w:t>$ 5,474,679</w:t>
            </w:r>
          </w:p>
        </w:tc>
        <w:tc>
          <w:tcPr>
            <w:tcW w:w="1440" w:type="dxa"/>
            <w:vAlign w:val="bottom"/>
          </w:tcPr>
          <w:p>
            <w:pPr>
              <w:jc w:val="right"/>
              <w:ind w:right="138"/>
              <w:spacing w:after="0"/>
              <w:rPr>
                <w:sz w:val="20"/>
                <w:szCs w:val="20"/>
                <w:color w:val="auto"/>
              </w:rPr>
            </w:pPr>
            <w:r>
              <w:rPr>
                <w:rFonts w:ascii="Arial" w:cs="Arial" w:eastAsia="Arial" w:hAnsi="Arial"/>
                <w:sz w:val="12"/>
                <w:szCs w:val="12"/>
                <w:color w:val="auto"/>
              </w:rPr>
              <w:t>$ (2,078,152)</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18"/>
              <w:spacing w:after="0"/>
              <w:rPr>
                <w:sz w:val="20"/>
                <w:szCs w:val="20"/>
                <w:color w:val="auto"/>
              </w:rPr>
            </w:pPr>
            <w:r>
              <w:rPr>
                <w:rFonts w:ascii="Arial" w:cs="Arial" w:eastAsia="Arial" w:hAnsi="Arial"/>
                <w:sz w:val="12"/>
                <w:szCs w:val="12"/>
                <w:color w:val="auto"/>
              </w:rPr>
              <w:t>910,120</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38"/>
              <w:spacing w:after="0"/>
              <w:rPr>
                <w:sz w:val="20"/>
                <w:szCs w:val="20"/>
                <w:color w:val="auto"/>
              </w:rPr>
            </w:pPr>
            <w:r>
              <w:rPr>
                <w:rFonts w:ascii="Arial" w:cs="Arial" w:eastAsia="Arial" w:hAnsi="Arial"/>
                <w:sz w:val="12"/>
                <w:szCs w:val="12"/>
                <w:color w:val="auto"/>
              </w:rPr>
              <w:t>(1,232,995)</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38"/>
              <w:spacing w:after="0"/>
              <w:rPr>
                <w:sz w:val="20"/>
                <w:szCs w:val="20"/>
                <w:color w:val="auto"/>
              </w:rPr>
            </w:pPr>
            <w:r>
              <w:rPr>
                <w:rFonts w:ascii="Arial" w:cs="Arial" w:eastAsia="Arial" w:hAnsi="Arial"/>
                <w:sz w:val="12"/>
                <w:szCs w:val="12"/>
                <w:color w:val="auto"/>
              </w:rPr>
              <w:t>49,744</w:t>
            </w:r>
          </w:p>
        </w:tc>
        <w:tc>
          <w:tcPr>
            <w:tcW w:w="1520" w:type="dxa"/>
            <w:vAlign w:val="bottom"/>
          </w:tcPr>
          <w:p>
            <w:pPr>
              <w:jc w:val="right"/>
              <w:ind w:right="358"/>
              <w:spacing w:after="0"/>
              <w:rPr>
                <w:sz w:val="20"/>
                <w:szCs w:val="20"/>
                <w:color w:val="auto"/>
              </w:rPr>
            </w:pPr>
            <w:r>
              <w:rPr>
                <w:rFonts w:ascii="Arial" w:cs="Arial" w:eastAsia="Arial" w:hAnsi="Arial"/>
                <w:sz w:val="12"/>
                <w:szCs w:val="12"/>
                <w:color w:val="auto"/>
              </w:rPr>
              <w:t>$ 3,123,396</w:t>
            </w:r>
          </w:p>
        </w:tc>
        <w:tc>
          <w:tcPr>
            <w:tcW w:w="0" w:type="dxa"/>
            <w:vAlign w:val="bottom"/>
          </w:tcPr>
          <w:p>
            <w:pPr>
              <w:spacing w:after="0"/>
              <w:rPr>
                <w:sz w:val="1"/>
                <w:szCs w:val="1"/>
                <w:color w:val="auto"/>
              </w:rPr>
            </w:pPr>
          </w:p>
        </w:tc>
      </w:tr>
      <w:tr>
        <w:trPr>
          <w:trHeight w:val="54"/>
        </w:trPr>
        <w:tc>
          <w:tcPr>
            <w:tcW w:w="1100" w:type="dxa"/>
            <w:vAlign w:val="bottom"/>
            <w:tcBorders>
              <w:bottom w:val="single" w:sz="8" w:color="7F7F7F"/>
            </w:tcBorders>
          </w:tcPr>
          <w:p>
            <w:pPr>
              <w:spacing w:after="0"/>
              <w:rPr>
                <w:sz w:val="4"/>
                <w:szCs w:val="4"/>
                <w:color w:val="auto"/>
              </w:rPr>
            </w:pPr>
          </w:p>
        </w:tc>
        <w:tc>
          <w:tcPr>
            <w:tcW w:w="148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5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2024</w:t>
            </w:r>
          </w:p>
        </w:tc>
        <w:tc>
          <w:tcPr>
            <w:tcW w:w="1480" w:type="dxa"/>
            <w:vAlign w:val="bottom"/>
            <w:tcBorders>
              <w:bottom w:val="single" w:sz="8" w:color="F2F2F2"/>
            </w:tcBorders>
            <w:shd w:val="clear" w:color="auto" w:fill="F2F2F2"/>
          </w:tcPr>
          <w:p>
            <w:pPr>
              <w:jc w:val="right"/>
              <w:ind w:right="118"/>
              <w:spacing w:after="0"/>
              <w:rPr>
                <w:sz w:val="20"/>
                <w:szCs w:val="20"/>
                <w:color w:val="auto"/>
              </w:rPr>
            </w:pPr>
            <w:r>
              <w:rPr>
                <w:rFonts w:ascii="Arial" w:cs="Arial" w:eastAsia="Arial" w:hAnsi="Arial"/>
                <w:sz w:val="12"/>
                <w:szCs w:val="12"/>
                <w:color w:val="auto"/>
              </w:rPr>
              <w:t>$ 6,388,301</w:t>
            </w:r>
          </w:p>
        </w:tc>
        <w:tc>
          <w:tcPr>
            <w:tcW w:w="1440" w:type="dxa"/>
            <w:vAlign w:val="bottom"/>
            <w:tcBorders>
              <w:bottom w:val="single" w:sz="8" w:color="F2F2F2"/>
            </w:tcBorders>
            <w:shd w:val="clear" w:color="auto" w:fill="F2F2F2"/>
          </w:tcPr>
          <w:p>
            <w:pPr>
              <w:jc w:val="right"/>
              <w:ind w:right="138"/>
              <w:spacing w:after="0"/>
              <w:rPr>
                <w:sz w:val="20"/>
                <w:szCs w:val="20"/>
                <w:color w:val="auto"/>
              </w:rPr>
            </w:pPr>
            <w:r>
              <w:rPr>
                <w:rFonts w:ascii="Arial" w:cs="Arial" w:eastAsia="Arial" w:hAnsi="Arial"/>
                <w:sz w:val="12"/>
                <w:szCs w:val="12"/>
                <w:color w:val="auto"/>
              </w:rPr>
              <w:t>$ (2,265,033)</w:t>
            </w:r>
          </w:p>
        </w:tc>
        <w:tc>
          <w:tcPr>
            <w:tcW w:w="6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F2F2F2"/>
            </w:tcBorders>
            <w:shd w:val="clear" w:color="auto" w:fill="F2F2F2"/>
          </w:tcPr>
          <w:p>
            <w:pPr>
              <w:jc w:val="right"/>
              <w:ind w:right="118"/>
              <w:spacing w:after="0"/>
              <w:rPr>
                <w:sz w:val="20"/>
                <w:szCs w:val="20"/>
                <w:color w:val="auto"/>
              </w:rPr>
            </w:pPr>
            <w:r>
              <w:rPr>
                <w:rFonts w:ascii="Arial" w:cs="Arial" w:eastAsia="Arial" w:hAnsi="Arial"/>
                <w:sz w:val="12"/>
                <w:szCs w:val="12"/>
                <w:color w:val="auto"/>
              </w:rPr>
              <w:t>3,221,109</w:t>
            </w:r>
          </w:p>
        </w:tc>
        <w:tc>
          <w:tcPr>
            <w:tcW w:w="6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right"/>
              <w:ind w:right="138"/>
              <w:spacing w:after="0"/>
              <w:rPr>
                <w:sz w:val="20"/>
                <w:szCs w:val="20"/>
                <w:color w:val="auto"/>
              </w:rPr>
            </w:pPr>
            <w:r>
              <w:rPr>
                <w:rFonts w:ascii="Arial" w:cs="Arial" w:eastAsia="Arial" w:hAnsi="Arial"/>
                <w:sz w:val="12"/>
                <w:szCs w:val="12"/>
                <w:color w:val="auto"/>
              </w:rPr>
              <w:t>(2,315,218)</w:t>
            </w:r>
          </w:p>
        </w:tc>
        <w:tc>
          <w:tcPr>
            <w:tcW w:w="7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F2F2F2"/>
            </w:tcBorders>
            <w:shd w:val="clear" w:color="auto" w:fill="F2F2F2"/>
          </w:tcPr>
          <w:p>
            <w:pPr>
              <w:jc w:val="right"/>
              <w:ind w:right="338"/>
              <w:spacing w:after="0"/>
              <w:rPr>
                <w:sz w:val="20"/>
                <w:szCs w:val="20"/>
                <w:color w:val="auto"/>
              </w:rPr>
            </w:pPr>
            <w:r>
              <w:rPr>
                <w:rFonts w:ascii="Arial" w:cs="Arial" w:eastAsia="Arial" w:hAnsi="Arial"/>
                <w:sz w:val="12"/>
                <w:szCs w:val="12"/>
                <w:color w:val="auto"/>
              </w:rPr>
              <w:t>220,870</w:t>
            </w:r>
          </w:p>
        </w:tc>
        <w:tc>
          <w:tcPr>
            <w:tcW w:w="152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$ 5,250,029</w:t>
            </w:r>
          </w:p>
        </w:tc>
        <w:tc>
          <w:tcPr>
            <w:tcW w:w="0" w:type="dxa"/>
            <w:vAlign w:val="bottom"/>
          </w:tcPr>
          <w:p>
            <w:pPr>
              <w:spacing w:after="0"/>
              <w:rPr>
                <w:sz w:val="1"/>
                <w:szCs w:val="1"/>
                <w:color w:val="auto"/>
              </w:rPr>
            </w:pPr>
          </w:p>
        </w:tc>
      </w:tr>
      <w:tr>
        <w:trPr>
          <w:trHeight w:val="194"/>
        </w:trPr>
        <w:tc>
          <w:tcPr>
            <w:tcW w:w="110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2023</w:t>
            </w:r>
          </w:p>
        </w:tc>
        <w:tc>
          <w:tcPr>
            <w:tcW w:w="1480" w:type="dxa"/>
            <w:vAlign w:val="bottom"/>
            <w:tcBorders>
              <w:top w:val="single" w:sz="8" w:color="7F7F7F"/>
            </w:tcBorders>
          </w:tcPr>
          <w:p>
            <w:pPr>
              <w:jc w:val="right"/>
              <w:ind w:right="118"/>
              <w:spacing w:after="0"/>
              <w:rPr>
                <w:sz w:val="20"/>
                <w:szCs w:val="20"/>
                <w:color w:val="auto"/>
              </w:rPr>
            </w:pPr>
            <w:r>
              <w:rPr>
                <w:rFonts w:ascii="Arial" w:cs="Arial" w:eastAsia="Arial" w:hAnsi="Arial"/>
                <w:sz w:val="12"/>
                <w:szCs w:val="12"/>
                <w:color w:val="auto"/>
              </w:rPr>
              <w:t>$ 6,585,961</w:t>
            </w:r>
          </w:p>
        </w:tc>
        <w:tc>
          <w:tcPr>
            <w:tcW w:w="1440" w:type="dxa"/>
            <w:vAlign w:val="bottom"/>
            <w:tcBorders>
              <w:top w:val="single" w:sz="8" w:color="7F7F7F"/>
            </w:tcBorders>
          </w:tcPr>
          <w:p>
            <w:pPr>
              <w:jc w:val="right"/>
              <w:ind w:right="138"/>
              <w:spacing w:after="0"/>
              <w:rPr>
                <w:sz w:val="20"/>
                <w:szCs w:val="20"/>
                <w:color w:val="auto"/>
              </w:rPr>
            </w:pPr>
            <w:r>
              <w:rPr>
                <w:rFonts w:ascii="Arial" w:cs="Arial" w:eastAsia="Arial" w:hAnsi="Arial"/>
                <w:sz w:val="12"/>
                <w:szCs w:val="12"/>
                <w:color w:val="auto"/>
              </w:rPr>
              <w:t>$ (2,059,518)</w:t>
            </w:r>
          </w:p>
        </w:tc>
        <w:tc>
          <w:tcPr>
            <w:tcW w:w="68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tcBorders>
          </w:tcPr>
          <w:p>
            <w:pPr>
              <w:jc w:val="right"/>
              <w:ind w:right="118"/>
              <w:spacing w:after="0"/>
              <w:rPr>
                <w:sz w:val="20"/>
                <w:szCs w:val="20"/>
                <w:color w:val="auto"/>
              </w:rPr>
            </w:pPr>
            <w:r>
              <w:rPr>
                <w:rFonts w:ascii="Arial" w:cs="Arial" w:eastAsia="Arial" w:hAnsi="Arial"/>
                <w:sz w:val="12"/>
                <w:szCs w:val="12"/>
                <w:color w:val="auto"/>
              </w:rPr>
              <w:t>837,100</w:t>
            </w:r>
          </w:p>
        </w:tc>
        <w:tc>
          <w:tcPr>
            <w:tcW w:w="6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7F7F7F"/>
            </w:tcBorders>
          </w:tcPr>
          <w:p>
            <w:pPr>
              <w:jc w:val="right"/>
              <w:ind w:right="138"/>
              <w:spacing w:after="0"/>
              <w:rPr>
                <w:sz w:val="20"/>
                <w:szCs w:val="20"/>
                <w:color w:val="auto"/>
              </w:rPr>
            </w:pPr>
            <w:r>
              <w:rPr>
                <w:rFonts w:ascii="Arial" w:cs="Arial" w:eastAsia="Arial" w:hAnsi="Arial"/>
                <w:sz w:val="12"/>
                <w:szCs w:val="12"/>
                <w:color w:val="auto"/>
              </w:rPr>
              <w:t>(2,681,185)</w:t>
            </w:r>
          </w:p>
        </w:tc>
        <w:tc>
          <w:tcPr>
            <w:tcW w:w="7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7F7F7F"/>
            </w:tcBorders>
          </w:tcPr>
          <w:p>
            <w:pPr>
              <w:jc w:val="right"/>
              <w:ind w:right="338"/>
              <w:spacing w:after="0"/>
              <w:rPr>
                <w:sz w:val="20"/>
                <w:szCs w:val="20"/>
                <w:color w:val="auto"/>
              </w:rPr>
            </w:pPr>
            <w:r>
              <w:rPr>
                <w:rFonts w:ascii="Arial" w:cs="Arial" w:eastAsia="Arial" w:hAnsi="Arial"/>
                <w:sz w:val="12"/>
                <w:szCs w:val="12"/>
                <w:color w:val="auto"/>
              </w:rPr>
              <w:t>735,521</w:t>
            </w:r>
          </w:p>
        </w:tc>
        <w:tc>
          <w:tcPr>
            <w:tcW w:w="1520" w:type="dxa"/>
            <w:vAlign w:val="bottom"/>
            <w:tcBorders>
              <w:top w:val="single" w:sz="8" w:color="7F7F7F"/>
            </w:tcBorders>
          </w:tcPr>
          <w:p>
            <w:pPr>
              <w:jc w:val="right"/>
              <w:ind w:right="358"/>
              <w:spacing w:after="0"/>
              <w:rPr>
                <w:sz w:val="20"/>
                <w:szCs w:val="20"/>
                <w:color w:val="auto"/>
              </w:rPr>
            </w:pPr>
            <w:r>
              <w:rPr>
                <w:rFonts w:ascii="Arial" w:cs="Arial" w:eastAsia="Arial" w:hAnsi="Arial"/>
                <w:sz w:val="12"/>
                <w:szCs w:val="12"/>
                <w:color w:val="auto"/>
              </w:rPr>
              <w:t>$ 3,417,879</w:t>
            </w:r>
          </w:p>
        </w:tc>
        <w:tc>
          <w:tcPr>
            <w:tcW w:w="0" w:type="dxa"/>
            <w:vAlign w:val="bottom"/>
          </w:tcPr>
          <w:p>
            <w:pPr>
              <w:spacing w:after="0"/>
              <w:rPr>
                <w:sz w:val="1"/>
                <w:szCs w:val="1"/>
                <w:color w:val="auto"/>
              </w:rPr>
            </w:pPr>
          </w:p>
        </w:tc>
      </w:tr>
      <w:tr>
        <w:trPr>
          <w:trHeight w:val="54"/>
        </w:trPr>
        <w:tc>
          <w:tcPr>
            <w:tcW w:w="1100" w:type="dxa"/>
            <w:vAlign w:val="bottom"/>
            <w:tcBorders>
              <w:bottom w:val="single" w:sz="8" w:color="7F7F7F"/>
            </w:tcBorders>
          </w:tcPr>
          <w:p>
            <w:pPr>
              <w:spacing w:after="0"/>
              <w:rPr>
                <w:sz w:val="4"/>
                <w:szCs w:val="4"/>
                <w:color w:val="auto"/>
              </w:rPr>
            </w:pPr>
          </w:p>
        </w:tc>
        <w:tc>
          <w:tcPr>
            <w:tcW w:w="1480" w:type="dxa"/>
            <w:vAlign w:val="bottom"/>
            <w:tcBorders>
              <w:bottom w:val="single" w:sz="8" w:color="7F7F7F"/>
            </w:tcBorders>
          </w:tcPr>
          <w:p>
            <w:pPr>
              <w:spacing w:after="0"/>
              <w:rPr>
                <w:sz w:val="4"/>
                <w:szCs w:val="4"/>
                <w:color w:val="auto"/>
              </w:rPr>
            </w:pPr>
          </w:p>
        </w:tc>
        <w:tc>
          <w:tcPr>
            <w:tcW w:w="14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840" w:type="dxa"/>
            <w:vAlign w:val="bottom"/>
            <w:tcBorders>
              <w:bottom w:val="single" w:sz="8" w:color="7F7F7F"/>
            </w:tcBorders>
          </w:tcPr>
          <w:p>
            <w:pPr>
              <w:spacing w:after="0"/>
              <w:rPr>
                <w:sz w:val="4"/>
                <w:szCs w:val="4"/>
                <w:color w:val="auto"/>
              </w:rPr>
            </w:pPr>
          </w:p>
        </w:tc>
        <w:tc>
          <w:tcPr>
            <w:tcW w:w="7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15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0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2022</w:t>
            </w:r>
          </w:p>
        </w:tc>
        <w:tc>
          <w:tcPr>
            <w:tcW w:w="1480" w:type="dxa"/>
            <w:vAlign w:val="bottom"/>
            <w:tcBorders>
              <w:bottom w:val="single" w:sz="8" w:color="F2F2F2"/>
            </w:tcBorders>
            <w:shd w:val="clear" w:color="auto" w:fill="F2F2F2"/>
          </w:tcPr>
          <w:p>
            <w:pPr>
              <w:jc w:val="right"/>
              <w:ind w:right="118"/>
              <w:spacing w:after="0"/>
              <w:rPr>
                <w:sz w:val="20"/>
                <w:szCs w:val="20"/>
                <w:color w:val="auto"/>
              </w:rPr>
            </w:pPr>
            <w:r>
              <w:rPr>
                <w:rFonts w:ascii="Arial" w:cs="Arial" w:eastAsia="Arial" w:hAnsi="Arial"/>
                <w:sz w:val="12"/>
                <w:szCs w:val="12"/>
                <w:color w:val="auto"/>
              </w:rPr>
              <w:t>$ 4,172,220</w:t>
            </w:r>
          </w:p>
        </w:tc>
        <w:tc>
          <w:tcPr>
            <w:tcW w:w="1440" w:type="dxa"/>
            <w:vAlign w:val="bottom"/>
            <w:tcBorders>
              <w:bottom w:val="single" w:sz="8" w:color="F2F2F2"/>
            </w:tcBorders>
            <w:shd w:val="clear" w:color="auto" w:fill="F2F2F2"/>
          </w:tcPr>
          <w:p>
            <w:pPr>
              <w:jc w:val="right"/>
              <w:ind w:right="138"/>
              <w:spacing w:after="0"/>
              <w:rPr>
                <w:sz w:val="20"/>
                <w:szCs w:val="20"/>
                <w:color w:val="auto"/>
              </w:rPr>
            </w:pPr>
            <w:r>
              <w:rPr>
                <w:rFonts w:ascii="Arial" w:cs="Arial" w:eastAsia="Arial" w:hAnsi="Arial"/>
                <w:sz w:val="12"/>
                <w:szCs w:val="12"/>
                <w:color w:val="auto"/>
              </w:rPr>
              <w:t>$ (1,722,654)</w:t>
            </w:r>
          </w:p>
        </w:tc>
        <w:tc>
          <w:tcPr>
            <w:tcW w:w="68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F2F2F2"/>
            </w:tcBorders>
            <w:shd w:val="clear" w:color="auto" w:fill="F2F2F2"/>
          </w:tcPr>
          <w:p>
            <w:pPr>
              <w:jc w:val="right"/>
              <w:ind w:right="118"/>
              <w:spacing w:after="0"/>
              <w:rPr>
                <w:sz w:val="20"/>
                <w:szCs w:val="20"/>
                <w:color w:val="auto"/>
              </w:rPr>
            </w:pPr>
            <w:r>
              <w:rPr>
                <w:rFonts w:ascii="Arial" w:cs="Arial" w:eastAsia="Arial" w:hAnsi="Arial"/>
                <w:sz w:val="12"/>
                <w:szCs w:val="12"/>
                <w:color w:val="auto"/>
              </w:rPr>
              <w:t>3,953,284</w:t>
            </w:r>
          </w:p>
        </w:tc>
        <w:tc>
          <w:tcPr>
            <w:tcW w:w="62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F2F2F2"/>
            </w:tcBorders>
            <w:shd w:val="clear" w:color="auto" w:fill="F2F2F2"/>
          </w:tcPr>
          <w:p>
            <w:pPr>
              <w:jc w:val="right"/>
              <w:ind w:right="138"/>
              <w:spacing w:after="0"/>
              <w:rPr>
                <w:sz w:val="20"/>
                <w:szCs w:val="20"/>
                <w:color w:val="auto"/>
              </w:rPr>
            </w:pPr>
            <w:r>
              <w:rPr>
                <w:rFonts w:ascii="Arial" w:cs="Arial" w:eastAsia="Arial" w:hAnsi="Arial"/>
                <w:sz w:val="12"/>
                <w:szCs w:val="12"/>
                <w:color w:val="auto"/>
              </w:rPr>
              <w:t>(718,428)</w:t>
            </w:r>
          </w:p>
        </w:tc>
        <w:tc>
          <w:tcPr>
            <w:tcW w:w="74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F2F2F2"/>
            </w:tcBorders>
            <w:shd w:val="clear" w:color="auto" w:fill="F2F2F2"/>
          </w:tcPr>
          <w:p>
            <w:pPr>
              <w:jc w:val="right"/>
              <w:ind w:right="338"/>
              <w:spacing w:after="0"/>
              <w:rPr>
                <w:sz w:val="20"/>
                <w:szCs w:val="20"/>
                <w:color w:val="auto"/>
              </w:rPr>
            </w:pPr>
            <w:r>
              <w:rPr>
                <w:rFonts w:ascii="Arial" w:cs="Arial" w:eastAsia="Arial" w:hAnsi="Arial"/>
                <w:sz w:val="12"/>
                <w:szCs w:val="12"/>
                <w:color w:val="auto"/>
              </w:rPr>
              <w:t>371,238</w:t>
            </w:r>
          </w:p>
        </w:tc>
        <w:tc>
          <w:tcPr>
            <w:tcW w:w="1520" w:type="dxa"/>
            <w:vAlign w:val="bottom"/>
            <w:tcBorders>
              <w:bottom w:val="single" w:sz="8" w:color="F2F2F2"/>
            </w:tcBorders>
            <w:shd w:val="clear" w:color="auto" w:fill="F2F2F2"/>
          </w:tcPr>
          <w:p>
            <w:pPr>
              <w:jc w:val="right"/>
              <w:ind w:right="358"/>
              <w:spacing w:after="0"/>
              <w:rPr>
                <w:sz w:val="20"/>
                <w:szCs w:val="20"/>
                <w:color w:val="auto"/>
              </w:rPr>
            </w:pPr>
            <w:r>
              <w:rPr>
                <w:rFonts w:ascii="Arial" w:cs="Arial" w:eastAsia="Arial" w:hAnsi="Arial"/>
                <w:sz w:val="12"/>
                <w:szCs w:val="12"/>
                <w:color w:val="auto"/>
              </w:rPr>
              <w:t>$ 6,055,660</w:t>
            </w:r>
          </w:p>
        </w:tc>
        <w:tc>
          <w:tcPr>
            <w:tcW w:w="0" w:type="dxa"/>
            <w:vAlign w:val="bottom"/>
          </w:tcPr>
          <w:p>
            <w:pPr>
              <w:spacing w:after="0"/>
              <w:rPr>
                <w:sz w:val="1"/>
                <w:szCs w:val="1"/>
                <w:color w:val="auto"/>
              </w:rPr>
            </w:pPr>
          </w:p>
        </w:tc>
      </w:tr>
      <w:tr>
        <w:trPr>
          <w:trHeight w:val="194"/>
        </w:trPr>
        <w:tc>
          <w:tcPr>
            <w:tcW w:w="110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2021</w:t>
            </w:r>
          </w:p>
        </w:tc>
        <w:tc>
          <w:tcPr>
            <w:tcW w:w="1480" w:type="dxa"/>
            <w:vAlign w:val="bottom"/>
            <w:tcBorders>
              <w:top w:val="single" w:sz="8" w:color="7F7F7F"/>
            </w:tcBorders>
          </w:tcPr>
          <w:p>
            <w:pPr>
              <w:jc w:val="right"/>
              <w:ind w:right="118"/>
              <w:spacing w:after="0"/>
              <w:rPr>
                <w:sz w:val="20"/>
                <w:szCs w:val="20"/>
                <w:color w:val="auto"/>
              </w:rPr>
            </w:pPr>
            <w:r>
              <w:rPr>
                <w:rFonts w:ascii="Arial" w:cs="Arial" w:eastAsia="Arial" w:hAnsi="Arial"/>
                <w:sz w:val="12"/>
                <w:szCs w:val="12"/>
                <w:color w:val="auto"/>
              </w:rPr>
              <w:t>$ 4,727,198</w:t>
            </w:r>
          </w:p>
        </w:tc>
        <w:tc>
          <w:tcPr>
            <w:tcW w:w="1440" w:type="dxa"/>
            <w:vAlign w:val="bottom"/>
            <w:tcBorders>
              <w:top w:val="single" w:sz="8" w:color="7F7F7F"/>
            </w:tcBorders>
          </w:tcPr>
          <w:p>
            <w:pPr>
              <w:jc w:val="right"/>
              <w:ind w:right="138"/>
              <w:spacing w:after="0"/>
              <w:rPr>
                <w:sz w:val="20"/>
                <w:szCs w:val="20"/>
                <w:color w:val="auto"/>
              </w:rPr>
            </w:pPr>
            <w:r>
              <w:rPr>
                <w:rFonts w:ascii="Arial" w:cs="Arial" w:eastAsia="Arial" w:hAnsi="Arial"/>
                <w:sz w:val="12"/>
                <w:szCs w:val="12"/>
                <w:color w:val="auto"/>
              </w:rPr>
              <w:t>$ (1,519,041)</w:t>
            </w:r>
          </w:p>
        </w:tc>
        <w:tc>
          <w:tcPr>
            <w:tcW w:w="68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7F7F7F"/>
            </w:tcBorders>
          </w:tcPr>
          <w:p>
            <w:pPr>
              <w:jc w:val="right"/>
              <w:ind w:right="118"/>
              <w:spacing w:after="0"/>
              <w:rPr>
                <w:sz w:val="20"/>
                <w:szCs w:val="20"/>
                <w:color w:val="auto"/>
              </w:rPr>
            </w:pPr>
            <w:r>
              <w:rPr>
                <w:rFonts w:ascii="Arial" w:cs="Arial" w:eastAsia="Arial" w:hAnsi="Arial"/>
                <w:sz w:val="12"/>
                <w:szCs w:val="12"/>
                <w:color w:val="auto"/>
              </w:rPr>
              <w:t>844,567</w:t>
            </w:r>
          </w:p>
        </w:tc>
        <w:tc>
          <w:tcPr>
            <w:tcW w:w="6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40" w:type="dxa"/>
            <w:vAlign w:val="bottom"/>
            <w:tcBorders>
              <w:top w:val="single" w:sz="8" w:color="7F7F7F"/>
            </w:tcBorders>
          </w:tcPr>
          <w:p>
            <w:pPr>
              <w:jc w:val="right"/>
              <w:ind w:right="138"/>
              <w:spacing w:after="0"/>
              <w:rPr>
                <w:sz w:val="20"/>
                <w:szCs w:val="20"/>
                <w:color w:val="auto"/>
              </w:rPr>
            </w:pPr>
            <w:r>
              <w:rPr>
                <w:rFonts w:ascii="Arial" w:cs="Arial" w:eastAsia="Arial" w:hAnsi="Arial"/>
                <w:sz w:val="12"/>
                <w:szCs w:val="12"/>
                <w:color w:val="auto"/>
              </w:rPr>
              <w:t>(1,617,653)</w:t>
            </w:r>
          </w:p>
        </w:tc>
        <w:tc>
          <w:tcPr>
            <w:tcW w:w="7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7F7F7F"/>
            </w:tcBorders>
          </w:tcPr>
          <w:p>
            <w:pPr>
              <w:jc w:val="right"/>
              <w:ind w:right="338"/>
              <w:spacing w:after="0"/>
              <w:rPr>
                <w:sz w:val="20"/>
                <w:szCs w:val="20"/>
                <w:color w:val="auto"/>
              </w:rPr>
            </w:pPr>
            <w:r>
              <w:rPr>
                <w:rFonts w:ascii="Arial" w:cs="Arial" w:eastAsia="Arial" w:hAnsi="Arial"/>
                <w:sz w:val="12"/>
                <w:szCs w:val="12"/>
                <w:color w:val="auto"/>
              </w:rPr>
              <w:t>560,755</w:t>
            </w:r>
          </w:p>
        </w:tc>
        <w:tc>
          <w:tcPr>
            <w:tcW w:w="1520" w:type="dxa"/>
            <w:vAlign w:val="bottom"/>
            <w:tcBorders>
              <w:top w:val="single" w:sz="8" w:color="7F7F7F"/>
            </w:tcBorders>
          </w:tcPr>
          <w:p>
            <w:pPr>
              <w:jc w:val="right"/>
              <w:ind w:right="358"/>
              <w:spacing w:after="0"/>
              <w:rPr>
                <w:sz w:val="20"/>
                <w:szCs w:val="20"/>
                <w:color w:val="auto"/>
              </w:rPr>
            </w:pPr>
            <w:r>
              <w:rPr>
                <w:rFonts w:ascii="Arial" w:cs="Arial" w:eastAsia="Arial" w:hAnsi="Arial"/>
                <w:sz w:val="12"/>
                <w:szCs w:val="12"/>
                <w:color w:val="auto"/>
              </w:rPr>
              <w:t>$ 2,995,826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34290</wp:posOffset>
            </wp:positionV>
            <wp:extent cx="636905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109" w:lineRule="exact"/>
        <w:rPr>
          <w:sz w:val="20"/>
          <w:szCs w:val="20"/>
          <w:color w:val="auto"/>
        </w:rPr>
      </w:pPr>
    </w:p>
    <w:p>
      <w:pPr>
        <w:ind w:left="1360" w:right="220" w:hanging="323"/>
        <w:spacing w:after="0" w:line="279" w:lineRule="auto"/>
        <w:tabs>
          <w:tab w:leader="none" w:pos="136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amounts in this column are equal to the sum of the amounts in the “Stock Awards” and “Option Awards” columns of the SCT for the applicable year (or, for the Non-PEO NEOs, the average of such sums), which represent the grant date fair value of Equity Awards granted in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207010</wp:posOffset>
            </wp:positionV>
            <wp:extent cx="739140" cy="1530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28"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      2026 Proxy Statement            85</w:t>
      </w:r>
    </w:p>
    <w:p>
      <w:pPr>
        <w:sectPr>
          <w:pgSz w:w="11900" w:h="16838" w:orient="portrait"/>
          <w:cols w:equalWidth="0" w:num="1">
            <w:col w:w="11100"/>
          </w:cols>
          <w:pgMar w:left="320" w:top="478" w:right="479" w:bottom="1440" w:gutter="0" w:footer="0" w:header="0"/>
        </w:sectPr>
      </w:pPr>
    </w:p>
    <w:bookmarkStart w:id="93" w:name="page94"/>
    <w:bookmarkEnd w:id="93"/>
    <w:p>
      <w:pPr>
        <w:spacing w:after="0"/>
        <w:rPr>
          <w:sz w:val="20"/>
          <w:szCs w:val="20"/>
          <w:color w:val="auto"/>
        </w:rPr>
      </w:pPr>
      <w:r>
        <w:rPr>
          <w:rFonts w:ascii="Arial" w:cs="Arial" w:eastAsia="Arial" w:hAnsi="Arial"/>
          <w:sz w:val="11"/>
          <w:szCs w:val="11"/>
          <w:b w:val="1"/>
          <w:bCs w:val="1"/>
          <w:color w:val="7F7F7F"/>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136" w:lineRule="exact"/>
        <w:rPr>
          <w:sz w:val="20"/>
          <w:szCs w:val="20"/>
          <w:color w:val="auto"/>
        </w:rPr>
      </w:pPr>
    </w:p>
    <w:p>
      <w:pPr>
        <w:ind w:left="1200" w:hanging="323"/>
        <w:spacing w:after="0"/>
        <w:tabs>
          <w:tab w:leader="none" w:pos="120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amounts set forth in the following tables are reflected in this column:</w:t>
      </w:r>
    </w:p>
    <w:p>
      <w:pPr>
        <w:spacing w:after="0" w:line="71" w:lineRule="exact"/>
        <w:rPr>
          <w:rFonts w:ascii="Arial" w:cs="Arial" w:eastAsia="Arial" w:hAnsi="Arial"/>
          <w:sz w:val="12"/>
          <w:szCs w:val="12"/>
          <w:color w:val="auto"/>
        </w:rPr>
      </w:pPr>
    </w:p>
    <w:p>
      <w:pPr>
        <w:ind w:left="1420"/>
        <w:spacing w:after="0"/>
        <w:rPr>
          <w:rFonts w:ascii="Arial" w:cs="Arial" w:eastAsia="Arial" w:hAnsi="Arial"/>
          <w:sz w:val="12"/>
          <w:szCs w:val="12"/>
          <w:color w:val="auto"/>
        </w:rPr>
      </w:pPr>
      <w:r>
        <w:rPr>
          <w:rFonts w:ascii="Arial" w:cs="Arial" w:eastAsia="Arial" w:hAnsi="Arial"/>
          <w:sz w:val="14"/>
          <w:szCs w:val="14"/>
          <w:b w:val="1"/>
          <w:bCs w:val="1"/>
          <w:color w:val="auto"/>
        </w:rPr>
        <w:t>PEO: Equity Award Values Included in CAP</w:t>
      </w:r>
    </w:p>
    <w:p>
      <w:pPr>
        <w:spacing w:after="0" w:line="129" w:lineRule="exact"/>
        <w:rPr>
          <w:sz w:val="20"/>
          <w:szCs w:val="20"/>
          <w:color w:val="auto"/>
        </w:rPr>
      </w:pPr>
    </w:p>
    <w:tbl>
      <w:tblPr>
        <w:tblLayout w:type="fixed"/>
        <w:tblInd w:w="142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760" w:type="dxa"/>
            <w:vAlign w:val="bottom"/>
            <w:shd w:val="clear" w:color="auto" w:fill="005CB9"/>
          </w:tcPr>
          <w:p>
            <w:pPr>
              <w:spacing w:after="0"/>
              <w:rPr>
                <w:sz w:val="15"/>
                <w:szCs w:val="15"/>
                <w:color w:val="auto"/>
              </w:rPr>
            </w:pPr>
          </w:p>
        </w:tc>
        <w:tc>
          <w:tcPr>
            <w:tcW w:w="1100" w:type="dxa"/>
            <w:vAlign w:val="bottom"/>
            <w:shd w:val="clear" w:color="auto" w:fill="005CB9"/>
          </w:tcPr>
          <w:p>
            <w:pPr>
              <w:spacing w:after="0"/>
              <w:rPr>
                <w:sz w:val="15"/>
                <w:szCs w:val="15"/>
                <w:color w:val="auto"/>
              </w:rPr>
            </w:pPr>
          </w:p>
        </w:tc>
        <w:tc>
          <w:tcPr>
            <w:tcW w:w="880" w:type="dxa"/>
            <w:vAlign w:val="bottom"/>
            <w:shd w:val="clear" w:color="auto" w:fill="005CB9"/>
          </w:tcPr>
          <w:p>
            <w:pPr>
              <w:spacing w:after="0"/>
              <w:rPr>
                <w:sz w:val="15"/>
                <w:szCs w:val="15"/>
                <w:color w:val="auto"/>
              </w:rPr>
            </w:pPr>
          </w:p>
        </w:tc>
        <w:tc>
          <w:tcPr>
            <w:tcW w:w="1740" w:type="dxa"/>
            <w:vAlign w:val="bottom"/>
            <w:gridSpan w:val="2"/>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Change in Fair Value</w:t>
            </w:r>
          </w:p>
        </w:tc>
        <w:tc>
          <w:tcPr>
            <w:tcW w:w="1700" w:type="dxa"/>
            <w:vAlign w:val="bottom"/>
            <w:gridSpan w:val="2"/>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Fair Value of Equity</w:t>
            </w:r>
          </w:p>
        </w:tc>
        <w:tc>
          <w:tcPr>
            <w:tcW w:w="190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rPr>
              <w:t>Change in Fair Value</w:t>
            </w:r>
          </w:p>
        </w:tc>
        <w:tc>
          <w:tcPr>
            <w:tcW w:w="1400" w:type="dxa"/>
            <w:vAlign w:val="bottom"/>
            <w:gridSpan w:val="2"/>
            <w:vMerge w:val="restart"/>
            <w:shd w:val="clear" w:color="auto" w:fill="005CB9"/>
          </w:tcPr>
          <w:p>
            <w:pPr>
              <w:jc w:val="center"/>
              <w:ind w:left="178"/>
              <w:spacing w:after="0"/>
              <w:rPr>
                <w:sz w:val="20"/>
                <w:szCs w:val="20"/>
                <w:color w:val="auto"/>
              </w:rPr>
            </w:pPr>
            <w:r>
              <w:rPr>
                <w:rFonts w:ascii="Arial" w:cs="Arial" w:eastAsia="Arial" w:hAnsi="Arial"/>
                <w:sz w:val="12"/>
                <w:szCs w:val="12"/>
                <w:b w:val="1"/>
                <w:bCs w:val="1"/>
                <w:color w:val="FFFFFF"/>
              </w:rPr>
              <w:t>Adjusted Stock</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shd w:val="clear" w:color="auto" w:fill="005CB9"/>
          </w:tcPr>
          <w:p>
            <w:pPr>
              <w:spacing w:after="0"/>
              <w:rPr>
                <w:sz w:val="11"/>
                <w:szCs w:val="11"/>
                <w:color w:val="auto"/>
              </w:rPr>
            </w:pPr>
          </w:p>
        </w:tc>
        <w:tc>
          <w:tcPr>
            <w:tcW w:w="1980" w:type="dxa"/>
            <w:vAlign w:val="bottom"/>
            <w:gridSpan w:val="2"/>
            <w:vMerge w:val="restart"/>
            <w:shd w:val="clear" w:color="auto" w:fill="005CB9"/>
          </w:tcPr>
          <w:p>
            <w:pPr>
              <w:jc w:val="center"/>
              <w:ind w:left="138"/>
              <w:spacing w:after="0"/>
              <w:rPr>
                <w:sz w:val="20"/>
                <w:szCs w:val="20"/>
                <w:color w:val="auto"/>
              </w:rPr>
            </w:pPr>
            <w:r>
              <w:rPr>
                <w:rFonts w:ascii="Arial" w:cs="Arial" w:eastAsia="Arial" w:hAnsi="Arial"/>
                <w:sz w:val="12"/>
                <w:szCs w:val="12"/>
                <w:b w:val="1"/>
                <w:bCs w:val="1"/>
                <w:color w:val="FFFFFF"/>
              </w:rPr>
              <w:t>Year-End Fair Value of</w:t>
            </w:r>
          </w:p>
        </w:tc>
        <w:tc>
          <w:tcPr>
            <w:tcW w:w="1740" w:type="dxa"/>
            <w:vAlign w:val="bottom"/>
            <w:gridSpan w:val="2"/>
            <w:vMerge w:val="continue"/>
            <w:shd w:val="clear" w:color="auto" w:fill="005CB9"/>
          </w:tcPr>
          <w:p>
            <w:pPr>
              <w:spacing w:after="0"/>
              <w:rPr>
                <w:sz w:val="11"/>
                <w:szCs w:val="11"/>
                <w:color w:val="auto"/>
              </w:rPr>
            </w:pPr>
          </w:p>
        </w:tc>
        <w:tc>
          <w:tcPr>
            <w:tcW w:w="1700" w:type="dxa"/>
            <w:vAlign w:val="bottom"/>
            <w:gridSpan w:val="2"/>
            <w:vMerge w:val="continue"/>
            <w:shd w:val="clear" w:color="auto" w:fill="005CB9"/>
          </w:tcPr>
          <w:p>
            <w:pPr>
              <w:spacing w:after="0"/>
              <w:rPr>
                <w:sz w:val="11"/>
                <w:szCs w:val="11"/>
                <w:color w:val="auto"/>
              </w:rPr>
            </w:pPr>
          </w:p>
        </w:tc>
        <w:tc>
          <w:tcPr>
            <w:tcW w:w="19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between Prior Year-End</w:t>
            </w:r>
          </w:p>
        </w:tc>
        <w:tc>
          <w:tcPr>
            <w:tcW w:w="1400" w:type="dxa"/>
            <w:vAlign w:val="bottom"/>
            <w:gridSpan w:val="2"/>
            <w:vMerge w:val="continue"/>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shd w:val="clear" w:color="auto" w:fill="005CB9"/>
          </w:tcPr>
          <w:p>
            <w:pPr>
              <w:spacing w:after="0"/>
              <w:rPr>
                <w:sz w:val="11"/>
                <w:szCs w:val="11"/>
                <w:color w:val="auto"/>
              </w:rPr>
            </w:pPr>
          </w:p>
        </w:tc>
        <w:tc>
          <w:tcPr>
            <w:tcW w:w="1980" w:type="dxa"/>
            <w:vAlign w:val="bottom"/>
            <w:gridSpan w:val="2"/>
            <w:vMerge w:val="continue"/>
            <w:shd w:val="clear" w:color="auto" w:fill="005CB9"/>
          </w:tcPr>
          <w:p>
            <w:pPr>
              <w:spacing w:after="0"/>
              <w:rPr>
                <w:sz w:val="11"/>
                <w:szCs w:val="11"/>
                <w:color w:val="auto"/>
              </w:rPr>
            </w:pPr>
          </w:p>
        </w:tc>
        <w:tc>
          <w:tcPr>
            <w:tcW w:w="174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of Prior Years’ Equity</w:t>
            </w:r>
          </w:p>
        </w:tc>
        <w:tc>
          <w:tcPr>
            <w:tcW w:w="17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Awards Granted and</w:t>
            </w:r>
          </w:p>
        </w:tc>
        <w:tc>
          <w:tcPr>
            <w:tcW w:w="19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and Vest Date of Equity</w:t>
            </w:r>
          </w:p>
        </w:tc>
        <w:tc>
          <w:tcPr>
            <w:tcW w:w="1400" w:type="dxa"/>
            <w:vAlign w:val="bottom"/>
            <w:gridSpan w:val="2"/>
            <w:shd w:val="clear" w:color="auto" w:fill="005CB9"/>
          </w:tcPr>
          <w:p>
            <w:pPr>
              <w:jc w:val="center"/>
              <w:ind w:left="158"/>
              <w:spacing w:after="0" w:line="134" w:lineRule="exact"/>
              <w:rPr>
                <w:sz w:val="20"/>
                <w:szCs w:val="20"/>
                <w:color w:val="auto"/>
              </w:rPr>
            </w:pPr>
            <w:r>
              <w:rPr>
                <w:rFonts w:ascii="Arial" w:cs="Arial" w:eastAsia="Arial" w:hAnsi="Arial"/>
                <w:sz w:val="12"/>
                <w:szCs w:val="12"/>
                <w:b w:val="1"/>
                <w:bCs w:val="1"/>
                <w:color w:val="FFFFFF"/>
              </w:rPr>
              <w:t xml:space="preserve"> and Option Award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vMerge w:val="restart"/>
            <w:shd w:val="clear" w:color="auto" w:fill="005CB9"/>
          </w:tcPr>
          <w:p>
            <w:pPr>
              <w:ind w:left="60"/>
              <w:spacing w:after="0"/>
              <w:rPr>
                <w:sz w:val="20"/>
                <w:szCs w:val="20"/>
                <w:color w:val="auto"/>
              </w:rPr>
            </w:pPr>
            <w:r>
              <w:rPr>
                <w:rFonts w:ascii="Arial" w:cs="Arial" w:eastAsia="Arial" w:hAnsi="Arial"/>
                <w:sz w:val="12"/>
                <w:szCs w:val="12"/>
                <w:b w:val="1"/>
                <w:bCs w:val="1"/>
                <w:color w:val="FFFFFF"/>
              </w:rPr>
              <w:t>Year</w:t>
            </w:r>
          </w:p>
        </w:tc>
        <w:tc>
          <w:tcPr>
            <w:tcW w:w="1980" w:type="dxa"/>
            <w:vAlign w:val="bottom"/>
            <w:gridSpan w:val="2"/>
            <w:shd w:val="clear" w:color="auto" w:fill="005CB9"/>
          </w:tcPr>
          <w:p>
            <w:pPr>
              <w:jc w:val="center"/>
              <w:ind w:left="138"/>
              <w:spacing w:after="0" w:line="134" w:lineRule="exact"/>
              <w:rPr>
                <w:sz w:val="20"/>
                <w:szCs w:val="20"/>
                <w:color w:val="auto"/>
              </w:rPr>
            </w:pPr>
            <w:r>
              <w:rPr>
                <w:rFonts w:ascii="Arial" w:cs="Arial" w:eastAsia="Arial" w:hAnsi="Arial"/>
                <w:sz w:val="12"/>
                <w:szCs w:val="12"/>
                <w:b w:val="1"/>
                <w:bCs w:val="1"/>
                <w:color w:val="FFFFFF"/>
              </w:rPr>
              <w:t>Current Year Equity</w:t>
            </w:r>
          </w:p>
        </w:tc>
        <w:tc>
          <w:tcPr>
            <w:tcW w:w="174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Awards Unvested at</w:t>
            </w:r>
          </w:p>
        </w:tc>
        <w:tc>
          <w:tcPr>
            <w:tcW w:w="17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Vested in Same</w:t>
            </w:r>
          </w:p>
        </w:tc>
        <w:tc>
          <w:tcPr>
            <w:tcW w:w="19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Awards Vested in</w:t>
            </w:r>
          </w:p>
        </w:tc>
        <w:tc>
          <w:tcPr>
            <w:tcW w:w="1400" w:type="dxa"/>
            <w:vAlign w:val="bottom"/>
            <w:gridSpan w:val="2"/>
            <w:shd w:val="clear" w:color="auto" w:fill="005CB9"/>
          </w:tcPr>
          <w:p>
            <w:pPr>
              <w:jc w:val="center"/>
              <w:ind w:left="178"/>
              <w:spacing w:after="0" w:line="134" w:lineRule="exact"/>
              <w:rPr>
                <w:sz w:val="20"/>
                <w:szCs w:val="20"/>
                <w:color w:val="auto"/>
              </w:rPr>
            </w:pPr>
            <w:r>
              <w:rPr>
                <w:rFonts w:ascii="Arial" w:cs="Arial" w:eastAsia="Arial" w:hAnsi="Arial"/>
                <w:sz w:val="12"/>
                <w:szCs w:val="12"/>
                <w:b w:val="1"/>
                <w:bCs w:val="1"/>
                <w:color w:val="FFFFFF"/>
              </w:rPr>
              <w:t>Values Included in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 w:type="dxa"/>
            <w:vAlign w:val="bottom"/>
            <w:vMerge w:val="continue"/>
            <w:shd w:val="clear" w:color="auto" w:fill="005CB9"/>
          </w:tcPr>
          <w:p>
            <w:pPr>
              <w:spacing w:after="0"/>
              <w:rPr>
                <w:sz w:val="19"/>
                <w:szCs w:val="19"/>
                <w:color w:val="auto"/>
              </w:rPr>
            </w:pPr>
          </w:p>
        </w:tc>
        <w:tc>
          <w:tcPr>
            <w:tcW w:w="1980" w:type="dxa"/>
            <w:vAlign w:val="bottom"/>
            <w:gridSpan w:val="2"/>
            <w:shd w:val="clear" w:color="auto" w:fill="005CB9"/>
          </w:tcPr>
          <w:p>
            <w:pPr>
              <w:jc w:val="center"/>
              <w:ind w:left="158"/>
              <w:spacing w:after="0"/>
              <w:rPr>
                <w:sz w:val="20"/>
                <w:szCs w:val="20"/>
                <w:color w:val="auto"/>
              </w:rPr>
            </w:pPr>
            <w:r>
              <w:rPr>
                <w:rFonts w:ascii="Arial" w:cs="Arial" w:eastAsia="Arial" w:hAnsi="Arial"/>
                <w:sz w:val="12"/>
                <w:szCs w:val="12"/>
                <w:b w:val="1"/>
                <w:bCs w:val="1"/>
                <w:color w:val="FFFFFF"/>
                <w:w w:val="98"/>
              </w:rPr>
              <w:t>Awards</w:t>
            </w:r>
            <w:r>
              <w:rPr>
                <w:rFonts w:ascii="Arial" w:cs="Arial" w:eastAsia="Arial" w:hAnsi="Arial"/>
                <w:sz w:val="15"/>
                <w:szCs w:val="15"/>
                <w:b w:val="1"/>
                <w:bCs w:val="1"/>
                <w:color w:val="FFFFFF"/>
                <w:w w:val="98"/>
                <w:vertAlign w:val="superscript"/>
              </w:rPr>
              <w:t>(i)</w:t>
            </w:r>
          </w:p>
        </w:tc>
        <w:tc>
          <w:tcPr>
            <w:tcW w:w="174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w w:val="95"/>
              </w:rPr>
              <w:t>Year-End</w:t>
            </w:r>
            <w:r>
              <w:rPr>
                <w:rFonts w:ascii="Arial" w:cs="Arial" w:eastAsia="Arial" w:hAnsi="Arial"/>
                <w:sz w:val="15"/>
                <w:szCs w:val="15"/>
                <w:b w:val="1"/>
                <w:bCs w:val="1"/>
                <w:color w:val="FFFFFF"/>
                <w:w w:val="95"/>
                <w:vertAlign w:val="superscript"/>
              </w:rPr>
              <w:t>(ii)</w:t>
            </w:r>
          </w:p>
        </w:tc>
        <w:tc>
          <w:tcPr>
            <w:tcW w:w="1080" w:type="dxa"/>
            <w:vAlign w:val="bottom"/>
            <w:shd w:val="clear" w:color="auto" w:fill="005CB9"/>
          </w:tcPr>
          <w:p>
            <w:pPr>
              <w:jc w:val="center"/>
              <w:ind w:left="559"/>
              <w:spacing w:after="0" w:line="219" w:lineRule="exact"/>
              <w:rPr>
                <w:sz w:val="20"/>
                <w:szCs w:val="20"/>
                <w:color w:val="auto"/>
              </w:rPr>
            </w:pPr>
            <w:r>
              <w:rPr>
                <w:rFonts w:ascii="Arial" w:cs="Arial" w:eastAsia="Arial" w:hAnsi="Arial"/>
                <w:sz w:val="24"/>
                <w:szCs w:val="24"/>
                <w:b w:val="1"/>
                <w:bCs w:val="1"/>
                <w:color w:val="FFFFFF"/>
                <w:w w:val="81"/>
                <w:vertAlign w:val="subscript"/>
              </w:rPr>
              <w:t>Year</w:t>
            </w:r>
            <w:r>
              <w:rPr>
                <w:rFonts w:ascii="Arial" w:cs="Arial" w:eastAsia="Arial" w:hAnsi="Arial"/>
                <w:sz w:val="8"/>
                <w:szCs w:val="8"/>
                <w:b w:val="1"/>
                <w:bCs w:val="1"/>
                <w:color w:val="FFFFFF"/>
                <w:w w:val="81"/>
              </w:rPr>
              <w:t>(iii)</w:t>
            </w:r>
          </w:p>
        </w:tc>
        <w:tc>
          <w:tcPr>
            <w:tcW w:w="620" w:type="dxa"/>
            <w:vAlign w:val="bottom"/>
            <w:shd w:val="clear" w:color="auto" w:fill="005CB9"/>
          </w:tcPr>
          <w:p>
            <w:pPr>
              <w:spacing w:after="0"/>
              <w:rPr>
                <w:sz w:val="19"/>
                <w:szCs w:val="19"/>
                <w:color w:val="auto"/>
              </w:rPr>
            </w:pPr>
          </w:p>
        </w:tc>
        <w:tc>
          <w:tcPr>
            <w:tcW w:w="190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w w:val="98"/>
              </w:rPr>
              <w:t>Current Year</w:t>
            </w:r>
            <w:r>
              <w:rPr>
                <w:rFonts w:ascii="Arial" w:cs="Arial" w:eastAsia="Arial" w:hAnsi="Arial"/>
                <w:sz w:val="15"/>
                <w:szCs w:val="15"/>
                <w:b w:val="1"/>
                <w:bCs w:val="1"/>
                <w:color w:val="FFFFFF"/>
                <w:w w:val="98"/>
                <w:vertAlign w:val="superscript"/>
              </w:rPr>
              <w:t>(iv)</w:t>
            </w:r>
          </w:p>
        </w:tc>
        <w:tc>
          <w:tcPr>
            <w:tcW w:w="1400" w:type="dxa"/>
            <w:vAlign w:val="bottom"/>
            <w:gridSpan w:val="2"/>
            <w:shd w:val="clear" w:color="auto" w:fill="005CB9"/>
          </w:tcPr>
          <w:p>
            <w:pPr>
              <w:jc w:val="center"/>
              <w:ind w:left="178"/>
              <w:spacing w:after="0"/>
              <w:rPr>
                <w:sz w:val="20"/>
                <w:szCs w:val="20"/>
                <w:color w:val="auto"/>
              </w:rPr>
            </w:pPr>
            <w:r>
              <w:rPr>
                <w:rFonts w:ascii="Arial" w:cs="Arial" w:eastAsia="Arial" w:hAnsi="Arial"/>
                <w:sz w:val="12"/>
                <w:szCs w:val="12"/>
                <w:b w:val="1"/>
                <w:bCs w:val="1"/>
                <w:color w:val="FFFFFF"/>
              </w:rPr>
              <w:t>CAP</w:t>
            </w:r>
          </w:p>
        </w:tc>
        <w:tc>
          <w:tcPr>
            <w:tcW w:w="0" w:type="dxa"/>
            <w:vAlign w:val="bottom"/>
          </w:tcPr>
          <w:p>
            <w:pPr>
              <w:spacing w:after="0"/>
              <w:rPr>
                <w:sz w:val="1"/>
                <w:szCs w:val="1"/>
                <w:color w:val="auto"/>
              </w:rPr>
            </w:pPr>
          </w:p>
        </w:tc>
      </w:tr>
      <w:tr>
        <w:trPr>
          <w:trHeight w:val="227"/>
        </w:trPr>
        <w:tc>
          <w:tcPr>
            <w:tcW w:w="780" w:type="dxa"/>
            <w:vAlign w:val="bottom"/>
            <w:gridSpan w:val="2"/>
          </w:tcPr>
          <w:p>
            <w:pPr>
              <w:ind w:left="80"/>
              <w:spacing w:after="0"/>
              <w:rPr>
                <w:sz w:val="20"/>
                <w:szCs w:val="20"/>
                <w:color w:val="auto"/>
              </w:rPr>
            </w:pPr>
            <w:r>
              <w:rPr>
                <w:rFonts w:ascii="Arial" w:cs="Arial" w:eastAsia="Arial" w:hAnsi="Arial"/>
                <w:sz w:val="12"/>
                <w:szCs w:val="12"/>
                <w:color w:val="auto"/>
              </w:rPr>
              <w:t>2025</w:t>
            </w:r>
          </w:p>
        </w:tc>
        <w:tc>
          <w:tcPr>
            <w:tcW w:w="1980" w:type="dxa"/>
            <w:vAlign w:val="bottom"/>
            <w:gridSpan w:val="2"/>
          </w:tcPr>
          <w:p>
            <w:pPr>
              <w:jc w:val="right"/>
              <w:ind w:right="238"/>
              <w:spacing w:after="0"/>
              <w:rPr>
                <w:sz w:val="20"/>
                <w:szCs w:val="20"/>
                <w:color w:val="auto"/>
              </w:rPr>
            </w:pPr>
            <w:r>
              <w:rPr>
                <w:rFonts w:ascii="Arial" w:cs="Arial" w:eastAsia="Arial" w:hAnsi="Arial"/>
                <w:sz w:val="12"/>
                <w:szCs w:val="12"/>
                <w:color w:val="auto"/>
              </w:rPr>
              <w:t>$ 15,828,864</w:t>
            </w:r>
          </w:p>
        </w:tc>
        <w:tc>
          <w:tcPr>
            <w:tcW w:w="1740" w:type="dxa"/>
            <w:vAlign w:val="bottom"/>
            <w:gridSpan w:val="2"/>
          </w:tcPr>
          <w:p>
            <w:pPr>
              <w:ind w:left="700"/>
              <w:spacing w:after="0"/>
              <w:rPr>
                <w:sz w:val="20"/>
                <w:szCs w:val="20"/>
                <w:color w:val="auto"/>
              </w:rPr>
            </w:pPr>
            <w:r>
              <w:rPr>
                <w:rFonts w:ascii="Arial" w:cs="Arial" w:eastAsia="Arial" w:hAnsi="Arial"/>
                <w:sz w:val="12"/>
                <w:szCs w:val="12"/>
                <w:color w:val="auto"/>
              </w:rPr>
              <w:t>$ (11,119,343)</w:t>
            </w:r>
          </w:p>
        </w:tc>
        <w:tc>
          <w:tcPr>
            <w:tcW w:w="1080" w:type="dxa"/>
            <w:vAlign w:val="bottom"/>
          </w:tcPr>
          <w:p>
            <w:pPr>
              <w:ind w:left="780"/>
              <w:spacing w:after="0"/>
              <w:rPr>
                <w:sz w:val="20"/>
                <w:szCs w:val="20"/>
                <w:color w:val="auto"/>
              </w:rPr>
            </w:pPr>
            <w:r>
              <w:rPr>
                <w:rFonts w:ascii="Arial" w:cs="Arial" w:eastAsia="Arial" w:hAnsi="Arial"/>
                <w:sz w:val="12"/>
                <w:szCs w:val="12"/>
                <w:color w:val="auto"/>
              </w:rPr>
              <w:t xml:space="preserve">$    </w:t>
            </w:r>
          </w:p>
        </w:tc>
        <w:tc>
          <w:tcPr>
            <w:tcW w:w="620" w:type="dxa"/>
            <w:vAlign w:val="bottom"/>
          </w:tcPr>
          <w:p>
            <w:pPr>
              <w:ind w:left="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9"/>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238"/>
              <w:spacing w:after="0"/>
              <w:rPr>
                <w:sz w:val="20"/>
                <w:szCs w:val="20"/>
                <w:color w:val="auto"/>
              </w:rPr>
            </w:pPr>
            <w:r>
              <w:rPr>
                <w:rFonts w:ascii="Arial" w:cs="Arial" w:eastAsia="Arial" w:hAnsi="Arial"/>
                <w:sz w:val="12"/>
                <w:szCs w:val="12"/>
                <w:color w:val="auto"/>
              </w:rPr>
              <w:t>(952,755)</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3,756,766</w:t>
            </w:r>
          </w:p>
        </w:tc>
        <w:tc>
          <w:tcPr>
            <w:tcW w:w="0" w:type="dxa"/>
            <w:vAlign w:val="bottom"/>
          </w:tcPr>
          <w:p>
            <w:pPr>
              <w:spacing w:after="0"/>
              <w:rPr>
                <w:sz w:val="1"/>
                <w:szCs w:val="1"/>
                <w:color w:val="auto"/>
              </w:rPr>
            </w:pPr>
          </w:p>
        </w:tc>
      </w:tr>
      <w:tr>
        <w:trPr>
          <w:trHeight w:val="54"/>
        </w:trPr>
        <w:tc>
          <w:tcPr>
            <w:tcW w:w="780" w:type="dxa"/>
            <w:vAlign w:val="bottom"/>
            <w:gridSpan w:val="2"/>
          </w:tcPr>
          <w:p>
            <w:pPr>
              <w:spacing w:after="0"/>
              <w:rPr>
                <w:sz w:val="4"/>
                <w:szCs w:val="4"/>
                <w:color w:val="auto"/>
              </w:rPr>
            </w:pPr>
          </w:p>
        </w:tc>
        <w:tc>
          <w:tcPr>
            <w:tcW w:w="198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tcBorders>
              <w:top w:val="single" w:sz="8" w:color="7F7F7F"/>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2024</w:t>
            </w:r>
          </w:p>
        </w:tc>
        <w:tc>
          <w:tcPr>
            <w:tcW w:w="1980" w:type="dxa"/>
            <w:vAlign w:val="bottom"/>
            <w:tcBorders>
              <w:top w:val="single" w:sz="8" w:color="7F7F7F"/>
              <w:bottom w:val="single" w:sz="8" w:color="F2F2F2"/>
            </w:tcBorders>
            <w:gridSpan w:val="2"/>
            <w:shd w:val="clear" w:color="auto" w:fill="F2F2F2"/>
          </w:tcPr>
          <w:p>
            <w:pPr>
              <w:jc w:val="right"/>
              <w:ind w:right="238"/>
              <w:spacing w:after="0"/>
              <w:rPr>
                <w:sz w:val="20"/>
                <w:szCs w:val="20"/>
                <w:color w:val="auto"/>
              </w:rPr>
            </w:pPr>
            <w:r>
              <w:rPr>
                <w:rFonts w:ascii="Arial" w:cs="Arial" w:eastAsia="Arial" w:hAnsi="Arial"/>
                <w:sz w:val="12"/>
                <w:szCs w:val="12"/>
                <w:color w:val="auto"/>
              </w:rPr>
              <w:t>$ 16,397,753</w:t>
            </w:r>
          </w:p>
        </w:tc>
        <w:tc>
          <w:tcPr>
            <w:tcW w:w="820" w:type="dxa"/>
            <w:vAlign w:val="bottom"/>
            <w:tcBorders>
              <w:top w:val="single" w:sz="8" w:color="7F7F7F"/>
              <w:bottom w:val="single" w:sz="8" w:color="F2F2F2"/>
            </w:tcBorders>
            <w:shd w:val="clear" w:color="auto" w:fill="F2F2F2"/>
          </w:tcPr>
          <w:p>
            <w:pPr>
              <w:ind w:left="7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7F7F7F"/>
              <w:bottom w:val="single" w:sz="8" w:color="F2F2F2"/>
            </w:tcBorders>
            <w:shd w:val="clear" w:color="auto" w:fill="F2F2F2"/>
          </w:tcPr>
          <w:p>
            <w:pPr>
              <w:jc w:val="right"/>
              <w:ind w:right="238"/>
              <w:spacing w:after="0"/>
              <w:rPr>
                <w:sz w:val="20"/>
                <w:szCs w:val="20"/>
                <w:color w:val="auto"/>
              </w:rPr>
            </w:pPr>
            <w:r>
              <w:rPr>
                <w:rFonts w:ascii="Arial" w:cs="Arial" w:eastAsia="Arial" w:hAnsi="Arial"/>
                <w:sz w:val="12"/>
                <w:szCs w:val="12"/>
                <w:color w:val="auto"/>
              </w:rPr>
              <w:t>4,438,893</w:t>
            </w:r>
          </w:p>
        </w:tc>
        <w:tc>
          <w:tcPr>
            <w:tcW w:w="1080" w:type="dxa"/>
            <w:vAlign w:val="bottom"/>
            <w:tcBorders>
              <w:top w:val="single" w:sz="8" w:color="7F7F7F"/>
              <w:bottom w:val="single" w:sz="8" w:color="F2F2F2"/>
            </w:tcBorders>
            <w:shd w:val="clear" w:color="auto" w:fill="F2F2F2"/>
          </w:tcPr>
          <w:p>
            <w:pPr>
              <w:ind w:left="78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bottom w:val="single" w:sz="8" w:color="F2F2F2"/>
            </w:tcBorders>
            <w:shd w:val="clear" w:color="auto" w:fill="F2F2F2"/>
          </w:tcPr>
          <w:p>
            <w:pPr>
              <w:ind w:left="4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bottom w:val="single" w:sz="8" w:color="F2F2F2"/>
            </w:tcBorders>
            <w:shd w:val="clear" w:color="auto" w:fill="F2F2F2"/>
          </w:tcPr>
          <w:p>
            <w:pPr>
              <w:jc w:val="right"/>
              <w:ind w:right="19"/>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bottom w:val="single" w:sz="8" w:color="F2F2F2"/>
            </w:tcBorders>
            <w:shd w:val="clear" w:color="auto" w:fill="F2F2F2"/>
          </w:tcPr>
          <w:p>
            <w:pPr>
              <w:jc w:val="right"/>
              <w:ind w:right="238"/>
              <w:spacing w:after="0"/>
              <w:rPr>
                <w:sz w:val="20"/>
                <w:szCs w:val="20"/>
                <w:color w:val="auto"/>
              </w:rPr>
            </w:pPr>
            <w:r>
              <w:rPr>
                <w:rFonts w:ascii="Arial" w:cs="Arial" w:eastAsia="Arial" w:hAnsi="Arial"/>
                <w:sz w:val="12"/>
                <w:szCs w:val="12"/>
                <w:color w:val="auto"/>
              </w:rPr>
              <w:t>(259,645)</w:t>
            </w:r>
          </w:p>
        </w:tc>
        <w:tc>
          <w:tcPr>
            <w:tcW w:w="1400" w:type="dxa"/>
            <w:vAlign w:val="bottom"/>
            <w:tcBorders>
              <w:top w:val="single" w:sz="8" w:color="7F7F7F"/>
              <w:bottom w:val="single" w:sz="8" w:color="F2F2F2"/>
            </w:tcBorders>
            <w:gridSpan w:val="2"/>
            <w:shd w:val="clear" w:color="auto" w:fill="F2F2F2"/>
          </w:tcPr>
          <w:p>
            <w:pPr>
              <w:jc w:val="right"/>
              <w:spacing w:after="0"/>
              <w:rPr>
                <w:sz w:val="20"/>
                <w:szCs w:val="20"/>
                <w:color w:val="auto"/>
              </w:rPr>
            </w:pPr>
            <w:r>
              <w:rPr>
                <w:rFonts w:ascii="Arial" w:cs="Arial" w:eastAsia="Arial" w:hAnsi="Arial"/>
                <w:sz w:val="12"/>
                <w:szCs w:val="12"/>
                <w:color w:val="auto"/>
              </w:rPr>
              <w:t>$ 20,577,001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2023</w:t>
            </w:r>
          </w:p>
        </w:tc>
        <w:tc>
          <w:tcPr>
            <w:tcW w:w="11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tcBorders>
          </w:tcPr>
          <w:p>
            <w:pPr>
              <w:jc w:val="right"/>
              <w:ind w:right="238"/>
              <w:spacing w:after="0"/>
              <w:rPr>
                <w:sz w:val="20"/>
                <w:szCs w:val="20"/>
                <w:color w:val="auto"/>
              </w:rPr>
            </w:pPr>
            <w:r>
              <w:rPr>
                <w:rFonts w:ascii="Arial" w:cs="Arial" w:eastAsia="Arial" w:hAnsi="Arial"/>
                <w:sz w:val="12"/>
                <w:szCs w:val="12"/>
                <w:color w:val="auto"/>
              </w:rPr>
              <w:t>8,182,275</w:t>
            </w:r>
          </w:p>
        </w:tc>
        <w:tc>
          <w:tcPr>
            <w:tcW w:w="820" w:type="dxa"/>
            <w:vAlign w:val="bottom"/>
            <w:tcBorders>
              <w:top w:val="single" w:sz="8" w:color="7F7F7F"/>
            </w:tcBorders>
          </w:tcPr>
          <w:p>
            <w:pPr>
              <w:ind w:left="7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7F7F7F"/>
            </w:tcBorders>
          </w:tcPr>
          <w:p>
            <w:pPr>
              <w:jc w:val="right"/>
              <w:ind w:right="198"/>
              <w:spacing w:after="0"/>
              <w:rPr>
                <w:sz w:val="20"/>
                <w:szCs w:val="20"/>
                <w:color w:val="auto"/>
              </w:rPr>
            </w:pPr>
            <w:r>
              <w:rPr>
                <w:rFonts w:ascii="Arial" w:cs="Arial" w:eastAsia="Arial" w:hAnsi="Arial"/>
                <w:sz w:val="12"/>
                <w:szCs w:val="12"/>
                <w:color w:val="auto"/>
              </w:rPr>
              <w:t>(2,356,136)</w:t>
            </w:r>
          </w:p>
        </w:tc>
        <w:tc>
          <w:tcPr>
            <w:tcW w:w="1080" w:type="dxa"/>
            <w:vAlign w:val="bottom"/>
            <w:tcBorders>
              <w:top w:val="single" w:sz="8" w:color="7F7F7F"/>
            </w:tcBorders>
          </w:tcPr>
          <w:p>
            <w:pPr>
              <w:ind w:left="78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tcPr>
          <w:p>
            <w:pPr>
              <w:ind w:left="40"/>
              <w:spacing w:after="0"/>
              <w:rPr>
                <w:sz w:val="20"/>
                <w:szCs w:val="20"/>
                <w:color w:val="auto"/>
              </w:rPr>
            </w:pPr>
            <w:r>
              <w:rPr>
                <w:rFonts w:ascii="Arial" w:cs="Arial" w:eastAsia="Arial" w:hAnsi="Arial"/>
                <w:sz w:val="12"/>
                <w:szCs w:val="12"/>
                <w:color w:val="auto"/>
              </w:rPr>
              <w:t>—</w:t>
            </w:r>
          </w:p>
        </w:tc>
        <w:tc>
          <w:tcPr>
            <w:tcW w:w="1900" w:type="dxa"/>
            <w:vAlign w:val="bottom"/>
            <w:tcBorders>
              <w:top w:val="single" w:sz="8" w:color="7F7F7F"/>
            </w:tcBorders>
            <w:gridSpan w:val="2"/>
          </w:tcPr>
          <w:p>
            <w:pPr>
              <w:jc w:val="right"/>
              <w:ind w:right="238"/>
              <w:spacing w:after="0"/>
              <w:rPr>
                <w:sz w:val="20"/>
                <w:szCs w:val="20"/>
                <w:color w:val="auto"/>
              </w:rPr>
            </w:pPr>
            <w:r>
              <w:rPr>
                <w:rFonts w:ascii="Arial" w:cs="Arial" w:eastAsia="Arial" w:hAnsi="Arial"/>
                <w:sz w:val="12"/>
                <w:szCs w:val="12"/>
                <w:color w:val="auto"/>
              </w:rPr>
              <w:t>$ (2,562,246)</w:t>
            </w:r>
          </w:p>
        </w:tc>
        <w:tc>
          <w:tcPr>
            <w:tcW w:w="7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3,263,893</w:t>
            </w:r>
          </w:p>
        </w:tc>
        <w:tc>
          <w:tcPr>
            <w:tcW w:w="0" w:type="dxa"/>
            <w:vAlign w:val="bottom"/>
          </w:tcPr>
          <w:p>
            <w:pPr>
              <w:spacing w:after="0"/>
              <w:rPr>
                <w:sz w:val="1"/>
                <w:szCs w:val="1"/>
                <w:color w:val="auto"/>
              </w:rPr>
            </w:pPr>
          </w:p>
        </w:tc>
      </w:tr>
      <w:tr>
        <w:trPr>
          <w:trHeight w:val="54"/>
        </w:trPr>
        <w:tc>
          <w:tcPr>
            <w:tcW w:w="780" w:type="dxa"/>
            <w:vAlign w:val="bottom"/>
            <w:gridSpan w:val="2"/>
          </w:tcPr>
          <w:p>
            <w:pPr>
              <w:spacing w:after="0"/>
              <w:rPr>
                <w:sz w:val="4"/>
                <w:szCs w:val="4"/>
                <w:color w:val="auto"/>
              </w:rPr>
            </w:pPr>
          </w:p>
        </w:tc>
        <w:tc>
          <w:tcPr>
            <w:tcW w:w="1980" w:type="dxa"/>
            <w:vAlign w:val="bottom"/>
            <w:gridSpan w:val="2"/>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60" w:type="dxa"/>
            <w:vAlign w:val="bottom"/>
            <w:tcBorders>
              <w:top w:val="single" w:sz="8" w:color="7F7F7F"/>
              <w:bottom w:val="single" w:sz="8" w:color="F2F2F2"/>
            </w:tcBorders>
            <w:shd w:val="clear" w:color="auto" w:fill="F2F2F2"/>
          </w:tcPr>
          <w:p>
            <w:pPr>
              <w:ind w:left="60"/>
              <w:spacing w:after="0"/>
              <w:rPr>
                <w:sz w:val="20"/>
                <w:szCs w:val="20"/>
                <w:color w:val="auto"/>
              </w:rPr>
            </w:pPr>
            <w:r>
              <w:rPr>
                <w:rFonts w:ascii="Arial" w:cs="Arial" w:eastAsia="Arial" w:hAnsi="Arial"/>
                <w:sz w:val="12"/>
                <w:szCs w:val="12"/>
                <w:color w:val="auto"/>
              </w:rPr>
              <w:t>2022</w:t>
            </w:r>
          </w:p>
        </w:tc>
        <w:tc>
          <w:tcPr>
            <w:tcW w:w="1980" w:type="dxa"/>
            <w:vAlign w:val="bottom"/>
            <w:tcBorders>
              <w:top w:val="single" w:sz="8" w:color="7F7F7F"/>
              <w:bottom w:val="single" w:sz="8" w:color="F2F2F2"/>
            </w:tcBorders>
            <w:gridSpan w:val="2"/>
            <w:shd w:val="clear" w:color="auto" w:fill="F2F2F2"/>
          </w:tcPr>
          <w:p>
            <w:pPr>
              <w:jc w:val="right"/>
              <w:ind w:right="238"/>
              <w:spacing w:after="0"/>
              <w:rPr>
                <w:sz w:val="20"/>
                <w:szCs w:val="20"/>
                <w:color w:val="auto"/>
              </w:rPr>
            </w:pPr>
            <w:r>
              <w:rPr>
                <w:rFonts w:ascii="Arial" w:cs="Arial" w:eastAsia="Arial" w:hAnsi="Arial"/>
                <w:sz w:val="12"/>
                <w:szCs w:val="12"/>
                <w:color w:val="auto"/>
              </w:rPr>
              <w:t>$ 16,322,830</w:t>
            </w:r>
          </w:p>
        </w:tc>
        <w:tc>
          <w:tcPr>
            <w:tcW w:w="820" w:type="dxa"/>
            <w:vAlign w:val="bottom"/>
            <w:tcBorders>
              <w:top w:val="single" w:sz="8" w:color="7F7F7F"/>
              <w:bottom w:val="single" w:sz="8" w:color="F2F2F2"/>
            </w:tcBorders>
            <w:shd w:val="clear" w:color="auto" w:fill="F2F2F2"/>
          </w:tcPr>
          <w:p>
            <w:pPr>
              <w:ind w:left="7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7F7F7F"/>
              <w:bottom w:val="single" w:sz="8" w:color="F2F2F2"/>
            </w:tcBorders>
            <w:shd w:val="clear" w:color="auto" w:fill="F2F2F2"/>
          </w:tcPr>
          <w:p>
            <w:pPr>
              <w:jc w:val="right"/>
              <w:ind w:right="238"/>
              <w:spacing w:after="0"/>
              <w:rPr>
                <w:sz w:val="20"/>
                <w:szCs w:val="20"/>
                <w:color w:val="auto"/>
              </w:rPr>
            </w:pPr>
            <w:r>
              <w:rPr>
                <w:rFonts w:ascii="Arial" w:cs="Arial" w:eastAsia="Arial" w:hAnsi="Arial"/>
                <w:sz w:val="12"/>
                <w:szCs w:val="12"/>
                <w:color w:val="auto"/>
              </w:rPr>
              <w:t>9,756,433</w:t>
            </w:r>
          </w:p>
        </w:tc>
        <w:tc>
          <w:tcPr>
            <w:tcW w:w="1080" w:type="dxa"/>
            <w:vAlign w:val="bottom"/>
            <w:tcBorders>
              <w:top w:val="single" w:sz="8" w:color="7F7F7F"/>
              <w:bottom w:val="single" w:sz="8" w:color="F2F2F2"/>
            </w:tcBorders>
            <w:shd w:val="clear" w:color="auto" w:fill="F2F2F2"/>
          </w:tcPr>
          <w:p>
            <w:pPr>
              <w:ind w:left="78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bottom w:val="single" w:sz="8" w:color="F2F2F2"/>
            </w:tcBorders>
            <w:shd w:val="clear" w:color="auto" w:fill="F2F2F2"/>
          </w:tcPr>
          <w:p>
            <w:pPr>
              <w:ind w:left="4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bottom w:val="single" w:sz="8" w:color="F2F2F2"/>
            </w:tcBorders>
            <w:shd w:val="clear" w:color="auto" w:fill="F2F2F2"/>
          </w:tcPr>
          <w:p>
            <w:pPr>
              <w:jc w:val="right"/>
              <w:ind w:right="19"/>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bottom w:val="single" w:sz="8" w:color="F2F2F2"/>
            </w:tcBorders>
            <w:shd w:val="clear" w:color="auto" w:fill="F2F2F2"/>
          </w:tcPr>
          <w:p>
            <w:pPr>
              <w:jc w:val="right"/>
              <w:ind w:right="278"/>
              <w:spacing w:after="0"/>
              <w:rPr>
                <w:sz w:val="20"/>
                <w:szCs w:val="20"/>
                <w:color w:val="auto"/>
              </w:rPr>
            </w:pPr>
            <w:r>
              <w:rPr>
                <w:rFonts w:ascii="Arial" w:cs="Arial" w:eastAsia="Arial" w:hAnsi="Arial"/>
                <w:sz w:val="12"/>
                <w:szCs w:val="12"/>
                <w:color w:val="auto"/>
              </w:rPr>
              <w:t>223,808</w:t>
            </w:r>
          </w:p>
        </w:tc>
        <w:tc>
          <w:tcPr>
            <w:tcW w:w="1400" w:type="dxa"/>
            <w:vAlign w:val="bottom"/>
            <w:tcBorders>
              <w:top w:val="single" w:sz="8" w:color="7F7F7F"/>
              <w:bottom w:val="single" w:sz="8" w:color="F2F2F2"/>
            </w:tcBorders>
            <w:gridSpan w:val="2"/>
            <w:shd w:val="clear" w:color="auto" w:fill="F2F2F2"/>
          </w:tcPr>
          <w:p>
            <w:pPr>
              <w:jc w:val="right"/>
              <w:spacing w:after="0"/>
              <w:rPr>
                <w:sz w:val="20"/>
                <w:szCs w:val="20"/>
                <w:color w:val="auto"/>
              </w:rPr>
            </w:pPr>
            <w:r>
              <w:rPr>
                <w:rFonts w:ascii="Arial" w:cs="Arial" w:eastAsia="Arial" w:hAnsi="Arial"/>
                <w:sz w:val="12"/>
                <w:szCs w:val="12"/>
                <w:color w:val="auto"/>
              </w:rPr>
              <w:t>$ 26,303,071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2021</w:t>
            </w:r>
          </w:p>
        </w:tc>
        <w:tc>
          <w:tcPr>
            <w:tcW w:w="11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tcBorders>
          </w:tcPr>
          <w:p>
            <w:pPr>
              <w:jc w:val="right"/>
              <w:ind w:right="238"/>
              <w:spacing w:after="0"/>
              <w:rPr>
                <w:sz w:val="20"/>
                <w:szCs w:val="20"/>
                <w:color w:val="auto"/>
              </w:rPr>
            </w:pPr>
            <w:r>
              <w:rPr>
                <w:rFonts w:ascii="Arial" w:cs="Arial" w:eastAsia="Arial" w:hAnsi="Arial"/>
                <w:sz w:val="12"/>
                <w:szCs w:val="12"/>
                <w:color w:val="auto"/>
              </w:rPr>
              <w:t>9,523,749</w:t>
            </w:r>
          </w:p>
        </w:tc>
        <w:tc>
          <w:tcPr>
            <w:tcW w:w="820" w:type="dxa"/>
            <w:vAlign w:val="bottom"/>
            <w:tcBorders>
              <w:top w:val="single" w:sz="8" w:color="7F7F7F"/>
            </w:tcBorders>
          </w:tcPr>
          <w:p>
            <w:pPr>
              <w:ind w:left="7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7F7F7F"/>
            </w:tcBorders>
          </w:tcPr>
          <w:p>
            <w:pPr>
              <w:jc w:val="right"/>
              <w:ind w:right="198"/>
              <w:spacing w:after="0"/>
              <w:rPr>
                <w:sz w:val="20"/>
                <w:szCs w:val="20"/>
                <w:color w:val="auto"/>
              </w:rPr>
            </w:pPr>
            <w:r>
              <w:rPr>
                <w:rFonts w:ascii="Arial" w:cs="Arial" w:eastAsia="Arial" w:hAnsi="Arial"/>
                <w:sz w:val="12"/>
                <w:szCs w:val="12"/>
                <w:color w:val="auto"/>
              </w:rPr>
              <w:t>(5,293,383)</w:t>
            </w:r>
          </w:p>
        </w:tc>
        <w:tc>
          <w:tcPr>
            <w:tcW w:w="1080" w:type="dxa"/>
            <w:vAlign w:val="bottom"/>
            <w:tcBorders>
              <w:top w:val="single" w:sz="8" w:color="7F7F7F"/>
            </w:tcBorders>
          </w:tcPr>
          <w:p>
            <w:pPr>
              <w:ind w:left="78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tcPr>
          <w:p>
            <w:pPr>
              <w:ind w:left="4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tcBorders>
          </w:tcPr>
          <w:p>
            <w:pPr>
              <w:jc w:val="right"/>
              <w:ind w:right="19"/>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tcBorders>
          </w:tcPr>
          <w:p>
            <w:pPr>
              <w:jc w:val="right"/>
              <w:ind w:right="238"/>
              <w:spacing w:after="0"/>
              <w:rPr>
                <w:sz w:val="20"/>
                <w:szCs w:val="20"/>
                <w:color w:val="auto"/>
              </w:rPr>
            </w:pPr>
            <w:r>
              <w:rPr>
                <w:rFonts w:ascii="Arial" w:cs="Arial" w:eastAsia="Arial" w:hAnsi="Arial"/>
                <w:sz w:val="12"/>
                <w:szCs w:val="12"/>
                <w:color w:val="auto"/>
              </w:rPr>
              <w:t>(80,502)</w:t>
            </w:r>
          </w:p>
        </w:tc>
        <w:tc>
          <w:tcPr>
            <w:tcW w:w="7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4,149,864</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3720" w:type="dxa"/>
            <w:vAlign w:val="bottom"/>
            <w:tcBorders>
              <w:bottom w:val="single" w:sz="8" w:color="7F7F7F"/>
            </w:tcBorders>
            <w:gridSpan w:val="4"/>
          </w:tcPr>
          <w:p>
            <w:pPr>
              <w:spacing w:after="0"/>
              <w:rPr>
                <w:sz w:val="4"/>
                <w:szCs w:val="4"/>
                <w:color w:val="auto"/>
              </w:rPr>
            </w:pPr>
          </w:p>
        </w:tc>
        <w:tc>
          <w:tcPr>
            <w:tcW w:w="108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1020" w:type="dxa"/>
            <w:vAlign w:val="bottom"/>
            <w:tcBorders>
              <w:bottom w:val="single" w:sz="8" w:color="7F7F7F"/>
            </w:tcBorders>
          </w:tcPr>
          <w:p>
            <w:pPr>
              <w:spacing w:after="0"/>
              <w:rPr>
                <w:sz w:val="4"/>
                <w:szCs w:val="4"/>
                <w:color w:val="auto"/>
              </w:rPr>
            </w:pPr>
          </w:p>
        </w:tc>
        <w:tc>
          <w:tcPr>
            <w:tcW w:w="880" w:type="dxa"/>
            <w:vAlign w:val="bottom"/>
            <w:tcBorders>
              <w:bottom w:val="single" w:sz="8" w:color="7F7F7F"/>
            </w:tcBorders>
          </w:tcPr>
          <w:p>
            <w:pPr>
              <w:spacing w:after="0"/>
              <w:rPr>
                <w:sz w:val="4"/>
                <w:szCs w:val="4"/>
                <w:color w:val="auto"/>
              </w:rPr>
            </w:pPr>
          </w:p>
        </w:tc>
        <w:tc>
          <w:tcPr>
            <w:tcW w:w="760" w:type="dxa"/>
            <w:vAlign w:val="bottom"/>
            <w:tcBorders>
              <w:bottom w:val="single" w:sz="8" w:color="7F7F7F"/>
            </w:tcBorders>
          </w:tcPr>
          <w:p>
            <w:pPr>
              <w:spacing w:after="0"/>
              <w:rPr>
                <w:sz w:val="4"/>
                <w:szCs w:val="4"/>
                <w:color w:val="auto"/>
              </w:rPr>
            </w:pPr>
          </w:p>
        </w:tc>
        <w:tc>
          <w:tcPr>
            <w:tcW w:w="64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500" w:type="dxa"/>
            <w:vAlign w:val="bottom"/>
            <w:gridSpan w:val="6"/>
          </w:tcPr>
          <w:p>
            <w:pPr>
              <w:jc w:val="right"/>
              <w:ind w:right="758"/>
              <w:spacing w:after="0"/>
              <w:rPr>
                <w:sz w:val="20"/>
                <w:szCs w:val="20"/>
                <w:color w:val="auto"/>
              </w:rPr>
            </w:pPr>
            <w:r>
              <w:rPr>
                <w:rFonts w:ascii="Arial" w:cs="Arial" w:eastAsia="Arial" w:hAnsi="Arial"/>
                <w:sz w:val="14"/>
                <w:szCs w:val="14"/>
                <w:b w:val="1"/>
                <w:bCs w:val="1"/>
                <w:color w:val="auto"/>
              </w:rPr>
              <w:t>Non-PEO NEOs: Equity Award Values Included in CAP</w:t>
            </w:r>
          </w:p>
        </w:tc>
        <w:tc>
          <w:tcPr>
            <w:tcW w:w="10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00" w:type="dxa"/>
            <w:vAlign w:val="bottom"/>
            <w:gridSpan w:val="2"/>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shd w:val="clear" w:color="auto" w:fill="005CB9"/>
          </w:tcPr>
          <w:p>
            <w:pPr>
              <w:spacing w:after="0"/>
              <w:rPr>
                <w:sz w:val="15"/>
                <w:szCs w:val="15"/>
                <w:color w:val="auto"/>
              </w:rPr>
            </w:pPr>
          </w:p>
        </w:tc>
        <w:tc>
          <w:tcPr>
            <w:tcW w:w="1100" w:type="dxa"/>
            <w:vAlign w:val="bottom"/>
            <w:shd w:val="clear" w:color="auto" w:fill="005CB9"/>
          </w:tcPr>
          <w:p>
            <w:pPr>
              <w:spacing w:after="0"/>
              <w:rPr>
                <w:sz w:val="15"/>
                <w:szCs w:val="15"/>
                <w:color w:val="auto"/>
              </w:rPr>
            </w:pPr>
          </w:p>
        </w:tc>
        <w:tc>
          <w:tcPr>
            <w:tcW w:w="880" w:type="dxa"/>
            <w:vAlign w:val="bottom"/>
            <w:shd w:val="clear" w:color="auto" w:fill="005CB9"/>
          </w:tcPr>
          <w:p>
            <w:pPr>
              <w:spacing w:after="0"/>
              <w:rPr>
                <w:sz w:val="15"/>
                <w:szCs w:val="15"/>
                <w:color w:val="auto"/>
              </w:rPr>
            </w:pPr>
          </w:p>
        </w:tc>
        <w:tc>
          <w:tcPr>
            <w:tcW w:w="1740" w:type="dxa"/>
            <w:vAlign w:val="bottom"/>
            <w:gridSpan w:val="2"/>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Average Change in</w:t>
            </w:r>
          </w:p>
        </w:tc>
        <w:tc>
          <w:tcPr>
            <w:tcW w:w="1080" w:type="dxa"/>
            <w:vAlign w:val="bottom"/>
            <w:shd w:val="clear" w:color="auto" w:fill="005CB9"/>
          </w:tcPr>
          <w:p>
            <w:pPr>
              <w:spacing w:after="0"/>
              <w:rPr>
                <w:sz w:val="15"/>
                <w:szCs w:val="15"/>
                <w:color w:val="auto"/>
              </w:rPr>
            </w:pPr>
          </w:p>
        </w:tc>
        <w:tc>
          <w:tcPr>
            <w:tcW w:w="620" w:type="dxa"/>
            <w:vAlign w:val="bottom"/>
            <w:shd w:val="clear" w:color="auto" w:fill="005CB9"/>
          </w:tcPr>
          <w:p>
            <w:pPr>
              <w:spacing w:after="0"/>
              <w:rPr>
                <w:sz w:val="15"/>
                <w:szCs w:val="15"/>
                <w:color w:val="auto"/>
              </w:rPr>
            </w:pPr>
          </w:p>
        </w:tc>
        <w:tc>
          <w:tcPr>
            <w:tcW w:w="190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rPr>
              <w:t>Average Change in Fair</w:t>
            </w:r>
          </w:p>
        </w:tc>
        <w:tc>
          <w:tcPr>
            <w:tcW w:w="760" w:type="dxa"/>
            <w:vAlign w:val="bottom"/>
            <w:shd w:val="clear" w:color="auto" w:fill="005CB9"/>
          </w:tcPr>
          <w:p>
            <w:pPr>
              <w:spacing w:after="0"/>
              <w:rPr>
                <w:sz w:val="15"/>
                <w:szCs w:val="15"/>
                <w:color w:val="auto"/>
              </w:rPr>
            </w:pPr>
          </w:p>
        </w:tc>
        <w:tc>
          <w:tcPr>
            <w:tcW w:w="640" w:type="dxa"/>
            <w:vAlign w:val="bottom"/>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shd w:val="clear" w:color="auto" w:fill="005CB9"/>
          </w:tcPr>
          <w:p>
            <w:pPr>
              <w:spacing w:after="0"/>
              <w:rPr>
                <w:sz w:val="11"/>
                <w:szCs w:val="11"/>
                <w:color w:val="auto"/>
              </w:rPr>
            </w:pPr>
          </w:p>
        </w:tc>
        <w:tc>
          <w:tcPr>
            <w:tcW w:w="1100" w:type="dxa"/>
            <w:vAlign w:val="bottom"/>
            <w:shd w:val="clear" w:color="auto" w:fill="005CB9"/>
          </w:tcPr>
          <w:p>
            <w:pPr>
              <w:spacing w:after="0"/>
              <w:rPr>
                <w:sz w:val="11"/>
                <w:szCs w:val="11"/>
                <w:color w:val="auto"/>
              </w:rPr>
            </w:pPr>
          </w:p>
        </w:tc>
        <w:tc>
          <w:tcPr>
            <w:tcW w:w="880" w:type="dxa"/>
            <w:vAlign w:val="bottom"/>
            <w:shd w:val="clear" w:color="auto" w:fill="005CB9"/>
          </w:tcPr>
          <w:p>
            <w:pPr>
              <w:spacing w:after="0"/>
              <w:rPr>
                <w:sz w:val="11"/>
                <w:szCs w:val="11"/>
                <w:color w:val="auto"/>
              </w:rPr>
            </w:pPr>
          </w:p>
        </w:tc>
        <w:tc>
          <w:tcPr>
            <w:tcW w:w="1740" w:type="dxa"/>
            <w:vAlign w:val="bottom"/>
            <w:gridSpan w:val="2"/>
            <w:vMerge w:val="continue"/>
            <w:shd w:val="clear" w:color="auto" w:fill="005CB9"/>
          </w:tcPr>
          <w:p>
            <w:pPr>
              <w:spacing w:after="0"/>
              <w:rPr>
                <w:sz w:val="11"/>
                <w:szCs w:val="11"/>
                <w:color w:val="auto"/>
              </w:rPr>
            </w:pPr>
          </w:p>
        </w:tc>
        <w:tc>
          <w:tcPr>
            <w:tcW w:w="1700" w:type="dxa"/>
            <w:vAlign w:val="bottom"/>
            <w:gridSpan w:val="2"/>
            <w:vMerge w:val="restart"/>
            <w:shd w:val="clear" w:color="auto" w:fill="005CB9"/>
          </w:tcPr>
          <w:p>
            <w:pPr>
              <w:jc w:val="center"/>
              <w:spacing w:after="0"/>
              <w:rPr>
                <w:sz w:val="20"/>
                <w:szCs w:val="20"/>
                <w:color w:val="auto"/>
              </w:rPr>
            </w:pPr>
            <w:r>
              <w:rPr>
                <w:rFonts w:ascii="Arial" w:cs="Arial" w:eastAsia="Arial" w:hAnsi="Arial"/>
                <w:sz w:val="12"/>
                <w:szCs w:val="12"/>
                <w:b w:val="1"/>
                <w:bCs w:val="1"/>
                <w:color w:val="FFFFFF"/>
              </w:rPr>
              <w:t>Average Fair Value</w:t>
            </w:r>
          </w:p>
        </w:tc>
        <w:tc>
          <w:tcPr>
            <w:tcW w:w="19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Value between Prior</w:t>
            </w:r>
          </w:p>
        </w:tc>
        <w:tc>
          <w:tcPr>
            <w:tcW w:w="1400" w:type="dxa"/>
            <w:vAlign w:val="bottom"/>
            <w:gridSpan w:val="2"/>
            <w:vMerge w:val="restart"/>
            <w:shd w:val="clear" w:color="auto" w:fill="005CB9"/>
          </w:tcPr>
          <w:p>
            <w:pPr>
              <w:jc w:val="center"/>
              <w:ind w:left="178"/>
              <w:spacing w:after="0"/>
              <w:rPr>
                <w:sz w:val="20"/>
                <w:szCs w:val="20"/>
                <w:color w:val="auto"/>
              </w:rPr>
            </w:pPr>
            <w:r>
              <w:rPr>
                <w:rFonts w:ascii="Arial" w:cs="Arial" w:eastAsia="Arial" w:hAnsi="Arial"/>
                <w:sz w:val="12"/>
                <w:szCs w:val="12"/>
                <w:b w:val="1"/>
                <w:bCs w:val="1"/>
                <w:color w:val="FFFFFF"/>
              </w:rPr>
              <w:t> Average Adjusted </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shd w:val="clear" w:color="auto" w:fill="005CB9"/>
          </w:tcPr>
          <w:p>
            <w:pPr>
              <w:spacing w:after="0"/>
              <w:rPr>
                <w:sz w:val="11"/>
                <w:szCs w:val="11"/>
                <w:color w:val="auto"/>
              </w:rPr>
            </w:pPr>
          </w:p>
        </w:tc>
        <w:tc>
          <w:tcPr>
            <w:tcW w:w="1980" w:type="dxa"/>
            <w:vAlign w:val="bottom"/>
            <w:gridSpan w:val="2"/>
            <w:vMerge w:val="restart"/>
            <w:shd w:val="clear" w:color="auto" w:fill="005CB9"/>
          </w:tcPr>
          <w:p>
            <w:pPr>
              <w:jc w:val="center"/>
              <w:ind w:left="178"/>
              <w:spacing w:after="0"/>
              <w:rPr>
                <w:sz w:val="20"/>
                <w:szCs w:val="20"/>
                <w:color w:val="auto"/>
              </w:rPr>
            </w:pPr>
            <w:r>
              <w:rPr>
                <w:rFonts w:ascii="Arial" w:cs="Arial" w:eastAsia="Arial" w:hAnsi="Arial"/>
                <w:sz w:val="12"/>
                <w:szCs w:val="12"/>
                <w:b w:val="1"/>
                <w:bCs w:val="1"/>
                <w:color w:val="FFFFFF"/>
              </w:rPr>
              <w:t>Average Year-End</w:t>
            </w:r>
          </w:p>
        </w:tc>
        <w:tc>
          <w:tcPr>
            <w:tcW w:w="174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Fair Value of Prior</w:t>
            </w:r>
          </w:p>
        </w:tc>
        <w:tc>
          <w:tcPr>
            <w:tcW w:w="1700" w:type="dxa"/>
            <w:vAlign w:val="bottom"/>
            <w:gridSpan w:val="2"/>
            <w:vMerge w:val="continue"/>
            <w:shd w:val="clear" w:color="auto" w:fill="005CB9"/>
          </w:tcPr>
          <w:p>
            <w:pPr>
              <w:spacing w:after="0"/>
              <w:rPr>
                <w:sz w:val="11"/>
                <w:szCs w:val="11"/>
                <w:color w:val="auto"/>
              </w:rPr>
            </w:pPr>
          </w:p>
        </w:tc>
        <w:tc>
          <w:tcPr>
            <w:tcW w:w="19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Year-End and Vest</w:t>
            </w:r>
          </w:p>
        </w:tc>
        <w:tc>
          <w:tcPr>
            <w:tcW w:w="1400" w:type="dxa"/>
            <w:vAlign w:val="bottom"/>
            <w:gridSpan w:val="2"/>
            <w:vMerge w:val="continue"/>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shd w:val="clear" w:color="auto" w:fill="005CB9"/>
          </w:tcPr>
          <w:p>
            <w:pPr>
              <w:spacing w:after="0"/>
              <w:rPr>
                <w:sz w:val="11"/>
                <w:szCs w:val="11"/>
                <w:color w:val="auto"/>
              </w:rPr>
            </w:pPr>
          </w:p>
        </w:tc>
        <w:tc>
          <w:tcPr>
            <w:tcW w:w="1980" w:type="dxa"/>
            <w:vAlign w:val="bottom"/>
            <w:gridSpan w:val="2"/>
            <w:vMerge w:val="continue"/>
            <w:shd w:val="clear" w:color="auto" w:fill="005CB9"/>
          </w:tcPr>
          <w:p>
            <w:pPr>
              <w:spacing w:after="0"/>
              <w:rPr>
                <w:sz w:val="11"/>
                <w:szCs w:val="11"/>
                <w:color w:val="auto"/>
              </w:rPr>
            </w:pPr>
          </w:p>
        </w:tc>
        <w:tc>
          <w:tcPr>
            <w:tcW w:w="174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Years’ Equity Awards</w:t>
            </w:r>
          </w:p>
        </w:tc>
        <w:tc>
          <w:tcPr>
            <w:tcW w:w="17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of Equity Awards</w:t>
            </w:r>
          </w:p>
        </w:tc>
        <w:tc>
          <w:tcPr>
            <w:tcW w:w="19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Date of Equity Awards</w:t>
            </w:r>
          </w:p>
        </w:tc>
        <w:tc>
          <w:tcPr>
            <w:tcW w:w="1400" w:type="dxa"/>
            <w:vAlign w:val="bottom"/>
            <w:gridSpan w:val="2"/>
            <w:shd w:val="clear" w:color="auto" w:fill="005CB9"/>
          </w:tcPr>
          <w:p>
            <w:pPr>
              <w:jc w:val="center"/>
              <w:ind w:left="198"/>
              <w:spacing w:after="0" w:line="134" w:lineRule="exact"/>
              <w:rPr>
                <w:sz w:val="20"/>
                <w:szCs w:val="20"/>
                <w:color w:val="auto"/>
              </w:rPr>
            </w:pPr>
            <w:r>
              <w:rPr>
                <w:rFonts w:ascii="Arial" w:cs="Arial" w:eastAsia="Arial" w:hAnsi="Arial"/>
                <w:sz w:val="12"/>
                <w:szCs w:val="12"/>
                <w:b w:val="1"/>
                <w:bCs w:val="1"/>
                <w:color w:val="FFFFFF"/>
              </w:rPr>
              <w:t>Stock and Option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vMerge w:val="restart"/>
            <w:shd w:val="clear" w:color="auto" w:fill="005CB9"/>
          </w:tcPr>
          <w:p>
            <w:pPr>
              <w:ind w:left="60"/>
              <w:spacing w:after="0"/>
              <w:rPr>
                <w:sz w:val="20"/>
                <w:szCs w:val="20"/>
                <w:color w:val="auto"/>
              </w:rPr>
            </w:pPr>
            <w:r>
              <w:rPr>
                <w:rFonts w:ascii="Arial" w:cs="Arial" w:eastAsia="Arial" w:hAnsi="Arial"/>
                <w:sz w:val="12"/>
                <w:szCs w:val="12"/>
                <w:b w:val="1"/>
                <w:bCs w:val="1"/>
                <w:color w:val="FFFFFF"/>
              </w:rPr>
              <w:t>Year</w:t>
            </w:r>
          </w:p>
        </w:tc>
        <w:tc>
          <w:tcPr>
            <w:tcW w:w="1980" w:type="dxa"/>
            <w:vAlign w:val="bottom"/>
            <w:gridSpan w:val="2"/>
            <w:shd w:val="clear" w:color="auto" w:fill="005CB9"/>
          </w:tcPr>
          <w:p>
            <w:pPr>
              <w:jc w:val="center"/>
              <w:ind w:left="178"/>
              <w:spacing w:after="0" w:line="134" w:lineRule="exact"/>
              <w:rPr>
                <w:sz w:val="20"/>
                <w:szCs w:val="20"/>
                <w:color w:val="auto"/>
              </w:rPr>
            </w:pPr>
            <w:r>
              <w:rPr>
                <w:rFonts w:ascii="Arial" w:cs="Arial" w:eastAsia="Arial" w:hAnsi="Arial"/>
                <w:sz w:val="12"/>
                <w:szCs w:val="12"/>
                <w:b w:val="1"/>
                <w:bCs w:val="1"/>
                <w:color w:val="FFFFFF"/>
              </w:rPr>
              <w:t>Fair Value of Current</w:t>
            </w:r>
          </w:p>
        </w:tc>
        <w:tc>
          <w:tcPr>
            <w:tcW w:w="174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Unvested at Year-</w:t>
            </w:r>
          </w:p>
        </w:tc>
        <w:tc>
          <w:tcPr>
            <w:tcW w:w="17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Granted and Vested</w:t>
            </w:r>
          </w:p>
        </w:tc>
        <w:tc>
          <w:tcPr>
            <w:tcW w:w="1900" w:type="dxa"/>
            <w:vAlign w:val="bottom"/>
            <w:gridSpan w:val="2"/>
            <w:shd w:val="clear" w:color="auto" w:fill="005CB9"/>
          </w:tcPr>
          <w:p>
            <w:pPr>
              <w:jc w:val="center"/>
              <w:spacing w:after="0" w:line="134" w:lineRule="exact"/>
              <w:rPr>
                <w:sz w:val="20"/>
                <w:szCs w:val="20"/>
                <w:color w:val="auto"/>
              </w:rPr>
            </w:pPr>
            <w:r>
              <w:rPr>
                <w:rFonts w:ascii="Arial" w:cs="Arial" w:eastAsia="Arial" w:hAnsi="Arial"/>
                <w:sz w:val="12"/>
                <w:szCs w:val="12"/>
                <w:b w:val="1"/>
                <w:bCs w:val="1"/>
                <w:color w:val="FFFFFF"/>
              </w:rPr>
              <w:t>Vested in Current</w:t>
            </w:r>
          </w:p>
        </w:tc>
        <w:tc>
          <w:tcPr>
            <w:tcW w:w="1400" w:type="dxa"/>
            <w:vAlign w:val="bottom"/>
            <w:gridSpan w:val="2"/>
            <w:shd w:val="clear" w:color="auto" w:fill="005CB9"/>
          </w:tcPr>
          <w:p>
            <w:pPr>
              <w:jc w:val="center"/>
              <w:ind w:left="198"/>
              <w:spacing w:after="0" w:line="134" w:lineRule="exact"/>
              <w:rPr>
                <w:sz w:val="20"/>
                <w:szCs w:val="20"/>
                <w:color w:val="auto"/>
              </w:rPr>
            </w:pPr>
            <w:r>
              <w:rPr>
                <w:rFonts w:ascii="Arial" w:cs="Arial" w:eastAsia="Arial" w:hAnsi="Arial"/>
                <w:sz w:val="12"/>
                <w:szCs w:val="12"/>
                <w:b w:val="1"/>
                <w:bCs w:val="1"/>
                <w:color w:val="FFFFFF"/>
              </w:rPr>
              <w:t>Award Values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 w:type="dxa"/>
            <w:vAlign w:val="bottom"/>
            <w:vMerge w:val="continue"/>
            <w:shd w:val="clear" w:color="auto" w:fill="005CB9"/>
          </w:tcPr>
          <w:p>
            <w:pPr>
              <w:spacing w:after="0"/>
              <w:rPr>
                <w:sz w:val="19"/>
                <w:szCs w:val="19"/>
                <w:color w:val="auto"/>
              </w:rPr>
            </w:pPr>
          </w:p>
        </w:tc>
        <w:tc>
          <w:tcPr>
            <w:tcW w:w="1980" w:type="dxa"/>
            <w:vAlign w:val="bottom"/>
            <w:gridSpan w:val="2"/>
            <w:shd w:val="clear" w:color="auto" w:fill="005CB9"/>
          </w:tcPr>
          <w:p>
            <w:pPr>
              <w:jc w:val="center"/>
              <w:ind w:left="158"/>
              <w:spacing w:after="0"/>
              <w:rPr>
                <w:sz w:val="20"/>
                <w:szCs w:val="20"/>
                <w:color w:val="auto"/>
              </w:rPr>
            </w:pPr>
            <w:r>
              <w:rPr>
                <w:rFonts w:ascii="Arial" w:cs="Arial" w:eastAsia="Arial" w:hAnsi="Arial"/>
                <w:sz w:val="12"/>
                <w:szCs w:val="12"/>
                <w:b w:val="1"/>
                <w:bCs w:val="1"/>
                <w:color w:val="FFFFFF"/>
              </w:rPr>
              <w:t>Year Equity Awards</w:t>
            </w:r>
            <w:r>
              <w:rPr>
                <w:rFonts w:ascii="Arial" w:cs="Arial" w:eastAsia="Arial" w:hAnsi="Arial"/>
                <w:sz w:val="15"/>
                <w:szCs w:val="15"/>
                <w:b w:val="1"/>
                <w:bCs w:val="1"/>
                <w:color w:val="FFFFFF"/>
                <w:vertAlign w:val="superscript"/>
              </w:rPr>
              <w:t>(i)</w:t>
            </w:r>
          </w:p>
        </w:tc>
        <w:tc>
          <w:tcPr>
            <w:tcW w:w="1740" w:type="dxa"/>
            <w:vAlign w:val="bottom"/>
            <w:gridSpan w:val="2"/>
            <w:shd w:val="clear" w:color="auto" w:fill="005CB9"/>
          </w:tcPr>
          <w:p>
            <w:pPr>
              <w:jc w:val="center"/>
              <w:spacing w:after="0" w:line="219" w:lineRule="exact"/>
              <w:rPr>
                <w:sz w:val="20"/>
                <w:szCs w:val="20"/>
                <w:color w:val="auto"/>
              </w:rPr>
            </w:pPr>
            <w:r>
              <w:rPr>
                <w:rFonts w:ascii="Arial" w:cs="Arial" w:eastAsia="Arial" w:hAnsi="Arial"/>
                <w:sz w:val="24"/>
                <w:szCs w:val="24"/>
                <w:b w:val="1"/>
                <w:bCs w:val="1"/>
                <w:color w:val="FFFFFF"/>
                <w:w w:val="79"/>
                <w:vertAlign w:val="subscript"/>
              </w:rPr>
              <w:t>End</w:t>
            </w:r>
            <w:r>
              <w:rPr>
                <w:rFonts w:ascii="Arial" w:cs="Arial" w:eastAsia="Arial" w:hAnsi="Arial"/>
                <w:sz w:val="8"/>
                <w:szCs w:val="8"/>
                <w:b w:val="1"/>
                <w:bCs w:val="1"/>
                <w:color w:val="FFFFFF"/>
                <w:w w:val="79"/>
              </w:rPr>
              <w:t>(ii)</w:t>
            </w:r>
          </w:p>
        </w:tc>
        <w:tc>
          <w:tcPr>
            <w:tcW w:w="1700" w:type="dxa"/>
            <w:vAlign w:val="bottom"/>
            <w:gridSpan w:val="2"/>
            <w:shd w:val="clear" w:color="auto" w:fill="005CB9"/>
          </w:tcPr>
          <w:p>
            <w:pPr>
              <w:jc w:val="center"/>
              <w:spacing w:after="0"/>
              <w:rPr>
                <w:sz w:val="20"/>
                <w:szCs w:val="20"/>
                <w:color w:val="auto"/>
              </w:rPr>
            </w:pPr>
            <w:r>
              <w:rPr>
                <w:rFonts w:ascii="Arial" w:cs="Arial" w:eastAsia="Arial" w:hAnsi="Arial"/>
                <w:sz w:val="12"/>
                <w:szCs w:val="12"/>
                <w:b w:val="1"/>
                <w:bCs w:val="1"/>
                <w:color w:val="FFFFFF"/>
                <w:w w:val="99"/>
              </w:rPr>
              <w:t>in Same Year</w:t>
            </w:r>
            <w:r>
              <w:rPr>
                <w:rFonts w:ascii="Arial" w:cs="Arial" w:eastAsia="Arial" w:hAnsi="Arial"/>
                <w:sz w:val="15"/>
                <w:szCs w:val="15"/>
                <w:b w:val="1"/>
                <w:bCs w:val="1"/>
                <w:color w:val="FFFFFF"/>
                <w:w w:val="99"/>
                <w:vertAlign w:val="superscript"/>
              </w:rPr>
              <w:t>(iii)</w:t>
            </w:r>
          </w:p>
        </w:tc>
        <w:tc>
          <w:tcPr>
            <w:tcW w:w="1900" w:type="dxa"/>
            <w:vAlign w:val="bottom"/>
            <w:gridSpan w:val="2"/>
            <w:shd w:val="clear" w:color="auto" w:fill="005CB9"/>
          </w:tcPr>
          <w:p>
            <w:pPr>
              <w:jc w:val="center"/>
              <w:spacing w:after="0" w:line="219" w:lineRule="exact"/>
              <w:rPr>
                <w:sz w:val="20"/>
                <w:szCs w:val="20"/>
                <w:color w:val="auto"/>
              </w:rPr>
            </w:pPr>
            <w:r>
              <w:rPr>
                <w:rFonts w:ascii="Arial" w:cs="Arial" w:eastAsia="Arial" w:hAnsi="Arial"/>
                <w:sz w:val="24"/>
                <w:szCs w:val="24"/>
                <w:b w:val="1"/>
                <w:bCs w:val="1"/>
                <w:color w:val="FFFFFF"/>
                <w:w w:val="81"/>
                <w:vertAlign w:val="subscript"/>
              </w:rPr>
              <w:t>Year</w:t>
            </w:r>
            <w:r>
              <w:rPr>
                <w:rFonts w:ascii="Arial" w:cs="Arial" w:eastAsia="Arial" w:hAnsi="Arial"/>
                <w:sz w:val="8"/>
                <w:szCs w:val="8"/>
                <w:b w:val="1"/>
                <w:bCs w:val="1"/>
                <w:color w:val="FFFFFF"/>
                <w:w w:val="81"/>
              </w:rPr>
              <w:t>(iv)</w:t>
            </w:r>
          </w:p>
        </w:tc>
        <w:tc>
          <w:tcPr>
            <w:tcW w:w="1400" w:type="dxa"/>
            <w:vAlign w:val="bottom"/>
            <w:gridSpan w:val="2"/>
            <w:shd w:val="clear" w:color="auto" w:fill="005CB9"/>
          </w:tcPr>
          <w:p>
            <w:pPr>
              <w:jc w:val="center"/>
              <w:ind w:left="218"/>
              <w:spacing w:after="0"/>
              <w:rPr>
                <w:sz w:val="20"/>
                <w:szCs w:val="20"/>
                <w:color w:val="auto"/>
              </w:rPr>
            </w:pPr>
            <w:r>
              <w:rPr>
                <w:rFonts w:ascii="Arial" w:cs="Arial" w:eastAsia="Arial" w:hAnsi="Arial"/>
                <w:sz w:val="12"/>
                <w:szCs w:val="12"/>
                <w:b w:val="1"/>
                <w:bCs w:val="1"/>
                <w:color w:val="FFFFFF"/>
              </w:rPr>
              <w:t>Included in CAP</w:t>
            </w:r>
          </w:p>
        </w:tc>
        <w:tc>
          <w:tcPr>
            <w:tcW w:w="0" w:type="dxa"/>
            <w:vAlign w:val="bottom"/>
          </w:tcPr>
          <w:p>
            <w:pPr>
              <w:spacing w:after="0"/>
              <w:rPr>
                <w:sz w:val="1"/>
                <w:szCs w:val="1"/>
                <w:color w:val="auto"/>
              </w:rPr>
            </w:pPr>
          </w:p>
        </w:tc>
      </w:tr>
      <w:tr>
        <w:trPr>
          <w:trHeight w:val="227"/>
        </w:trPr>
        <w:tc>
          <w:tcPr>
            <w:tcW w:w="780" w:type="dxa"/>
            <w:vAlign w:val="bottom"/>
            <w:gridSpan w:val="2"/>
          </w:tcPr>
          <w:p>
            <w:pPr>
              <w:ind w:left="80"/>
              <w:spacing w:after="0"/>
              <w:rPr>
                <w:sz w:val="20"/>
                <w:szCs w:val="20"/>
                <w:color w:val="auto"/>
              </w:rPr>
            </w:pPr>
            <w:r>
              <w:rPr>
                <w:rFonts w:ascii="Arial" w:cs="Arial" w:eastAsia="Arial" w:hAnsi="Arial"/>
                <w:sz w:val="12"/>
                <w:szCs w:val="12"/>
                <w:color w:val="auto"/>
              </w:rPr>
              <w:t>2025</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98"/>
              <w:spacing w:after="0"/>
              <w:rPr>
                <w:sz w:val="20"/>
                <w:szCs w:val="20"/>
                <w:color w:val="auto"/>
              </w:rPr>
            </w:pPr>
            <w:r>
              <w:rPr>
                <w:rFonts w:ascii="Arial" w:cs="Arial" w:eastAsia="Arial" w:hAnsi="Arial"/>
                <w:sz w:val="12"/>
                <w:szCs w:val="12"/>
                <w:color w:val="auto"/>
              </w:rPr>
              <w:t>2,333,285</w:t>
            </w:r>
          </w:p>
        </w:tc>
        <w:tc>
          <w:tcPr>
            <w:tcW w:w="820" w:type="dxa"/>
            <w:vAlign w:val="bottom"/>
          </w:tcPr>
          <w:p>
            <w:pPr>
              <w:ind w:left="70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78"/>
              <w:spacing w:after="0"/>
              <w:rPr>
                <w:sz w:val="20"/>
                <w:szCs w:val="20"/>
                <w:color w:val="auto"/>
              </w:rPr>
            </w:pPr>
            <w:r>
              <w:rPr>
                <w:rFonts w:ascii="Arial" w:cs="Arial" w:eastAsia="Arial" w:hAnsi="Arial"/>
                <w:sz w:val="12"/>
                <w:szCs w:val="12"/>
                <w:color w:val="auto"/>
              </w:rPr>
              <w:t>(1,341,319)</w:t>
            </w:r>
          </w:p>
        </w:tc>
        <w:tc>
          <w:tcPr>
            <w:tcW w:w="1080" w:type="dxa"/>
            <w:vAlign w:val="bottom"/>
          </w:tcPr>
          <w:p>
            <w:pPr>
              <w:ind w:left="820"/>
              <w:spacing w:after="0"/>
              <w:rPr>
                <w:sz w:val="20"/>
                <w:szCs w:val="20"/>
                <w:color w:val="auto"/>
              </w:rPr>
            </w:pPr>
            <w:r>
              <w:rPr>
                <w:rFonts w:ascii="Arial" w:cs="Arial" w:eastAsia="Arial" w:hAnsi="Arial"/>
                <w:sz w:val="12"/>
                <w:szCs w:val="12"/>
                <w:color w:val="auto"/>
              </w:rPr>
              <w:t xml:space="preserve">$    </w:t>
            </w:r>
          </w:p>
        </w:tc>
        <w:tc>
          <w:tcPr>
            <w:tcW w:w="620" w:type="dxa"/>
            <w:vAlign w:val="bottom"/>
          </w:tcPr>
          <w:p>
            <w:pPr>
              <w:ind w:left="6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98"/>
              <w:spacing w:after="0"/>
              <w:rPr>
                <w:sz w:val="20"/>
                <w:szCs w:val="20"/>
                <w:color w:val="auto"/>
              </w:rPr>
            </w:pPr>
            <w:r>
              <w:rPr>
                <w:rFonts w:ascii="Arial" w:cs="Arial" w:eastAsia="Arial" w:hAnsi="Arial"/>
                <w:sz w:val="12"/>
                <w:szCs w:val="12"/>
                <w:color w:val="auto"/>
              </w:rPr>
              <w:t>(81,846)</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910,120</w:t>
            </w:r>
          </w:p>
        </w:tc>
        <w:tc>
          <w:tcPr>
            <w:tcW w:w="0" w:type="dxa"/>
            <w:vAlign w:val="bottom"/>
          </w:tcPr>
          <w:p>
            <w:pPr>
              <w:spacing w:after="0"/>
              <w:rPr>
                <w:sz w:val="1"/>
                <w:szCs w:val="1"/>
                <w:color w:val="auto"/>
              </w:rPr>
            </w:pPr>
          </w:p>
        </w:tc>
      </w:tr>
      <w:tr>
        <w:trPr>
          <w:trHeight w:val="54"/>
        </w:trPr>
        <w:tc>
          <w:tcPr>
            <w:tcW w:w="780" w:type="dxa"/>
            <w:vAlign w:val="bottom"/>
            <w:gridSpan w:val="2"/>
          </w:tcPr>
          <w:p>
            <w:pPr>
              <w:spacing w:after="0"/>
              <w:rPr>
                <w:sz w:val="4"/>
                <w:szCs w:val="4"/>
                <w:color w:val="auto"/>
              </w:rPr>
            </w:pPr>
          </w:p>
        </w:tc>
        <w:tc>
          <w:tcPr>
            <w:tcW w:w="1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760" w:type="dxa"/>
            <w:vAlign w:val="bottom"/>
            <w:tcBorders>
              <w:top w:val="single" w:sz="8" w:color="7F7F7F"/>
            </w:tcBorders>
            <w:vMerge w:val="restart"/>
            <w:shd w:val="clear" w:color="auto" w:fill="F2F2F2"/>
          </w:tcPr>
          <w:p>
            <w:pPr>
              <w:ind w:left="60"/>
              <w:spacing w:after="0"/>
              <w:rPr>
                <w:sz w:val="20"/>
                <w:szCs w:val="20"/>
                <w:color w:val="auto"/>
              </w:rPr>
            </w:pPr>
            <w:r>
              <w:rPr>
                <w:rFonts w:ascii="Arial" w:cs="Arial" w:eastAsia="Arial" w:hAnsi="Arial"/>
                <w:sz w:val="12"/>
                <w:szCs w:val="12"/>
                <w:color w:val="auto"/>
              </w:rPr>
              <w:t>2024</w:t>
            </w:r>
          </w:p>
        </w:tc>
        <w:tc>
          <w:tcPr>
            <w:tcW w:w="1100" w:type="dxa"/>
            <w:vAlign w:val="bottom"/>
            <w:tcBorders>
              <w:top w:val="single" w:sz="8" w:color="7F7F7F"/>
            </w:tcBorders>
            <w:vMerge w:val="restart"/>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tcBorders>
            <w:vMerge w:val="restart"/>
            <w:shd w:val="clear" w:color="auto" w:fill="F2F2F2"/>
          </w:tcPr>
          <w:p>
            <w:pPr>
              <w:jc w:val="right"/>
              <w:ind w:right="198"/>
              <w:spacing w:after="0"/>
              <w:rPr>
                <w:sz w:val="20"/>
                <w:szCs w:val="20"/>
                <w:color w:val="auto"/>
              </w:rPr>
            </w:pPr>
            <w:r>
              <w:rPr>
                <w:rFonts w:ascii="Arial" w:cs="Arial" w:eastAsia="Arial" w:hAnsi="Arial"/>
                <w:sz w:val="12"/>
                <w:szCs w:val="12"/>
                <w:color w:val="auto"/>
              </w:rPr>
              <w:t>2,744,812</w:t>
            </w:r>
          </w:p>
        </w:tc>
        <w:tc>
          <w:tcPr>
            <w:tcW w:w="820" w:type="dxa"/>
            <w:vAlign w:val="bottom"/>
            <w:tcBorders>
              <w:top w:val="single" w:sz="8" w:color="7F7F7F"/>
            </w:tcBorders>
            <w:vMerge w:val="restart"/>
            <w:shd w:val="clear" w:color="auto" w:fill="F2F2F2"/>
          </w:tcPr>
          <w:p>
            <w:pPr>
              <w:ind w:left="7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7F7F7F"/>
            </w:tcBorders>
            <w:vMerge w:val="restart"/>
            <w:shd w:val="clear" w:color="auto" w:fill="F2F2F2"/>
          </w:tcPr>
          <w:p>
            <w:pPr>
              <w:jc w:val="right"/>
              <w:ind w:right="218"/>
              <w:spacing w:after="0"/>
              <w:rPr>
                <w:sz w:val="20"/>
                <w:szCs w:val="20"/>
                <w:color w:val="auto"/>
              </w:rPr>
            </w:pPr>
            <w:r>
              <w:rPr>
                <w:rFonts w:ascii="Arial" w:cs="Arial" w:eastAsia="Arial" w:hAnsi="Arial"/>
                <w:sz w:val="12"/>
                <w:szCs w:val="12"/>
                <w:color w:val="auto"/>
              </w:rPr>
              <w:t>507,000</w:t>
            </w:r>
          </w:p>
        </w:tc>
        <w:tc>
          <w:tcPr>
            <w:tcW w:w="1080" w:type="dxa"/>
            <w:vAlign w:val="bottom"/>
            <w:tcBorders>
              <w:top w:val="single" w:sz="8" w:color="7F7F7F"/>
            </w:tcBorders>
            <w:vMerge w:val="restart"/>
            <w:shd w:val="clear" w:color="auto" w:fill="F2F2F2"/>
          </w:tcPr>
          <w:p>
            <w:pPr>
              <w:ind w:left="8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vMerge w:val="restart"/>
            <w:shd w:val="clear" w:color="auto" w:fill="F2F2F2"/>
          </w:tcPr>
          <w:p>
            <w:pPr>
              <w:ind w:left="6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tcBorders>
            <w:vMerge w:val="restart"/>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tcBorders>
            <w:vMerge w:val="restart"/>
            <w:shd w:val="clear" w:color="auto" w:fill="F2F2F2"/>
          </w:tcPr>
          <w:p>
            <w:pPr>
              <w:jc w:val="right"/>
              <w:ind w:right="198"/>
              <w:spacing w:after="0"/>
              <w:rPr>
                <w:sz w:val="20"/>
                <w:szCs w:val="20"/>
                <w:color w:val="auto"/>
              </w:rPr>
            </w:pPr>
            <w:r>
              <w:rPr>
                <w:rFonts w:ascii="Arial" w:cs="Arial" w:eastAsia="Arial" w:hAnsi="Arial"/>
                <w:sz w:val="12"/>
                <w:szCs w:val="12"/>
                <w:color w:val="auto"/>
              </w:rPr>
              <w:t>(30,703)</w:t>
            </w:r>
          </w:p>
        </w:tc>
        <w:tc>
          <w:tcPr>
            <w:tcW w:w="760" w:type="dxa"/>
            <w:vAlign w:val="bottom"/>
            <w:tcBorders>
              <w:top w:val="single" w:sz="8" w:color="7F7F7F"/>
            </w:tcBorders>
            <w:vMerge w:val="restart"/>
            <w:shd w:val="clear" w:color="auto" w:fill="F2F2F2"/>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7F7F7F"/>
            </w:tcBorders>
            <w:vMerge w:val="restart"/>
            <w:shd w:val="clear" w:color="auto" w:fill="F2F2F2"/>
          </w:tcPr>
          <w:p>
            <w:pPr>
              <w:jc w:val="right"/>
              <w:spacing w:after="0"/>
              <w:rPr>
                <w:sz w:val="20"/>
                <w:szCs w:val="20"/>
                <w:color w:val="auto"/>
              </w:rPr>
            </w:pPr>
            <w:r>
              <w:rPr>
                <w:rFonts w:ascii="Arial" w:cs="Arial" w:eastAsia="Arial" w:hAnsi="Arial"/>
                <w:sz w:val="12"/>
                <w:szCs w:val="12"/>
                <w:color w:val="auto"/>
              </w:rPr>
              <w:t>3,221,109</w:t>
            </w: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60" w:type="dxa"/>
            <w:vAlign w:val="bottom"/>
            <w:tcBorders>
              <w:bottom w:val="single" w:sz="8" w:color="F2F2F2"/>
            </w:tcBorders>
            <w:vMerge w:val="continue"/>
            <w:shd w:val="clear" w:color="auto" w:fill="F2F2F2"/>
          </w:tcPr>
          <w:p>
            <w:pPr>
              <w:spacing w:after="0"/>
              <w:rPr>
                <w:sz w:val="17"/>
                <w:szCs w:val="17"/>
                <w:color w:val="auto"/>
              </w:rPr>
            </w:pPr>
          </w:p>
        </w:tc>
        <w:tc>
          <w:tcPr>
            <w:tcW w:w="1100" w:type="dxa"/>
            <w:vAlign w:val="bottom"/>
            <w:tcBorders>
              <w:bottom w:val="single" w:sz="8" w:color="F2F2F2"/>
            </w:tcBorders>
            <w:vMerge w:val="continue"/>
            <w:shd w:val="clear" w:color="auto" w:fill="F2F2F2"/>
          </w:tcPr>
          <w:p>
            <w:pPr>
              <w:spacing w:after="0"/>
              <w:rPr>
                <w:sz w:val="17"/>
                <w:szCs w:val="17"/>
                <w:color w:val="auto"/>
              </w:rPr>
            </w:pPr>
          </w:p>
        </w:tc>
        <w:tc>
          <w:tcPr>
            <w:tcW w:w="880" w:type="dxa"/>
            <w:vAlign w:val="bottom"/>
            <w:tcBorders>
              <w:bottom w:val="single" w:sz="8" w:color="F2F2F2"/>
            </w:tcBorders>
            <w:vMerge w:val="continue"/>
            <w:shd w:val="clear" w:color="auto" w:fill="F2F2F2"/>
          </w:tcPr>
          <w:p>
            <w:pPr>
              <w:spacing w:after="0"/>
              <w:rPr>
                <w:sz w:val="17"/>
                <w:szCs w:val="17"/>
                <w:color w:val="auto"/>
              </w:rPr>
            </w:pPr>
          </w:p>
        </w:tc>
        <w:tc>
          <w:tcPr>
            <w:tcW w:w="820" w:type="dxa"/>
            <w:vAlign w:val="bottom"/>
            <w:tcBorders>
              <w:bottom w:val="single" w:sz="8" w:color="F2F2F2"/>
            </w:tcBorders>
            <w:vMerge w:val="continue"/>
            <w:shd w:val="clear" w:color="auto" w:fill="F2F2F2"/>
          </w:tcPr>
          <w:p>
            <w:pPr>
              <w:spacing w:after="0"/>
              <w:rPr>
                <w:sz w:val="17"/>
                <w:szCs w:val="17"/>
                <w:color w:val="auto"/>
              </w:rPr>
            </w:pPr>
          </w:p>
        </w:tc>
        <w:tc>
          <w:tcPr>
            <w:tcW w:w="920" w:type="dxa"/>
            <w:vAlign w:val="bottom"/>
            <w:tcBorders>
              <w:bottom w:val="single" w:sz="8" w:color="F2F2F2"/>
            </w:tcBorders>
            <w:vMerge w:val="continue"/>
            <w:shd w:val="clear" w:color="auto" w:fill="F2F2F2"/>
          </w:tcPr>
          <w:p>
            <w:pPr>
              <w:spacing w:after="0"/>
              <w:rPr>
                <w:sz w:val="17"/>
                <w:szCs w:val="17"/>
                <w:color w:val="auto"/>
              </w:rPr>
            </w:pPr>
          </w:p>
        </w:tc>
        <w:tc>
          <w:tcPr>
            <w:tcW w:w="1080" w:type="dxa"/>
            <w:vAlign w:val="bottom"/>
            <w:tcBorders>
              <w:bottom w:val="single" w:sz="8" w:color="F2F2F2"/>
            </w:tcBorders>
            <w:vMerge w:val="continue"/>
            <w:shd w:val="clear" w:color="auto" w:fill="F2F2F2"/>
          </w:tcPr>
          <w:p>
            <w:pPr>
              <w:spacing w:after="0"/>
              <w:rPr>
                <w:sz w:val="17"/>
                <w:szCs w:val="17"/>
                <w:color w:val="auto"/>
              </w:rPr>
            </w:pPr>
          </w:p>
        </w:tc>
        <w:tc>
          <w:tcPr>
            <w:tcW w:w="620" w:type="dxa"/>
            <w:vAlign w:val="bottom"/>
            <w:tcBorders>
              <w:bottom w:val="single" w:sz="8" w:color="F2F2F2"/>
            </w:tcBorders>
            <w:vMerge w:val="continue"/>
            <w:shd w:val="clear" w:color="auto" w:fill="F2F2F2"/>
          </w:tcPr>
          <w:p>
            <w:pPr>
              <w:spacing w:after="0"/>
              <w:rPr>
                <w:sz w:val="17"/>
                <w:szCs w:val="17"/>
                <w:color w:val="auto"/>
              </w:rPr>
            </w:pPr>
          </w:p>
        </w:tc>
        <w:tc>
          <w:tcPr>
            <w:tcW w:w="1020" w:type="dxa"/>
            <w:vAlign w:val="bottom"/>
            <w:tcBorders>
              <w:bottom w:val="single" w:sz="8" w:color="F2F2F2"/>
            </w:tcBorders>
            <w:vMerge w:val="continue"/>
            <w:shd w:val="clear" w:color="auto" w:fill="F2F2F2"/>
          </w:tcPr>
          <w:p>
            <w:pPr>
              <w:spacing w:after="0"/>
              <w:rPr>
                <w:sz w:val="17"/>
                <w:szCs w:val="17"/>
                <w:color w:val="auto"/>
              </w:rPr>
            </w:pPr>
          </w:p>
        </w:tc>
        <w:tc>
          <w:tcPr>
            <w:tcW w:w="880" w:type="dxa"/>
            <w:vAlign w:val="bottom"/>
            <w:tcBorders>
              <w:bottom w:val="single" w:sz="8" w:color="F2F2F2"/>
            </w:tcBorders>
            <w:vMerge w:val="continue"/>
            <w:shd w:val="clear" w:color="auto" w:fill="F2F2F2"/>
          </w:tcPr>
          <w:p>
            <w:pPr>
              <w:spacing w:after="0"/>
              <w:rPr>
                <w:sz w:val="17"/>
                <w:szCs w:val="17"/>
                <w:color w:val="auto"/>
              </w:rPr>
            </w:pPr>
          </w:p>
        </w:tc>
        <w:tc>
          <w:tcPr>
            <w:tcW w:w="760" w:type="dxa"/>
            <w:vAlign w:val="bottom"/>
            <w:tcBorders>
              <w:bottom w:val="single" w:sz="8" w:color="F2F2F2"/>
            </w:tcBorders>
            <w:vMerge w:val="continue"/>
            <w:shd w:val="clear" w:color="auto" w:fill="F2F2F2"/>
          </w:tcPr>
          <w:p>
            <w:pPr>
              <w:spacing w:after="0"/>
              <w:rPr>
                <w:sz w:val="17"/>
                <w:szCs w:val="17"/>
                <w:color w:val="auto"/>
              </w:rPr>
            </w:pPr>
          </w:p>
        </w:tc>
        <w:tc>
          <w:tcPr>
            <w:tcW w:w="640" w:type="dxa"/>
            <w:vAlign w:val="bottom"/>
            <w:tcBorders>
              <w:bottom w:val="single" w:sz="8" w:color="F2F2F2"/>
            </w:tcBorders>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2023</w:t>
            </w:r>
          </w:p>
        </w:tc>
        <w:tc>
          <w:tcPr>
            <w:tcW w:w="11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tcBorders>
          </w:tcPr>
          <w:p>
            <w:pPr>
              <w:jc w:val="right"/>
              <w:ind w:right="198"/>
              <w:spacing w:after="0"/>
              <w:rPr>
                <w:sz w:val="20"/>
                <w:szCs w:val="20"/>
                <w:color w:val="auto"/>
              </w:rPr>
            </w:pPr>
            <w:r>
              <w:rPr>
                <w:rFonts w:ascii="Arial" w:cs="Arial" w:eastAsia="Arial" w:hAnsi="Arial"/>
                <w:sz w:val="12"/>
                <w:szCs w:val="12"/>
                <w:color w:val="auto"/>
              </w:rPr>
              <w:t>1,419,162</w:t>
            </w:r>
          </w:p>
        </w:tc>
        <w:tc>
          <w:tcPr>
            <w:tcW w:w="820" w:type="dxa"/>
            <w:vAlign w:val="bottom"/>
            <w:tcBorders>
              <w:top w:val="single" w:sz="8" w:color="7F7F7F"/>
            </w:tcBorders>
          </w:tcPr>
          <w:p>
            <w:pPr>
              <w:ind w:left="7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7F7F7F"/>
            </w:tcBorders>
          </w:tcPr>
          <w:p>
            <w:pPr>
              <w:jc w:val="right"/>
              <w:ind w:right="178"/>
              <w:spacing w:after="0"/>
              <w:rPr>
                <w:sz w:val="20"/>
                <w:szCs w:val="20"/>
                <w:color w:val="auto"/>
              </w:rPr>
            </w:pPr>
            <w:r>
              <w:rPr>
                <w:rFonts w:ascii="Arial" w:cs="Arial" w:eastAsia="Arial" w:hAnsi="Arial"/>
                <w:sz w:val="12"/>
                <w:szCs w:val="12"/>
                <w:color w:val="auto"/>
              </w:rPr>
              <w:t>(312,918)</w:t>
            </w:r>
          </w:p>
        </w:tc>
        <w:tc>
          <w:tcPr>
            <w:tcW w:w="1080" w:type="dxa"/>
            <w:vAlign w:val="bottom"/>
            <w:tcBorders>
              <w:top w:val="single" w:sz="8" w:color="7F7F7F"/>
            </w:tcBorders>
          </w:tcPr>
          <w:p>
            <w:pPr>
              <w:ind w:left="8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tcBorders>
          </w:tcPr>
          <w:p>
            <w:pPr>
              <w:jc w:val="right"/>
              <w:ind w:right="198"/>
              <w:spacing w:after="0"/>
              <w:rPr>
                <w:sz w:val="20"/>
                <w:szCs w:val="20"/>
                <w:color w:val="auto"/>
              </w:rPr>
            </w:pPr>
            <w:r>
              <w:rPr>
                <w:rFonts w:ascii="Arial" w:cs="Arial" w:eastAsia="Arial" w:hAnsi="Arial"/>
                <w:sz w:val="12"/>
                <w:szCs w:val="12"/>
                <w:color w:val="auto"/>
              </w:rPr>
              <w:t>(269,144)</w:t>
            </w:r>
          </w:p>
        </w:tc>
        <w:tc>
          <w:tcPr>
            <w:tcW w:w="7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837,100</w:t>
            </w:r>
          </w:p>
        </w:tc>
        <w:tc>
          <w:tcPr>
            <w:tcW w:w="0" w:type="dxa"/>
            <w:vAlign w:val="bottom"/>
          </w:tcPr>
          <w:p>
            <w:pPr>
              <w:spacing w:after="0"/>
              <w:rPr>
                <w:sz w:val="1"/>
                <w:szCs w:val="1"/>
                <w:color w:val="auto"/>
              </w:rPr>
            </w:pPr>
          </w:p>
        </w:tc>
      </w:tr>
      <w:tr>
        <w:trPr>
          <w:trHeight w:val="54"/>
        </w:trPr>
        <w:tc>
          <w:tcPr>
            <w:tcW w:w="780" w:type="dxa"/>
            <w:vAlign w:val="bottom"/>
            <w:gridSpan w:val="2"/>
          </w:tcPr>
          <w:p>
            <w:pPr>
              <w:spacing w:after="0"/>
              <w:rPr>
                <w:sz w:val="4"/>
                <w:szCs w:val="4"/>
                <w:color w:val="auto"/>
              </w:rPr>
            </w:pPr>
          </w:p>
        </w:tc>
        <w:tc>
          <w:tcPr>
            <w:tcW w:w="1980" w:type="dxa"/>
            <w:vAlign w:val="bottom"/>
            <w:gridSpan w:val="2"/>
          </w:tcPr>
          <w:p>
            <w:pPr>
              <w:spacing w:after="0"/>
              <w:rPr>
                <w:sz w:val="4"/>
                <w:szCs w:val="4"/>
                <w:color w:val="auto"/>
              </w:rPr>
            </w:pPr>
          </w:p>
        </w:tc>
        <w:tc>
          <w:tcPr>
            <w:tcW w:w="1740" w:type="dxa"/>
            <w:vAlign w:val="bottom"/>
            <w:gridSpan w:val="2"/>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900" w:type="dxa"/>
            <w:vAlign w:val="bottom"/>
            <w:gridSpan w:val="2"/>
          </w:tcPr>
          <w:p>
            <w:pPr>
              <w:spacing w:after="0"/>
              <w:rPr>
                <w:sz w:val="4"/>
                <w:szCs w:val="4"/>
                <w:color w:val="auto"/>
              </w:rPr>
            </w:pPr>
          </w:p>
        </w:tc>
        <w:tc>
          <w:tcPr>
            <w:tcW w:w="14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760" w:type="dxa"/>
            <w:vAlign w:val="bottom"/>
            <w:tcBorders>
              <w:top w:val="single" w:sz="8" w:color="7F7F7F"/>
            </w:tcBorders>
            <w:vMerge w:val="restart"/>
            <w:shd w:val="clear" w:color="auto" w:fill="F2F2F2"/>
          </w:tcPr>
          <w:p>
            <w:pPr>
              <w:ind w:left="60"/>
              <w:spacing w:after="0"/>
              <w:rPr>
                <w:sz w:val="20"/>
                <w:szCs w:val="20"/>
                <w:color w:val="auto"/>
              </w:rPr>
            </w:pPr>
            <w:r>
              <w:rPr>
                <w:rFonts w:ascii="Arial" w:cs="Arial" w:eastAsia="Arial" w:hAnsi="Arial"/>
                <w:sz w:val="12"/>
                <w:szCs w:val="12"/>
                <w:color w:val="auto"/>
              </w:rPr>
              <w:t>2022</w:t>
            </w:r>
          </w:p>
        </w:tc>
        <w:tc>
          <w:tcPr>
            <w:tcW w:w="1980" w:type="dxa"/>
            <w:vAlign w:val="bottom"/>
            <w:tcBorders>
              <w:top w:val="single" w:sz="8" w:color="7F7F7F"/>
            </w:tcBorders>
            <w:gridSpan w:val="2"/>
            <w:vMerge w:val="restart"/>
            <w:shd w:val="clear" w:color="auto" w:fill="F2F2F2"/>
          </w:tcPr>
          <w:p>
            <w:pPr>
              <w:jc w:val="right"/>
              <w:ind w:right="198"/>
              <w:spacing w:after="0"/>
              <w:rPr>
                <w:sz w:val="20"/>
                <w:szCs w:val="20"/>
                <w:color w:val="auto"/>
              </w:rPr>
            </w:pPr>
            <w:r>
              <w:rPr>
                <w:rFonts w:ascii="Arial" w:cs="Arial" w:eastAsia="Arial" w:hAnsi="Arial"/>
                <w:sz w:val="12"/>
                <w:szCs w:val="12"/>
                <w:color w:val="auto"/>
              </w:rPr>
              <w:t>$   2,671,503</w:t>
            </w:r>
          </w:p>
        </w:tc>
        <w:tc>
          <w:tcPr>
            <w:tcW w:w="1740" w:type="dxa"/>
            <w:vAlign w:val="bottom"/>
            <w:tcBorders>
              <w:top w:val="single" w:sz="8" w:color="7F7F7F"/>
            </w:tcBorders>
            <w:gridSpan w:val="2"/>
            <w:vMerge w:val="restart"/>
            <w:shd w:val="clear" w:color="auto" w:fill="F2F2F2"/>
          </w:tcPr>
          <w:p>
            <w:pPr>
              <w:ind w:left="700"/>
              <w:spacing w:after="0"/>
              <w:rPr>
                <w:sz w:val="20"/>
                <w:szCs w:val="20"/>
                <w:color w:val="auto"/>
              </w:rPr>
            </w:pPr>
            <w:r>
              <w:rPr>
                <w:rFonts w:ascii="Arial" w:cs="Arial" w:eastAsia="Arial" w:hAnsi="Arial"/>
                <w:sz w:val="12"/>
                <w:szCs w:val="12"/>
                <w:color w:val="auto"/>
              </w:rPr>
              <w:t>$    1,252,325</w:t>
            </w:r>
          </w:p>
        </w:tc>
        <w:tc>
          <w:tcPr>
            <w:tcW w:w="1080" w:type="dxa"/>
            <w:vAlign w:val="bottom"/>
            <w:tcBorders>
              <w:top w:val="single" w:sz="8" w:color="7F7F7F"/>
            </w:tcBorders>
            <w:vMerge w:val="restart"/>
            <w:shd w:val="clear" w:color="auto" w:fill="F2F2F2"/>
          </w:tcPr>
          <w:p>
            <w:pPr>
              <w:ind w:left="8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vMerge w:val="restart"/>
            <w:shd w:val="clear" w:color="auto" w:fill="F2F2F2"/>
          </w:tcPr>
          <w:p>
            <w:pPr>
              <w:ind w:left="60"/>
              <w:spacing w:after="0"/>
              <w:rPr>
                <w:sz w:val="20"/>
                <w:szCs w:val="20"/>
                <w:color w:val="auto"/>
              </w:rPr>
            </w:pPr>
            <w:r>
              <w:rPr>
                <w:rFonts w:ascii="Arial" w:cs="Arial" w:eastAsia="Arial" w:hAnsi="Arial"/>
                <w:sz w:val="12"/>
                <w:szCs w:val="12"/>
                <w:color w:val="auto"/>
              </w:rPr>
              <w:t>—</w:t>
            </w:r>
          </w:p>
        </w:tc>
        <w:tc>
          <w:tcPr>
            <w:tcW w:w="1900" w:type="dxa"/>
            <w:vAlign w:val="bottom"/>
            <w:tcBorders>
              <w:top w:val="single" w:sz="8" w:color="7F7F7F"/>
            </w:tcBorders>
            <w:gridSpan w:val="2"/>
            <w:vMerge w:val="restart"/>
            <w:shd w:val="clear" w:color="auto" w:fill="F2F2F2"/>
          </w:tcPr>
          <w:p>
            <w:pPr>
              <w:jc w:val="right"/>
              <w:ind w:right="258"/>
              <w:spacing w:after="0"/>
              <w:rPr>
                <w:sz w:val="20"/>
                <w:szCs w:val="20"/>
                <w:color w:val="auto"/>
              </w:rPr>
            </w:pPr>
            <w:r>
              <w:rPr>
                <w:rFonts w:ascii="Arial" w:cs="Arial" w:eastAsia="Arial" w:hAnsi="Arial"/>
                <w:sz w:val="12"/>
                <w:szCs w:val="12"/>
                <w:color w:val="auto"/>
              </w:rPr>
              <w:t>$       29,456</w:t>
            </w:r>
          </w:p>
        </w:tc>
        <w:tc>
          <w:tcPr>
            <w:tcW w:w="1400" w:type="dxa"/>
            <w:vAlign w:val="bottom"/>
            <w:tcBorders>
              <w:top w:val="single" w:sz="8" w:color="7F7F7F"/>
            </w:tcBorders>
            <w:gridSpan w:val="2"/>
            <w:vMerge w:val="restart"/>
            <w:shd w:val="clear" w:color="auto" w:fill="F2F2F2"/>
          </w:tcPr>
          <w:p>
            <w:pPr>
              <w:jc w:val="right"/>
              <w:spacing w:after="0"/>
              <w:rPr>
                <w:sz w:val="20"/>
                <w:szCs w:val="20"/>
                <w:color w:val="auto"/>
              </w:rPr>
            </w:pPr>
            <w:r>
              <w:rPr>
                <w:rFonts w:ascii="Arial" w:cs="Arial" w:eastAsia="Arial" w:hAnsi="Arial"/>
                <w:sz w:val="12"/>
                <w:szCs w:val="12"/>
                <w:color w:val="auto"/>
              </w:rPr>
              <w:t>$   3,953,284</w:t>
            </w: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60" w:type="dxa"/>
            <w:vAlign w:val="bottom"/>
            <w:tcBorders>
              <w:bottom w:val="single" w:sz="8" w:color="F2F2F2"/>
            </w:tcBorders>
            <w:vMerge w:val="continue"/>
            <w:shd w:val="clear" w:color="auto" w:fill="F2F2F2"/>
          </w:tcPr>
          <w:p>
            <w:pPr>
              <w:spacing w:after="0"/>
              <w:rPr>
                <w:sz w:val="17"/>
                <w:szCs w:val="17"/>
                <w:color w:val="auto"/>
              </w:rPr>
            </w:pPr>
          </w:p>
        </w:tc>
        <w:tc>
          <w:tcPr>
            <w:tcW w:w="1980" w:type="dxa"/>
            <w:vAlign w:val="bottom"/>
            <w:tcBorders>
              <w:bottom w:val="single" w:sz="8" w:color="F2F2F2"/>
            </w:tcBorders>
            <w:gridSpan w:val="2"/>
            <w:vMerge w:val="continue"/>
            <w:shd w:val="clear" w:color="auto" w:fill="F2F2F2"/>
          </w:tcPr>
          <w:p>
            <w:pPr>
              <w:spacing w:after="0"/>
              <w:rPr>
                <w:sz w:val="17"/>
                <w:szCs w:val="17"/>
                <w:color w:val="auto"/>
              </w:rPr>
            </w:pPr>
          </w:p>
        </w:tc>
        <w:tc>
          <w:tcPr>
            <w:tcW w:w="1740" w:type="dxa"/>
            <w:vAlign w:val="bottom"/>
            <w:tcBorders>
              <w:bottom w:val="single" w:sz="8" w:color="F2F2F2"/>
            </w:tcBorders>
            <w:gridSpan w:val="2"/>
            <w:vMerge w:val="continue"/>
            <w:shd w:val="clear" w:color="auto" w:fill="F2F2F2"/>
          </w:tcPr>
          <w:p>
            <w:pPr>
              <w:spacing w:after="0"/>
              <w:rPr>
                <w:sz w:val="17"/>
                <w:szCs w:val="17"/>
                <w:color w:val="auto"/>
              </w:rPr>
            </w:pPr>
          </w:p>
        </w:tc>
        <w:tc>
          <w:tcPr>
            <w:tcW w:w="1080" w:type="dxa"/>
            <w:vAlign w:val="bottom"/>
            <w:tcBorders>
              <w:bottom w:val="single" w:sz="8" w:color="F2F2F2"/>
            </w:tcBorders>
            <w:vMerge w:val="continue"/>
            <w:shd w:val="clear" w:color="auto" w:fill="F2F2F2"/>
          </w:tcPr>
          <w:p>
            <w:pPr>
              <w:spacing w:after="0"/>
              <w:rPr>
                <w:sz w:val="17"/>
                <w:szCs w:val="17"/>
                <w:color w:val="auto"/>
              </w:rPr>
            </w:pPr>
          </w:p>
        </w:tc>
        <w:tc>
          <w:tcPr>
            <w:tcW w:w="620" w:type="dxa"/>
            <w:vAlign w:val="bottom"/>
            <w:tcBorders>
              <w:bottom w:val="single" w:sz="8" w:color="F2F2F2"/>
            </w:tcBorders>
            <w:vMerge w:val="continue"/>
            <w:shd w:val="clear" w:color="auto" w:fill="F2F2F2"/>
          </w:tcPr>
          <w:p>
            <w:pPr>
              <w:spacing w:after="0"/>
              <w:rPr>
                <w:sz w:val="17"/>
                <w:szCs w:val="17"/>
                <w:color w:val="auto"/>
              </w:rPr>
            </w:pPr>
          </w:p>
        </w:tc>
        <w:tc>
          <w:tcPr>
            <w:tcW w:w="1900" w:type="dxa"/>
            <w:vAlign w:val="bottom"/>
            <w:tcBorders>
              <w:bottom w:val="single" w:sz="8" w:color="F2F2F2"/>
            </w:tcBorders>
            <w:gridSpan w:val="2"/>
            <w:vMerge w:val="continue"/>
            <w:shd w:val="clear" w:color="auto" w:fill="F2F2F2"/>
          </w:tcPr>
          <w:p>
            <w:pPr>
              <w:spacing w:after="0"/>
              <w:rPr>
                <w:sz w:val="17"/>
                <w:szCs w:val="17"/>
                <w:color w:val="auto"/>
              </w:rPr>
            </w:pPr>
          </w:p>
        </w:tc>
        <w:tc>
          <w:tcPr>
            <w:tcW w:w="1400" w:type="dxa"/>
            <w:vAlign w:val="bottom"/>
            <w:tcBorders>
              <w:bottom w:val="single" w:sz="8" w:color="F2F2F2"/>
            </w:tcBorders>
            <w:gridSpan w:val="2"/>
            <w:vMerge w:val="continue"/>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2021</w:t>
            </w:r>
          </w:p>
        </w:tc>
        <w:tc>
          <w:tcPr>
            <w:tcW w:w="110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tcBorders>
          </w:tcPr>
          <w:p>
            <w:pPr>
              <w:jc w:val="right"/>
              <w:ind w:right="198"/>
              <w:spacing w:after="0"/>
              <w:rPr>
                <w:sz w:val="20"/>
                <w:szCs w:val="20"/>
                <w:color w:val="auto"/>
              </w:rPr>
            </w:pPr>
            <w:r>
              <w:rPr>
                <w:rFonts w:ascii="Arial" w:cs="Arial" w:eastAsia="Arial" w:hAnsi="Arial"/>
                <w:sz w:val="12"/>
                <w:szCs w:val="12"/>
                <w:color w:val="auto"/>
              </w:rPr>
              <w:t>1,610,174</w:t>
            </w:r>
          </w:p>
        </w:tc>
        <w:tc>
          <w:tcPr>
            <w:tcW w:w="820" w:type="dxa"/>
            <w:vAlign w:val="bottom"/>
            <w:tcBorders>
              <w:top w:val="single" w:sz="8" w:color="7F7F7F"/>
            </w:tcBorders>
          </w:tcPr>
          <w:p>
            <w:pPr>
              <w:ind w:left="700"/>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7F7F7F"/>
            </w:tcBorders>
          </w:tcPr>
          <w:p>
            <w:pPr>
              <w:jc w:val="right"/>
              <w:ind w:right="178"/>
              <w:spacing w:after="0"/>
              <w:rPr>
                <w:sz w:val="20"/>
                <w:szCs w:val="20"/>
                <w:color w:val="auto"/>
              </w:rPr>
            </w:pPr>
            <w:r>
              <w:rPr>
                <w:rFonts w:ascii="Arial" w:cs="Arial" w:eastAsia="Arial" w:hAnsi="Arial"/>
                <w:sz w:val="12"/>
                <w:szCs w:val="12"/>
                <w:color w:val="auto"/>
              </w:rPr>
              <w:t>(739,051)</w:t>
            </w:r>
          </w:p>
        </w:tc>
        <w:tc>
          <w:tcPr>
            <w:tcW w:w="1080" w:type="dxa"/>
            <w:vAlign w:val="bottom"/>
            <w:tcBorders>
              <w:top w:val="single" w:sz="8" w:color="7F7F7F"/>
            </w:tcBorders>
          </w:tcPr>
          <w:p>
            <w:pPr>
              <w:ind w:left="82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7F7F7F"/>
            </w:tcBorders>
          </w:tcPr>
          <w:p>
            <w:pPr>
              <w:ind w:left="60"/>
              <w:spacing w:after="0"/>
              <w:rPr>
                <w:sz w:val="20"/>
                <w:szCs w:val="20"/>
                <w:color w:val="auto"/>
              </w:rPr>
            </w:pPr>
            <w:r>
              <w:rPr>
                <w:rFonts w:ascii="Arial" w:cs="Arial" w:eastAsia="Arial" w:hAnsi="Arial"/>
                <w:sz w:val="12"/>
                <w:szCs w:val="12"/>
                <w:color w:val="auto"/>
              </w:rPr>
              <w:t>—</w:t>
            </w:r>
          </w:p>
        </w:tc>
        <w:tc>
          <w:tcPr>
            <w:tcW w:w="102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top w:val="single" w:sz="8" w:color="7F7F7F"/>
            </w:tcBorders>
          </w:tcPr>
          <w:p>
            <w:pPr>
              <w:jc w:val="right"/>
              <w:ind w:right="198"/>
              <w:spacing w:after="0"/>
              <w:rPr>
                <w:sz w:val="20"/>
                <w:szCs w:val="20"/>
                <w:color w:val="auto"/>
              </w:rPr>
            </w:pPr>
            <w:r>
              <w:rPr>
                <w:rFonts w:ascii="Arial" w:cs="Arial" w:eastAsia="Arial" w:hAnsi="Arial"/>
                <w:sz w:val="12"/>
                <w:szCs w:val="12"/>
                <w:color w:val="auto"/>
              </w:rPr>
              <w:t>(26,556)</w:t>
            </w:r>
          </w:p>
        </w:tc>
        <w:tc>
          <w:tcPr>
            <w:tcW w:w="76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top w:val="single" w:sz="8" w:color="7F7F7F"/>
            </w:tcBorders>
          </w:tcPr>
          <w:p>
            <w:pPr>
              <w:jc w:val="right"/>
              <w:spacing w:after="0"/>
              <w:rPr>
                <w:sz w:val="20"/>
                <w:szCs w:val="20"/>
                <w:color w:val="auto"/>
              </w:rPr>
            </w:pPr>
            <w:r>
              <w:rPr>
                <w:rFonts w:ascii="Arial" w:cs="Arial" w:eastAsia="Arial" w:hAnsi="Arial"/>
                <w:sz w:val="12"/>
                <w:szCs w:val="12"/>
                <w:color w:val="auto"/>
              </w:rPr>
              <w:t>844,567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34290</wp:posOffset>
            </wp:positionV>
            <wp:extent cx="60210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021070" cy="8255"/>
                    </a:xfrm>
                    <a:prstGeom prst="rect">
                      <a:avLst/>
                    </a:prstGeom>
                    <a:noFill/>
                  </pic:spPr>
                </pic:pic>
              </a:graphicData>
            </a:graphic>
          </wp:anchor>
        </w:drawing>
      </w:r>
    </w:p>
    <w:p>
      <w:pPr>
        <w:spacing w:after="0" w:line="109" w:lineRule="exact"/>
        <w:rPr>
          <w:sz w:val="20"/>
          <w:szCs w:val="20"/>
          <w:color w:val="auto"/>
        </w:rPr>
      </w:pPr>
    </w:p>
    <w:p>
      <w:pPr>
        <w:ind w:left="1740" w:right="460" w:hanging="315"/>
        <w:spacing w:after="0" w:line="267" w:lineRule="auto"/>
        <w:tabs>
          <w:tab w:leader="none" w:pos="174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year-end fair value of any Equity Awards granted in the applicable year that were outstanding and unvested as of the end of the applicable year (or, for the Non-PEO NEOs, the average of such year-end fair values);</w:t>
      </w:r>
    </w:p>
    <w:p>
      <w:pPr>
        <w:ind w:left="1740" w:right="660" w:hanging="315"/>
        <w:spacing w:after="0" w:line="267" w:lineRule="auto"/>
        <w:tabs>
          <w:tab w:leader="none" w:pos="174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amount of change as of the end of the applicable year (from the end of the prior year) in the fair value of Equity Awards granted in prior years that were outstanding and unvested as of the end of the applicable year (or, for the Non-PEO NEOs, the average of such amounts of change);</w:t>
      </w:r>
    </w:p>
    <w:p>
      <w:pPr>
        <w:ind w:left="1740" w:right="160" w:hanging="315"/>
        <w:spacing w:after="0" w:line="267" w:lineRule="auto"/>
        <w:tabs>
          <w:tab w:leader="none" w:pos="174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fair value as of the vesting date of Equity Awards that were granted and vested in the same applicable year (or, for the Non-PEO NEOs, the average of such fair values); and</w:t>
      </w:r>
    </w:p>
    <w:p>
      <w:pPr>
        <w:ind w:left="1740" w:right="420" w:hanging="315"/>
        <w:spacing w:after="0" w:line="259" w:lineRule="auto"/>
        <w:tabs>
          <w:tab w:leader="none" w:pos="174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the amount of change as of the vesting date (from the end of the prior year) in the fair value of Equity Awards that were granted in prior years and vested in the applicable year (or, for the Non-PEO NEOs, the average of such amounts of change).</w:t>
      </w:r>
    </w:p>
    <w:p>
      <w:pPr>
        <w:spacing w:after="0" w:line="1" w:lineRule="exact"/>
        <w:rPr>
          <w:sz w:val="20"/>
          <w:szCs w:val="20"/>
          <w:color w:val="auto"/>
        </w:rPr>
      </w:pPr>
    </w:p>
    <w:p>
      <w:pPr>
        <w:ind w:left="1420" w:right="480"/>
        <w:spacing w:after="0" w:line="263" w:lineRule="auto"/>
        <w:rPr>
          <w:sz w:val="20"/>
          <w:szCs w:val="20"/>
          <w:color w:val="auto"/>
        </w:rPr>
      </w:pPr>
      <w:r>
        <w:rPr>
          <w:rFonts w:ascii="Arial" w:cs="Arial" w:eastAsia="Arial" w:hAnsi="Arial"/>
          <w:sz w:val="12"/>
          <w:szCs w:val="12"/>
          <w:color w:val="auto"/>
        </w:rPr>
        <w:t>No Equity Awards were granted in prior years that were determined to fail to meet the applicable vesting conditions during the applicable year and no dollar value of dividends or other earnings paid on Equity Awards in the applicable year is not otherwise reflected in the fair value of such award.</w:t>
      </w:r>
    </w:p>
    <w:p>
      <w:pPr>
        <w:spacing w:after="0" w:line="1" w:lineRule="exact"/>
        <w:rPr>
          <w:sz w:val="20"/>
          <w:szCs w:val="20"/>
          <w:color w:val="auto"/>
        </w:rPr>
      </w:pPr>
    </w:p>
    <w:p>
      <w:pPr>
        <w:ind w:left="1420" w:right="200"/>
        <w:spacing w:after="0" w:line="267" w:lineRule="auto"/>
        <w:rPr>
          <w:sz w:val="20"/>
          <w:szCs w:val="20"/>
          <w:color w:val="auto"/>
        </w:rPr>
      </w:pPr>
      <w:r>
        <w:rPr>
          <w:rFonts w:ascii="Arial" w:cs="Arial" w:eastAsia="Arial" w:hAnsi="Arial"/>
          <w:sz w:val="12"/>
          <w:szCs w:val="12"/>
          <w:color w:val="auto"/>
        </w:rPr>
        <w:t>The value of Equity Awards included in CAP, as reported in columns (c) and (e), is impacted by changes in our stock price. Our year-end stock price was $88.29 in 2025, $87.72 in 2024, $74.73 in 2023, $77.27 in 2022, $66.14 in 2021 and $63.705 in 2020.</w:t>
      </w:r>
    </w:p>
    <w:p>
      <w:pPr>
        <w:spacing w:after="0" w:line="1" w:lineRule="exact"/>
        <w:rPr>
          <w:sz w:val="20"/>
          <w:szCs w:val="20"/>
          <w:color w:val="auto"/>
        </w:rPr>
      </w:pPr>
    </w:p>
    <w:p>
      <w:pPr>
        <w:ind w:left="1200" w:right="40" w:hanging="323"/>
        <w:spacing w:after="0" w:line="267" w:lineRule="auto"/>
        <w:tabs>
          <w:tab w:leader="none" w:pos="120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The amounts in this column reflect the aggregate change in the actuarial present value of accumulated benefits under all defined benefit and actuarial pension plans reported in the SCT for the applicable year. Above-market interest on nonqualified deferred compensation reported in the SCT for the applicable year are not reflected.</w:t>
      </w:r>
    </w:p>
    <w:p>
      <w:pPr>
        <w:ind w:left="1200" w:right="40" w:hanging="323"/>
        <w:spacing w:after="0" w:line="267" w:lineRule="auto"/>
        <w:tabs>
          <w:tab w:leader="none" w:pos="1200" w:val="left"/>
        </w:tabs>
        <w:numPr>
          <w:ilvl w:val="1"/>
          <w:numId w:val="124"/>
        </w:numPr>
        <w:rPr>
          <w:rFonts w:ascii="Arial" w:cs="Arial" w:eastAsia="Arial" w:hAnsi="Arial"/>
          <w:sz w:val="12"/>
          <w:szCs w:val="12"/>
          <w:color w:val="auto"/>
        </w:rPr>
      </w:pPr>
      <w:r>
        <w:rPr>
          <w:rFonts w:ascii="Arial" w:cs="Arial" w:eastAsia="Arial" w:hAnsi="Arial"/>
          <w:sz w:val="12"/>
          <w:szCs w:val="12"/>
          <w:color w:val="auto"/>
        </w:rPr>
        <w:t>The amounts in this column reflect the actuarily determined service cost for services rendered during each applicable year under all defined benefit and actuarial pension plans. There were no plan amendments to defined benefit and actuarial pension plans during the applicable years that resulted in adjustments for prior service costs.</w:t>
      </w:r>
    </w:p>
    <w:p>
      <w:pPr>
        <w:jc w:val="both"/>
        <w:ind w:left="320" w:right="80" w:hanging="313"/>
        <w:spacing w:after="0" w:line="244" w:lineRule="auto"/>
        <w:tabs>
          <w:tab w:leader="none" w:pos="3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cumulative TSR reflected in each of columns (f) and (g) reflects a five-year measurement period for 2025, a four-year measurement period for 2024, a three-year measurement period for 2023, a two-year measurement period for 2022 and a one-year measurement period for 2021, in each case for the period starting on December 31, 2020 and assuming the reinvestment of all dividends. Consistent with the performance graph included in our 2025 Annual Report to Shareholders, the peer group TSR in column (g) is calculated using the S&amp;P 500 Utilities Index as our peer group, with the returns of each component issuer in such index weighted according to the respective issuers’ market capitalization. For additional information, including historical TSR for the company and the S&amp;P 500 and S&amp;P 500 Utilities Indices, see “Executive Summary—Long-Term Growth” in the Compensation Discussion and Analysis in this proxy statement.</w:t>
      </w:r>
    </w:p>
    <w:p>
      <w:pPr>
        <w:spacing w:after="0" w:line="7" w:lineRule="exact"/>
        <w:rPr>
          <w:sz w:val="20"/>
          <w:szCs w:val="20"/>
          <w:color w:val="auto"/>
        </w:rPr>
      </w:pPr>
    </w:p>
    <w:p>
      <w:pPr>
        <w:ind w:left="320" w:right="60" w:hanging="313"/>
        <w:spacing w:after="0"/>
        <w:tabs>
          <w:tab w:leader="none" w:pos="3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As part of our compensation program, we granted Equity Awards to our named executive officers in 2021, 2022, 2023, 2024 and 2025 that use multiple performance measures, including TSR relative to the S&amp;P 500 Utilities Index and the S&amp;P 500 Index. The TSR for the S&amp;P 500 Utilities Index reflected in column (g) differs from the TSR used for our performance-based restricted stock unit awards because the TSR reflected in column (g) is based on the market-capitalization-weighted index while the TSR used for our performance-based restricted stock unit awards is based on our TSR percentile ranking relative to the companies in the S&amp;P 500 Utilities Index, excluding water companies, or the companies in the S&amp;P 500 Index, in each case for the three-year performance period for such awards. For additional information about the performance measures used in our annual long-term incentive plan awards, see “Compensation Components— Long-Term Equity-Based Incentives—Rationale for 2025 Annual LTIP Award Design” and “Compensation Components—Long-Term Equity-Based Incentives—Performance Goals for the 2025 Performance-Based Restricted Stock Units” in the Compensation Discussion and Analysis in this proxy statement.</w:t>
      </w:r>
    </w:p>
    <w:p>
      <w:pPr>
        <w:spacing w:after="0" w:line="10" w:lineRule="exact"/>
        <w:rPr>
          <w:rFonts w:ascii="Arial" w:cs="Arial" w:eastAsia="Arial" w:hAnsi="Arial"/>
          <w:sz w:val="12"/>
          <w:szCs w:val="12"/>
          <w:color w:val="auto"/>
        </w:rPr>
      </w:pPr>
    </w:p>
    <w:p>
      <w:pPr>
        <w:ind w:left="320" w:right="100" w:hanging="313"/>
        <w:spacing w:after="0" w:line="259" w:lineRule="auto"/>
        <w:tabs>
          <w:tab w:leader="none" w:pos="3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value of our TSR is impacted by changes in our stock price. Our year-end stock price was $88.29 in 2025, $87.72 in 2024, $74.73 in 2023, $77.27 in 2022, $66.14 in 2021 and $63.705 in 2020.</w:t>
      </w:r>
    </w:p>
    <w:p>
      <w:pPr>
        <w:spacing w:after="0" w:line="159" w:lineRule="exact"/>
        <w:rPr>
          <w:sz w:val="20"/>
          <w:szCs w:val="20"/>
          <w:color w:val="auto"/>
        </w:rPr>
      </w:pPr>
    </w:p>
    <w:p>
      <w:pPr>
        <w:ind w:left="320" w:right="100" w:hanging="313"/>
        <w:spacing w:after="0" w:line="255" w:lineRule="auto"/>
        <w:tabs>
          <w:tab w:leader="none" w:pos="32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Net income represents the amount of net income reflected in our audited financial statements for the applicable fiscal year and includes preferred stock dividends, preferred stock dividends of subsidiaries and earnings attributable to noncontrolling interests. Earnings attributable to common shares, which exclude these items, were $1,796 million in 2025, $2,817 million in 2024, $3,030 million in 2023, $2,094 million in 2022 and $1,254 million in 2021.</w:t>
      </w:r>
    </w:p>
    <w:p>
      <w:pPr>
        <w:spacing w:after="0" w:line="1" w:lineRule="exact"/>
        <w:rPr>
          <w:sz w:val="20"/>
          <w:szCs w:val="20"/>
          <w:color w:val="auto"/>
        </w:rPr>
      </w:pPr>
    </w:p>
    <w:p>
      <w:pPr>
        <w:ind w:left="320" w:right="260" w:hanging="313"/>
        <w:spacing w:after="0" w:line="267" w:lineRule="auto"/>
        <w:tabs>
          <w:tab w:leader="none" w:pos="3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CAP, as reported in columns (c) and (e), includes cash awards under the annual bonus plan. The company financial performance measure under the plan is ABP Earnings. A description of ABP Earnings and its relationship to net income is provided below in footnote (D).</w:t>
      </w:r>
    </w:p>
    <w:p>
      <w:pPr>
        <w:spacing w:after="0" w:line="1" w:lineRule="exact"/>
        <w:rPr>
          <w:sz w:val="20"/>
          <w:szCs w:val="20"/>
          <w:color w:val="auto"/>
        </w:rPr>
      </w:pPr>
    </w:p>
    <w:p>
      <w:pPr>
        <w:ind w:left="320" w:right="240" w:hanging="313"/>
        <w:spacing w:after="0" w:line="248" w:lineRule="auto"/>
        <w:tabs>
          <w:tab w:leader="none" w:pos="3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Although we use numerous financial and non-financial performance measures for the purpose of evaluating company performance for our executive compensation program, we have determined that ABP Earnings is the financial performance measure that, in our assessment, represents the most important performance measure (that is not otherwise required to be disclosed in this table) used to link CAP for the most recently completed fiscal year to company performance. The Compensation and Talent Development Committee uses ABP Earnings, a non-GAAP financial measure, as the company financial performance measure in the annual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69297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86               </w:t>
      </w:r>
      <w:r>
        <w:rPr>
          <w:sz w:val="1"/>
          <w:szCs w:val="1"/>
          <w:color w:val="auto"/>
        </w:rPr>
        <w:drawing>
          <wp:inline distT="0" distB="0" distL="0" distR="0">
            <wp:extent cx="739140" cy="153035"/>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0920"/>
          </w:cols>
          <w:pgMar w:left="480" w:top="300" w:right="499" w:bottom="1440" w:gutter="0" w:footer="0" w:header="0"/>
        </w:sectPr>
      </w:pPr>
    </w:p>
    <w:bookmarkStart w:id="94" w:name="page95"/>
    <w:bookmarkEnd w:id="94"/>
    <w:p>
      <w:pPr>
        <w:ind w:left="9640"/>
        <w:spacing w:after="0"/>
        <w:rPr>
          <w:sz w:val="20"/>
          <w:szCs w:val="20"/>
          <w:color w:val="auto"/>
        </w:rPr>
      </w:pPr>
      <w:r>
        <w:rPr>
          <w:rFonts w:ascii="Arial" w:cs="Arial" w:eastAsia="Arial" w:hAnsi="Arial"/>
          <w:sz w:val="10"/>
          <w:szCs w:val="10"/>
          <w:b w:val="1"/>
          <w:bCs w:val="1"/>
          <w:color w:val="7F7F7F"/>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148" w:lineRule="exact"/>
        <w:rPr>
          <w:sz w:val="20"/>
          <w:szCs w:val="20"/>
          <w:color w:val="auto"/>
        </w:rPr>
      </w:pPr>
    </w:p>
    <w:p>
      <w:pPr>
        <w:ind w:left="320" w:right="120"/>
        <w:spacing w:after="0"/>
        <w:rPr>
          <w:sz w:val="20"/>
          <w:szCs w:val="20"/>
          <w:color w:val="auto"/>
        </w:rPr>
      </w:pPr>
      <w:r>
        <w:rPr>
          <w:rFonts w:ascii="Arial" w:cs="Arial" w:eastAsia="Arial" w:hAnsi="Arial"/>
          <w:sz w:val="12"/>
          <w:szCs w:val="12"/>
          <w:color w:val="auto"/>
        </w:rPr>
        <w:t>The amount reported in column (i), which represents earnings used for annual bonus plan purposes (or ABP Earnings), is calculated as Sempra’s GAAP net income, excluding earnings attributable to noncontrolling interests and preferred stock dividends and subject to certain other predefined adjustments. ABP Earnings may be higher or lower than earnings reported in our financial statements (labeled as “earnings attributable to common shares” or “GAAP Earnings”) due to these adjustments, which are described in “Compensation Components—Performance-Based Annual Bonuses—Reconciliation of GAAP Earnings to ABP Earnings” in the Compensation Discussion and Analysis in this proxy statement and in Appendix B to this proxy statement. For additional information about the performance measures used in our annual bonus plan, see “Compensation Components—Performance-Based Annual Bonuses—Annual Bonus Plan Performance Measures” and “Compensation Components—Performance-Based Annual Bonuses—ABP Earnings Goal Determination” in the Compensation Discussion and Analysis in this proxy statement.</w:t>
      </w:r>
    </w:p>
    <w:p>
      <w:pPr>
        <w:spacing w:after="0" w:line="148" w:lineRule="exact"/>
        <w:rPr>
          <w:sz w:val="20"/>
          <w:szCs w:val="20"/>
          <w:color w:val="auto"/>
        </w:rPr>
      </w:pPr>
    </w:p>
    <w:p>
      <w:pPr>
        <w:ind w:left="320" w:right="240" w:hanging="313"/>
        <w:spacing w:after="0" w:line="279" w:lineRule="auto"/>
        <w:tabs>
          <w:tab w:leader="none" w:pos="3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PEO for 2021 through 2025 was Mr. Martin. The Non-PEO NEOs for 2021 through 2023 were Ms. Sedgwick and Messrs. Mihalik, Sagara and Wall. The Non-PEO NEOs for 2024 were Mss. Day and Sedgwick and Messrs. Bird and Mihalik. The Non-PEO NEOs for 2025 were Mss. Day, Sedgwick and Winn and Mr. Bird.</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CAP Relationships</w:t>
      </w:r>
    </w:p>
    <w:p>
      <w:pPr>
        <w:spacing w:after="0" w:line="12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relationships between the company’s TSR and the peer group TSR reported in the 2025 Pay-Versus-Performance table above, as well as between CAP and the company’s TSR, net income and ABP Earnings are shown below. As shown in these charts and as more fully described in the notes to the 2025 Pay-Versus-Performance table above and the Compensation Discussion and Analysis in this proxy statement, there is some alignment between CAP and the company’s TSR and ABP Earnings, as these are measures that have been selected by the Compensation and Talent Development Committee for use in various elements of our executive compensation program for purposes of aligning executive compensation with company performance. Importantly, because a majority of target total direct pay to our named executive officers is delivered in the form of long-term equity-based incentives (74% for our PEO and an average of 56% for our Non-PEO NEOs), the change in CAP over time is driven primarily by our stock price and our performance against the metrics that determine vesting of our performance-based restricted stock units, which significantly influence the fair value of Equity Awards as calculated for purposes of CAP and were the primary drivers of the decrease in CAP from 2022 to 2023 and 2024 to 2025 in spite of the slight increase or flat performance in TSR and ABP Earnings over the same period. There is less alignment between CAP and the company’s net income because net income, which includes earnings attributable to noncontrolling interests and other amounts that are not indicative of the company’s performance, is not used in our executive compensation program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244475</wp:posOffset>
            </wp:positionV>
            <wp:extent cx="6929755" cy="49510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29755" cy="4951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87</w:t>
      </w:r>
    </w:p>
    <w:p>
      <w:pPr>
        <w:sectPr>
          <w:pgSz w:w="11900" w:h="16838" w:orient="portrait"/>
          <w:cols w:equalWidth="0" w:num="1">
            <w:col w:w="10920"/>
          </w:cols>
          <w:pgMar w:left="480" w:top="300" w:right="499" w:bottom="1440" w:gutter="0" w:footer="0" w:header="0"/>
        </w:sectPr>
      </w:pPr>
    </w:p>
    <w:bookmarkStart w:id="95" w:name="page96"/>
    <w:bookmarkEnd w:id="95"/>
    <w:p>
      <w:pPr>
        <w:spacing w:after="0"/>
        <w:rPr>
          <w:sz w:val="20"/>
          <w:szCs w:val="20"/>
          <w:color w:val="auto"/>
        </w:rPr>
      </w:pPr>
      <w:r>
        <w:rPr>
          <w:rFonts w:ascii="Arial" w:cs="Arial" w:eastAsia="Arial" w:hAnsi="Arial"/>
          <w:sz w:val="11"/>
          <w:szCs w:val="11"/>
          <w:b w:val="1"/>
          <w:bCs w:val="1"/>
          <w:color w:val="7F7F7F"/>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97790</wp:posOffset>
            </wp:positionV>
            <wp:extent cx="4161155" cy="197866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16115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Important Performance Measures</w:t>
      </w:r>
    </w:p>
    <w:p>
      <w:pPr>
        <w:spacing w:after="0" w:line="125"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As described in the Compensation Discussion and Analysis in this proxy statement, one of the key principles of our executive compensation philosophy is to align pay with short-term and long-term company performance. In our assessment, the most important performance measures used to link executive compensation actually paid to our named executive officers for the most recently completed fiscal year to the company’s performance are listed in the table below. This list includes Safety Measures and RBP Measures, which are non-financial performance measures.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20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Performance Measure</w:t>
            </w:r>
          </w:p>
        </w:tc>
        <w:tc>
          <w:tcPr>
            <w:tcW w:w="1100" w:type="dxa"/>
            <w:vAlign w:val="bottom"/>
            <w:tcBorders>
              <w:bottom w:val="single" w:sz="8" w:color="005CB9"/>
              <w:right w:val="single" w:sz="8" w:color="005CB9"/>
            </w:tcBorders>
            <w:shd w:val="clear" w:color="auto" w:fill="005CB9"/>
          </w:tcPr>
          <w:p>
            <w:pPr>
              <w:spacing w:after="0"/>
              <w:rPr>
                <w:sz w:val="23"/>
                <w:szCs w:val="23"/>
                <w:color w:val="auto"/>
              </w:rPr>
            </w:pPr>
          </w:p>
        </w:tc>
        <w:tc>
          <w:tcPr>
            <w:tcW w:w="7620" w:type="dxa"/>
            <w:vAlign w:val="bottom"/>
            <w:tcBorders>
              <w:bottom w:val="single" w:sz="8" w:color="005CB9"/>
            </w:tcBorders>
            <w:shd w:val="clear" w:color="auto" w:fill="005CB9"/>
          </w:tcPr>
          <w:p>
            <w:pPr>
              <w:ind w:left="3520"/>
              <w:spacing w:after="0"/>
              <w:rPr>
                <w:sz w:val="20"/>
                <w:szCs w:val="20"/>
                <w:color w:val="auto"/>
              </w:rPr>
            </w:pPr>
            <w:r>
              <w:rPr>
                <w:rFonts w:ascii="Arial" w:cs="Arial" w:eastAsia="Arial" w:hAnsi="Arial"/>
                <w:sz w:val="14"/>
                <w:szCs w:val="14"/>
                <w:b w:val="1"/>
                <w:bCs w:val="1"/>
                <w:color w:val="FFFFFF"/>
              </w:rPr>
              <w:t>Description</w:t>
            </w:r>
          </w:p>
        </w:tc>
      </w:tr>
      <w:tr>
        <w:trPr>
          <w:trHeight w:val="218"/>
        </w:trPr>
        <w:tc>
          <w:tcPr>
            <w:tcW w:w="2200" w:type="dxa"/>
            <w:vAlign w:val="bottom"/>
          </w:tcPr>
          <w:p>
            <w:pPr>
              <w:ind w:left="80"/>
              <w:spacing w:after="0"/>
              <w:rPr>
                <w:sz w:val="20"/>
                <w:szCs w:val="20"/>
                <w:color w:val="auto"/>
              </w:rPr>
            </w:pPr>
            <w:r>
              <w:rPr>
                <w:rFonts w:ascii="Arial" w:cs="Arial" w:eastAsia="Arial" w:hAnsi="Arial"/>
                <w:sz w:val="14"/>
                <w:szCs w:val="14"/>
                <w:color w:val="auto"/>
              </w:rPr>
              <w:t>ABP Earnings</w:t>
            </w:r>
          </w:p>
        </w:tc>
        <w:tc>
          <w:tcPr>
            <w:tcW w:w="1100" w:type="dxa"/>
            <w:vAlign w:val="bottom"/>
            <w:tcBorders>
              <w:right w:val="single" w:sz="8" w:color="7F7F7F"/>
            </w:tcBorders>
          </w:tcPr>
          <w:p>
            <w:pPr>
              <w:spacing w:after="0"/>
              <w:rPr>
                <w:sz w:val="18"/>
                <w:szCs w:val="18"/>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See footnote (D) to the 2025 Pay-Versus-Performance table for information about the use of ABP Earnings in our</w:t>
            </w:r>
          </w:p>
        </w:tc>
      </w:tr>
      <w:tr>
        <w:trPr>
          <w:trHeight w:val="189"/>
        </w:trPr>
        <w:tc>
          <w:tcPr>
            <w:tcW w:w="2200" w:type="dxa"/>
            <w:vAlign w:val="bottom"/>
          </w:tcPr>
          <w:p>
            <w:pPr>
              <w:spacing w:after="0"/>
              <w:rPr>
                <w:sz w:val="16"/>
                <w:szCs w:val="16"/>
                <w:color w:val="auto"/>
              </w:rPr>
            </w:pPr>
          </w:p>
        </w:tc>
        <w:tc>
          <w:tcPr>
            <w:tcW w:w="1100" w:type="dxa"/>
            <w:vAlign w:val="bottom"/>
            <w:tcBorders>
              <w:right w:val="single" w:sz="8" w:color="7F7F7F"/>
            </w:tcBorders>
          </w:tcPr>
          <w:p>
            <w:pPr>
              <w:spacing w:after="0"/>
              <w:rPr>
                <w:sz w:val="16"/>
                <w:szCs w:val="16"/>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2025 executive compensation program.</w:t>
            </w:r>
          </w:p>
        </w:tc>
      </w:tr>
      <w:tr>
        <w:trPr>
          <w:trHeight w:val="48"/>
        </w:trPr>
        <w:tc>
          <w:tcPr>
            <w:tcW w:w="3300" w:type="dxa"/>
            <w:vAlign w:val="bottom"/>
            <w:tcBorders>
              <w:bottom w:val="single" w:sz="8" w:color="7F7F7F"/>
              <w:right w:val="single" w:sz="8" w:color="7F7F7F"/>
            </w:tcBorders>
            <w:gridSpan w:val="2"/>
          </w:tcPr>
          <w:p>
            <w:pPr>
              <w:spacing w:after="0"/>
              <w:rPr>
                <w:sz w:val="4"/>
                <w:szCs w:val="4"/>
                <w:color w:val="auto"/>
              </w:rPr>
            </w:pPr>
          </w:p>
        </w:tc>
        <w:tc>
          <w:tcPr>
            <w:tcW w:w="7620" w:type="dxa"/>
            <w:vAlign w:val="bottom"/>
            <w:tcBorders>
              <w:bottom w:val="single" w:sz="8" w:color="7F7F7F"/>
            </w:tcBorders>
          </w:tcPr>
          <w:p>
            <w:pPr>
              <w:spacing w:after="0"/>
              <w:rPr>
                <w:sz w:val="4"/>
                <w:szCs w:val="4"/>
                <w:color w:val="auto"/>
              </w:rPr>
            </w:pPr>
          </w:p>
        </w:tc>
      </w:tr>
      <w:tr>
        <w:trPr>
          <w:trHeight w:val="198"/>
        </w:trPr>
        <w:tc>
          <w:tcPr>
            <w:tcW w:w="3300" w:type="dxa"/>
            <w:vAlign w:val="bottom"/>
            <w:tcBorders>
              <w:right w:val="single" w:sz="8" w:color="7F7F7F"/>
            </w:tcBorders>
            <w:gridSpan w:val="2"/>
            <w:shd w:val="clear" w:color="auto" w:fill="F2F2F2"/>
          </w:tcPr>
          <w:p>
            <w:pPr>
              <w:ind w:left="80"/>
              <w:spacing w:after="0"/>
              <w:rPr>
                <w:sz w:val="20"/>
                <w:szCs w:val="20"/>
                <w:color w:val="auto"/>
              </w:rPr>
            </w:pPr>
            <w:r>
              <w:rPr>
                <w:rFonts w:ascii="Arial" w:cs="Arial" w:eastAsia="Arial" w:hAnsi="Arial"/>
                <w:sz w:val="14"/>
                <w:szCs w:val="14"/>
                <w:color w:val="auto"/>
              </w:rPr>
              <w:t>Relative TSR vs. S&amp;P 500 Utilities Index</w:t>
            </w: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See footnote (B) to the 2025 Pay-Versus-Performance table for information about the use of relative TSR in our 2025</w:t>
            </w:r>
          </w:p>
        </w:tc>
      </w:tr>
      <w:tr>
        <w:trPr>
          <w:trHeight w:val="242"/>
        </w:trPr>
        <w:tc>
          <w:tcPr>
            <w:tcW w:w="2200" w:type="dxa"/>
            <w:vAlign w:val="bottom"/>
            <w:tcBorders>
              <w:bottom w:val="single" w:sz="8" w:color="F2F2F2"/>
            </w:tcBorders>
            <w:shd w:val="clear" w:color="auto" w:fill="F2F2F2"/>
          </w:tcPr>
          <w:p>
            <w:pPr>
              <w:spacing w:after="0"/>
              <w:rPr>
                <w:sz w:val="20"/>
                <w:szCs w:val="20"/>
                <w:color w:val="auto"/>
              </w:rPr>
            </w:pPr>
          </w:p>
        </w:tc>
        <w:tc>
          <w:tcPr>
            <w:tcW w:w="1100" w:type="dxa"/>
            <w:vAlign w:val="bottom"/>
            <w:tcBorders>
              <w:bottom w:val="single" w:sz="8" w:color="F2F2F2"/>
              <w:right w:val="single" w:sz="8" w:color="7F7F7F"/>
            </w:tcBorders>
            <w:shd w:val="clear" w:color="auto" w:fill="F2F2F2"/>
          </w:tcPr>
          <w:p>
            <w:pPr>
              <w:spacing w:after="0"/>
              <w:rPr>
                <w:sz w:val="20"/>
                <w:szCs w:val="20"/>
                <w:color w:val="auto"/>
              </w:rPr>
            </w:pPr>
          </w:p>
        </w:tc>
        <w:tc>
          <w:tcPr>
            <w:tcW w:w="7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executive compensation program.</w:t>
            </w:r>
          </w:p>
        </w:tc>
      </w:tr>
      <w:tr>
        <w:trPr>
          <w:trHeight w:val="198"/>
        </w:trPr>
        <w:tc>
          <w:tcPr>
            <w:tcW w:w="220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Relative TSR vs. S&amp;P 500 Index</w:t>
            </w:r>
          </w:p>
        </w:tc>
        <w:tc>
          <w:tcPr>
            <w:tcW w:w="1100" w:type="dxa"/>
            <w:vAlign w:val="bottom"/>
            <w:tcBorders>
              <w:top w:val="single" w:sz="8" w:color="7F7F7F"/>
              <w:right w:val="single" w:sz="8" w:color="7F7F7F"/>
            </w:tcBorders>
          </w:tcPr>
          <w:p>
            <w:pPr>
              <w:spacing w:after="0"/>
              <w:rPr>
                <w:sz w:val="17"/>
                <w:szCs w:val="17"/>
                <w:color w:val="auto"/>
              </w:rPr>
            </w:pPr>
          </w:p>
        </w:tc>
        <w:tc>
          <w:tcPr>
            <w:tcW w:w="762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See footnote (B) to the 2025 Pay-Versus-Performance table for information about the use of relative TSR in our 2025</w:t>
            </w:r>
          </w:p>
        </w:tc>
      </w:tr>
      <w:tr>
        <w:trPr>
          <w:trHeight w:val="189"/>
        </w:trPr>
        <w:tc>
          <w:tcPr>
            <w:tcW w:w="2200" w:type="dxa"/>
            <w:vAlign w:val="bottom"/>
          </w:tcPr>
          <w:p>
            <w:pPr>
              <w:spacing w:after="0"/>
              <w:rPr>
                <w:sz w:val="16"/>
                <w:szCs w:val="16"/>
                <w:color w:val="auto"/>
              </w:rPr>
            </w:pPr>
          </w:p>
        </w:tc>
        <w:tc>
          <w:tcPr>
            <w:tcW w:w="1100" w:type="dxa"/>
            <w:vAlign w:val="bottom"/>
            <w:tcBorders>
              <w:right w:val="single" w:sz="8" w:color="7F7F7F"/>
            </w:tcBorders>
          </w:tcPr>
          <w:p>
            <w:pPr>
              <w:spacing w:after="0"/>
              <w:rPr>
                <w:sz w:val="16"/>
                <w:szCs w:val="16"/>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executive compensation program.</w:t>
            </w:r>
          </w:p>
        </w:tc>
      </w:tr>
      <w:tr>
        <w:trPr>
          <w:trHeight w:val="48"/>
        </w:trPr>
        <w:tc>
          <w:tcPr>
            <w:tcW w:w="2200" w:type="dxa"/>
            <w:vAlign w:val="bottom"/>
            <w:tcBorders>
              <w:bottom w:val="single" w:sz="8" w:color="7F7F7F"/>
            </w:tcBorders>
          </w:tcPr>
          <w:p>
            <w:pPr>
              <w:spacing w:after="0"/>
              <w:rPr>
                <w:sz w:val="4"/>
                <w:szCs w:val="4"/>
                <w:color w:val="auto"/>
              </w:rPr>
            </w:pPr>
          </w:p>
        </w:tc>
        <w:tc>
          <w:tcPr>
            <w:tcW w:w="1100" w:type="dxa"/>
            <w:vAlign w:val="bottom"/>
            <w:tcBorders>
              <w:bottom w:val="single" w:sz="8" w:color="7F7F7F"/>
              <w:right w:val="single" w:sz="8" w:color="7F7F7F"/>
            </w:tcBorders>
          </w:tcPr>
          <w:p>
            <w:pPr>
              <w:spacing w:after="0"/>
              <w:rPr>
                <w:sz w:val="4"/>
                <w:szCs w:val="4"/>
                <w:color w:val="auto"/>
              </w:rPr>
            </w:pPr>
          </w:p>
        </w:tc>
        <w:tc>
          <w:tcPr>
            <w:tcW w:w="7620" w:type="dxa"/>
            <w:vAlign w:val="bottom"/>
            <w:tcBorders>
              <w:bottom w:val="single" w:sz="8" w:color="7F7F7F"/>
            </w:tcBorders>
          </w:tcPr>
          <w:p>
            <w:pPr>
              <w:spacing w:after="0"/>
              <w:rPr>
                <w:sz w:val="4"/>
                <w:szCs w:val="4"/>
                <w:color w:val="auto"/>
              </w:rPr>
            </w:pPr>
          </w:p>
        </w:tc>
      </w:tr>
      <w:tr>
        <w:trPr>
          <w:trHeight w:val="198"/>
        </w:trPr>
        <w:tc>
          <w:tcPr>
            <w:tcW w:w="2200" w:type="dxa"/>
            <w:vAlign w:val="bottom"/>
            <w:shd w:val="clear" w:color="auto" w:fill="F2F2F2"/>
          </w:tcPr>
          <w:p>
            <w:pPr>
              <w:ind w:left="80"/>
              <w:spacing w:after="0"/>
              <w:rPr>
                <w:sz w:val="20"/>
                <w:szCs w:val="20"/>
                <w:color w:val="auto"/>
              </w:rPr>
            </w:pPr>
            <w:r>
              <w:rPr>
                <w:rFonts w:ascii="Arial" w:cs="Arial" w:eastAsia="Arial" w:hAnsi="Arial"/>
                <w:sz w:val="14"/>
                <w:szCs w:val="14"/>
                <w:color w:val="auto"/>
              </w:rPr>
              <w:t>EPS Growth</w:t>
            </w:r>
          </w:p>
        </w:tc>
        <w:tc>
          <w:tcPr>
            <w:tcW w:w="1100" w:type="dxa"/>
            <w:vAlign w:val="bottom"/>
            <w:tcBorders>
              <w:right w:val="single" w:sz="8" w:color="7F7F7F"/>
            </w:tcBorders>
            <w:shd w:val="clear" w:color="auto" w:fill="F2F2F2"/>
          </w:tcPr>
          <w:p>
            <w:pPr>
              <w:spacing w:after="0"/>
              <w:rPr>
                <w:sz w:val="17"/>
                <w:szCs w:val="17"/>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Our annual long-term incentive plan awards granted in 2021, 2022, 2023, 2024 and 2025 include a performance-</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based restricted stock unit award linked to relative EPS growth. The award measures our adjusted EPS CAGR for the</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relevant three-year period. The payout scale for awards granted through 2023 is based on the three-year analyst</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consensus estimates for our S&amp;P 500 Utilities Index peers. The payout scale for awards granted in 2024 and 2025 is</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based on the percentile ranking of Sempra’s three-year adjusted EPS CAGR relative to the adjusted EPS CAGRs of</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our S&amp;P 500 Utilities Index peers. Calculation of EPS for purposes of the applicable LTIP award cycle includes</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certain adjustments, as described under “Compensation Components—Long-Term Equity-Based Incentives—</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Performance Goals for the 2025 Performance-Based Restricted Stock Units—EPS Growth” in the Compensation</w:t>
            </w:r>
          </w:p>
        </w:tc>
      </w:tr>
      <w:tr>
        <w:trPr>
          <w:trHeight w:val="242"/>
        </w:trPr>
        <w:tc>
          <w:tcPr>
            <w:tcW w:w="2200" w:type="dxa"/>
            <w:vAlign w:val="bottom"/>
            <w:tcBorders>
              <w:bottom w:val="single" w:sz="8" w:color="F2F2F2"/>
            </w:tcBorders>
            <w:shd w:val="clear" w:color="auto" w:fill="F2F2F2"/>
          </w:tcPr>
          <w:p>
            <w:pPr>
              <w:spacing w:after="0"/>
              <w:rPr>
                <w:sz w:val="20"/>
                <w:szCs w:val="20"/>
                <w:color w:val="auto"/>
              </w:rPr>
            </w:pPr>
          </w:p>
        </w:tc>
        <w:tc>
          <w:tcPr>
            <w:tcW w:w="1100" w:type="dxa"/>
            <w:vAlign w:val="bottom"/>
            <w:tcBorders>
              <w:bottom w:val="single" w:sz="8" w:color="F2F2F2"/>
              <w:right w:val="single" w:sz="8" w:color="7F7F7F"/>
            </w:tcBorders>
            <w:shd w:val="clear" w:color="auto" w:fill="F2F2F2"/>
          </w:tcPr>
          <w:p>
            <w:pPr>
              <w:spacing w:after="0"/>
              <w:rPr>
                <w:sz w:val="20"/>
                <w:szCs w:val="20"/>
                <w:color w:val="auto"/>
              </w:rPr>
            </w:pPr>
          </w:p>
        </w:tc>
        <w:tc>
          <w:tcPr>
            <w:tcW w:w="7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Discussion and Analysis in this proxy statement.</w:t>
            </w:r>
          </w:p>
        </w:tc>
      </w:tr>
      <w:tr>
        <w:trPr>
          <w:trHeight w:val="198"/>
        </w:trPr>
        <w:tc>
          <w:tcPr>
            <w:tcW w:w="220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Safety Measures</w:t>
            </w:r>
          </w:p>
        </w:tc>
        <w:tc>
          <w:tcPr>
            <w:tcW w:w="1100" w:type="dxa"/>
            <w:vAlign w:val="bottom"/>
            <w:tcBorders>
              <w:top w:val="single" w:sz="8" w:color="7F7F7F"/>
              <w:right w:val="single" w:sz="8" w:color="7F7F7F"/>
            </w:tcBorders>
          </w:tcPr>
          <w:p>
            <w:pPr>
              <w:spacing w:after="0"/>
              <w:rPr>
                <w:sz w:val="17"/>
                <w:szCs w:val="17"/>
                <w:color w:val="auto"/>
              </w:rPr>
            </w:pPr>
          </w:p>
        </w:tc>
        <w:tc>
          <w:tcPr>
            <w:tcW w:w="762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Our annual bonus plan includes Safety Measures as one of its performance measures. These are SDG&amp;E and</w:t>
            </w:r>
          </w:p>
        </w:tc>
      </w:tr>
      <w:tr>
        <w:trPr>
          <w:trHeight w:val="160"/>
        </w:trPr>
        <w:tc>
          <w:tcPr>
            <w:tcW w:w="2200" w:type="dxa"/>
            <w:vAlign w:val="bottom"/>
          </w:tcPr>
          <w:p>
            <w:pPr>
              <w:spacing w:after="0"/>
              <w:rPr>
                <w:sz w:val="13"/>
                <w:szCs w:val="13"/>
                <w:color w:val="auto"/>
              </w:rPr>
            </w:pPr>
          </w:p>
        </w:tc>
        <w:tc>
          <w:tcPr>
            <w:tcW w:w="1100" w:type="dxa"/>
            <w:vAlign w:val="bottom"/>
            <w:tcBorders>
              <w:right w:val="single" w:sz="8" w:color="7F7F7F"/>
            </w:tcBorders>
          </w:tcPr>
          <w:p>
            <w:pPr>
              <w:spacing w:after="0"/>
              <w:rPr>
                <w:sz w:val="13"/>
                <w:szCs w:val="13"/>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SoCalGas operational measures related to public safety and measures related to employee safety, and they were</w:t>
            </w:r>
          </w:p>
        </w:tc>
      </w:tr>
      <w:tr>
        <w:trPr>
          <w:trHeight w:val="160"/>
        </w:trPr>
        <w:tc>
          <w:tcPr>
            <w:tcW w:w="2200" w:type="dxa"/>
            <w:vAlign w:val="bottom"/>
          </w:tcPr>
          <w:p>
            <w:pPr>
              <w:spacing w:after="0"/>
              <w:rPr>
                <w:sz w:val="13"/>
                <w:szCs w:val="13"/>
                <w:color w:val="auto"/>
              </w:rPr>
            </w:pPr>
          </w:p>
        </w:tc>
        <w:tc>
          <w:tcPr>
            <w:tcW w:w="1100" w:type="dxa"/>
            <w:vAlign w:val="bottom"/>
            <w:tcBorders>
              <w:right w:val="single" w:sz="8" w:color="7F7F7F"/>
            </w:tcBorders>
          </w:tcPr>
          <w:p>
            <w:pPr>
              <w:spacing w:after="0"/>
              <w:rPr>
                <w:sz w:val="13"/>
                <w:szCs w:val="13"/>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selected by the Compensation and Talent Development Committee because the committee believes that strong</w:t>
            </w:r>
          </w:p>
        </w:tc>
      </w:tr>
      <w:tr>
        <w:trPr>
          <w:trHeight w:val="160"/>
        </w:trPr>
        <w:tc>
          <w:tcPr>
            <w:tcW w:w="2200" w:type="dxa"/>
            <w:vAlign w:val="bottom"/>
          </w:tcPr>
          <w:p>
            <w:pPr>
              <w:spacing w:after="0"/>
              <w:rPr>
                <w:sz w:val="13"/>
                <w:szCs w:val="13"/>
                <w:color w:val="auto"/>
              </w:rPr>
            </w:pPr>
          </w:p>
        </w:tc>
        <w:tc>
          <w:tcPr>
            <w:tcW w:w="1100" w:type="dxa"/>
            <w:vAlign w:val="bottom"/>
            <w:tcBorders>
              <w:right w:val="single" w:sz="8" w:color="7F7F7F"/>
            </w:tcBorders>
          </w:tcPr>
          <w:p>
            <w:pPr>
              <w:spacing w:after="0"/>
              <w:rPr>
                <w:sz w:val="13"/>
                <w:szCs w:val="13"/>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safety performance is critical to our infrastructure-intensive businesses. These measures are described under</w:t>
            </w:r>
          </w:p>
        </w:tc>
      </w:tr>
      <w:tr>
        <w:trPr>
          <w:trHeight w:val="160"/>
        </w:trPr>
        <w:tc>
          <w:tcPr>
            <w:tcW w:w="2200" w:type="dxa"/>
            <w:vAlign w:val="bottom"/>
          </w:tcPr>
          <w:p>
            <w:pPr>
              <w:spacing w:after="0"/>
              <w:rPr>
                <w:sz w:val="13"/>
                <w:szCs w:val="13"/>
                <w:color w:val="auto"/>
              </w:rPr>
            </w:pPr>
          </w:p>
        </w:tc>
        <w:tc>
          <w:tcPr>
            <w:tcW w:w="1100" w:type="dxa"/>
            <w:vAlign w:val="bottom"/>
            <w:tcBorders>
              <w:right w:val="single" w:sz="8" w:color="7F7F7F"/>
            </w:tcBorders>
          </w:tcPr>
          <w:p>
            <w:pPr>
              <w:spacing w:after="0"/>
              <w:rPr>
                <w:sz w:val="13"/>
                <w:szCs w:val="13"/>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“Compensation Components—Performance-Based Annual Bonuses—Safety Measures and RBP Measures Goal</w:t>
            </w:r>
          </w:p>
        </w:tc>
      </w:tr>
      <w:tr>
        <w:trPr>
          <w:trHeight w:val="189"/>
        </w:trPr>
        <w:tc>
          <w:tcPr>
            <w:tcW w:w="2200" w:type="dxa"/>
            <w:vAlign w:val="bottom"/>
          </w:tcPr>
          <w:p>
            <w:pPr>
              <w:spacing w:after="0"/>
              <w:rPr>
                <w:sz w:val="16"/>
                <w:szCs w:val="16"/>
                <w:color w:val="auto"/>
              </w:rPr>
            </w:pPr>
          </w:p>
        </w:tc>
        <w:tc>
          <w:tcPr>
            <w:tcW w:w="1100" w:type="dxa"/>
            <w:vAlign w:val="bottom"/>
            <w:tcBorders>
              <w:right w:val="single" w:sz="8" w:color="7F7F7F"/>
            </w:tcBorders>
          </w:tcPr>
          <w:p>
            <w:pPr>
              <w:spacing w:after="0"/>
              <w:rPr>
                <w:sz w:val="16"/>
                <w:szCs w:val="16"/>
                <w:color w:val="auto"/>
              </w:rPr>
            </w:pPr>
          </w:p>
        </w:tc>
        <w:tc>
          <w:tcPr>
            <w:tcW w:w="7620" w:type="dxa"/>
            <w:vAlign w:val="bottom"/>
          </w:tcPr>
          <w:p>
            <w:pPr>
              <w:ind w:left="220"/>
              <w:spacing w:after="0"/>
              <w:rPr>
                <w:sz w:val="20"/>
                <w:szCs w:val="20"/>
                <w:color w:val="auto"/>
              </w:rPr>
            </w:pPr>
            <w:r>
              <w:rPr>
                <w:rFonts w:ascii="Arial" w:cs="Arial" w:eastAsia="Arial" w:hAnsi="Arial"/>
                <w:sz w:val="14"/>
                <w:szCs w:val="14"/>
                <w:color w:val="auto"/>
              </w:rPr>
              <w:t>Determination” in the Compensation Discussion and Analysis in this proxy statement.</w:t>
            </w:r>
          </w:p>
        </w:tc>
      </w:tr>
      <w:tr>
        <w:trPr>
          <w:trHeight w:val="48"/>
        </w:trPr>
        <w:tc>
          <w:tcPr>
            <w:tcW w:w="2200" w:type="dxa"/>
            <w:vAlign w:val="bottom"/>
            <w:tcBorders>
              <w:bottom w:val="single" w:sz="8" w:color="7F7F7F"/>
            </w:tcBorders>
          </w:tcPr>
          <w:p>
            <w:pPr>
              <w:spacing w:after="0"/>
              <w:rPr>
                <w:sz w:val="4"/>
                <w:szCs w:val="4"/>
                <w:color w:val="auto"/>
              </w:rPr>
            </w:pPr>
          </w:p>
        </w:tc>
        <w:tc>
          <w:tcPr>
            <w:tcW w:w="1100" w:type="dxa"/>
            <w:vAlign w:val="bottom"/>
            <w:tcBorders>
              <w:bottom w:val="single" w:sz="8" w:color="7F7F7F"/>
              <w:right w:val="single" w:sz="8" w:color="7F7F7F"/>
            </w:tcBorders>
          </w:tcPr>
          <w:p>
            <w:pPr>
              <w:spacing w:after="0"/>
              <w:rPr>
                <w:sz w:val="4"/>
                <w:szCs w:val="4"/>
                <w:color w:val="auto"/>
              </w:rPr>
            </w:pPr>
          </w:p>
        </w:tc>
        <w:tc>
          <w:tcPr>
            <w:tcW w:w="7620" w:type="dxa"/>
            <w:vAlign w:val="bottom"/>
            <w:tcBorders>
              <w:bottom w:val="single" w:sz="8" w:color="7F7F7F"/>
            </w:tcBorders>
          </w:tcPr>
          <w:p>
            <w:pPr>
              <w:spacing w:after="0"/>
              <w:rPr>
                <w:sz w:val="4"/>
                <w:szCs w:val="4"/>
                <w:color w:val="auto"/>
              </w:rPr>
            </w:pPr>
          </w:p>
        </w:tc>
      </w:tr>
      <w:tr>
        <w:trPr>
          <w:trHeight w:val="198"/>
        </w:trPr>
        <w:tc>
          <w:tcPr>
            <w:tcW w:w="2200" w:type="dxa"/>
            <w:vAlign w:val="bottom"/>
            <w:shd w:val="clear" w:color="auto" w:fill="F2F2F2"/>
          </w:tcPr>
          <w:p>
            <w:pPr>
              <w:ind w:left="80"/>
              <w:spacing w:after="0"/>
              <w:rPr>
                <w:sz w:val="20"/>
                <w:szCs w:val="20"/>
                <w:color w:val="auto"/>
              </w:rPr>
            </w:pPr>
            <w:r>
              <w:rPr>
                <w:rFonts w:ascii="Arial" w:cs="Arial" w:eastAsia="Arial" w:hAnsi="Arial"/>
                <w:sz w:val="14"/>
                <w:szCs w:val="14"/>
                <w:color w:val="auto"/>
              </w:rPr>
              <w:t>RBP Measures</w:t>
            </w:r>
          </w:p>
        </w:tc>
        <w:tc>
          <w:tcPr>
            <w:tcW w:w="1100" w:type="dxa"/>
            <w:vAlign w:val="bottom"/>
            <w:tcBorders>
              <w:right w:val="single" w:sz="8" w:color="7F7F7F"/>
            </w:tcBorders>
            <w:shd w:val="clear" w:color="auto" w:fill="F2F2F2"/>
          </w:tcPr>
          <w:p>
            <w:pPr>
              <w:spacing w:after="0"/>
              <w:rPr>
                <w:sz w:val="17"/>
                <w:szCs w:val="17"/>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Our annual bonus plan includes RBP Measures as one of its performance measures. These measures reflect the</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company’s key priorities and initiatives related to responsible business practices, and they were selected by the</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Compensation and Talent Development Committee to incentivize progress in these areas. These measures are</w:t>
            </w:r>
          </w:p>
        </w:tc>
      </w:tr>
      <w:tr>
        <w:trPr>
          <w:trHeight w:val="160"/>
        </w:trPr>
        <w:tc>
          <w:tcPr>
            <w:tcW w:w="2200" w:type="dxa"/>
            <w:vAlign w:val="bottom"/>
            <w:shd w:val="clear" w:color="auto" w:fill="F2F2F2"/>
          </w:tcPr>
          <w:p>
            <w:pPr>
              <w:spacing w:after="0"/>
              <w:rPr>
                <w:sz w:val="13"/>
                <w:szCs w:val="13"/>
                <w:color w:val="auto"/>
              </w:rPr>
            </w:pPr>
          </w:p>
        </w:tc>
        <w:tc>
          <w:tcPr>
            <w:tcW w:w="1100" w:type="dxa"/>
            <w:vAlign w:val="bottom"/>
            <w:tcBorders>
              <w:right w:val="single" w:sz="8" w:color="7F7F7F"/>
            </w:tcBorders>
            <w:shd w:val="clear" w:color="auto" w:fill="F2F2F2"/>
          </w:tcPr>
          <w:p>
            <w:pPr>
              <w:spacing w:after="0"/>
              <w:rPr>
                <w:sz w:val="13"/>
                <w:szCs w:val="13"/>
                <w:color w:val="auto"/>
              </w:rPr>
            </w:pPr>
          </w:p>
        </w:tc>
        <w:tc>
          <w:tcPr>
            <w:tcW w:w="7620" w:type="dxa"/>
            <w:vAlign w:val="bottom"/>
            <w:shd w:val="clear" w:color="auto" w:fill="F2F2F2"/>
          </w:tcPr>
          <w:p>
            <w:pPr>
              <w:ind w:left="220"/>
              <w:spacing w:after="0"/>
              <w:rPr>
                <w:sz w:val="20"/>
                <w:szCs w:val="20"/>
                <w:color w:val="auto"/>
              </w:rPr>
            </w:pPr>
            <w:r>
              <w:rPr>
                <w:rFonts w:ascii="Arial" w:cs="Arial" w:eastAsia="Arial" w:hAnsi="Arial"/>
                <w:sz w:val="14"/>
                <w:szCs w:val="14"/>
                <w:color w:val="auto"/>
              </w:rPr>
              <w:t>described under “Compensation Components—Performance-Based Annual Bonuses—Safety Measures and RBP</w:t>
            </w:r>
          </w:p>
        </w:tc>
      </w:tr>
      <w:tr>
        <w:trPr>
          <w:trHeight w:val="242"/>
        </w:trPr>
        <w:tc>
          <w:tcPr>
            <w:tcW w:w="2200" w:type="dxa"/>
            <w:vAlign w:val="bottom"/>
            <w:tcBorders>
              <w:bottom w:val="single" w:sz="8" w:color="F2F2F2"/>
            </w:tcBorders>
            <w:shd w:val="clear" w:color="auto" w:fill="F2F2F2"/>
          </w:tcPr>
          <w:p>
            <w:pPr>
              <w:spacing w:after="0"/>
              <w:rPr>
                <w:sz w:val="20"/>
                <w:szCs w:val="20"/>
                <w:color w:val="auto"/>
              </w:rPr>
            </w:pPr>
          </w:p>
        </w:tc>
        <w:tc>
          <w:tcPr>
            <w:tcW w:w="1100" w:type="dxa"/>
            <w:vAlign w:val="bottom"/>
            <w:tcBorders>
              <w:bottom w:val="single" w:sz="8" w:color="F2F2F2"/>
              <w:right w:val="single" w:sz="8" w:color="7F7F7F"/>
            </w:tcBorders>
            <w:shd w:val="clear" w:color="auto" w:fill="F2F2F2"/>
          </w:tcPr>
          <w:p>
            <w:pPr>
              <w:spacing w:after="0"/>
              <w:rPr>
                <w:sz w:val="20"/>
                <w:szCs w:val="20"/>
                <w:color w:val="auto"/>
              </w:rPr>
            </w:pPr>
          </w:p>
        </w:tc>
        <w:tc>
          <w:tcPr>
            <w:tcW w:w="762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Measures Goal Determination” in the Compensation Discussion and Analysis in this proxy statement.</w:t>
            </w:r>
          </w:p>
        </w:tc>
      </w:tr>
      <w:tr>
        <w:trPr>
          <w:trHeight w:val="154"/>
        </w:trPr>
        <w:tc>
          <w:tcPr>
            <w:tcW w:w="2200" w:type="dxa"/>
            <w:vAlign w:val="bottom"/>
            <w:tcBorders>
              <w:top w:val="single" w:sz="8" w:color="7F7F7F"/>
              <w:bottom w:val="single" w:sz="8" w:color="7F7F7F"/>
            </w:tcBorders>
          </w:tcPr>
          <w:p>
            <w:pPr>
              <w:spacing w:after="0"/>
              <w:rPr>
                <w:sz w:val="13"/>
                <w:szCs w:val="13"/>
                <w:color w:val="auto"/>
              </w:rPr>
            </w:pPr>
          </w:p>
        </w:tc>
        <w:tc>
          <w:tcPr>
            <w:tcW w:w="8720" w:type="dxa"/>
            <w:vAlign w:val="bottom"/>
            <w:tcBorders>
              <w:top w:val="single" w:sz="8" w:color="7F7F7F"/>
              <w:bottom w:val="single" w:sz="8" w:color="7F7F7F"/>
            </w:tcBorders>
            <w:gridSpan w:val="2"/>
          </w:tcPr>
          <w:p>
            <w:pPr>
              <w:spacing w:after="0"/>
              <w:rPr>
                <w:sz w:val="13"/>
                <w:szCs w:val="13"/>
                <w:color w:val="auto"/>
              </w:rPr>
            </w:pPr>
          </w:p>
        </w:tc>
      </w:tr>
      <w:tr>
        <w:trPr>
          <w:trHeight w:val="368"/>
        </w:trPr>
        <w:tc>
          <w:tcPr>
            <w:tcW w:w="2200" w:type="dxa"/>
            <w:vAlign w:val="bottom"/>
          </w:tcPr>
          <w:p>
            <w:pPr>
              <w:spacing w:after="0"/>
              <w:rPr>
                <w:sz w:val="20"/>
                <w:szCs w:val="20"/>
                <w:color w:val="auto"/>
              </w:rPr>
            </w:pPr>
            <w:r>
              <w:rPr>
                <w:rFonts w:ascii="Arial" w:cs="Arial" w:eastAsia="Arial" w:hAnsi="Arial"/>
                <w:sz w:val="12"/>
                <w:szCs w:val="12"/>
                <w:color w:val="auto"/>
              </w:rPr>
              <w:t xml:space="preserve">88          </w:t>
            </w:r>
          </w:p>
        </w:tc>
        <w:tc>
          <w:tcPr>
            <w:tcW w:w="8720" w:type="dxa"/>
            <w:vAlign w:val="bottom"/>
            <w:gridSpan w:val="2"/>
          </w:tcPr>
          <w:p>
            <w:pPr>
              <w:ind w:left="80"/>
              <w:spacing w:after="0"/>
              <w:rPr>
                <w:sz w:val="20"/>
                <w:szCs w:val="20"/>
                <w:color w:val="auto"/>
              </w:rPr>
            </w:pPr>
            <w:r>
              <w:rPr>
                <w:rFonts w:ascii="Arial" w:cs="Arial" w:eastAsia="Arial" w:hAnsi="Arial"/>
                <w:sz w:val="12"/>
                <w:szCs w:val="12"/>
                <w:color w:val="auto"/>
              </w:rPr>
              <w:t>      2026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-118110</wp:posOffset>
            </wp:positionV>
            <wp:extent cx="739140" cy="153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ectPr>
          <w:pgSz w:w="11900" w:h="16838" w:orient="portrait"/>
          <w:cols w:equalWidth="0" w:num="1">
            <w:col w:w="10920"/>
          </w:cols>
          <w:pgMar w:left="480" w:top="300"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Executive Compensation</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5CB9"/>
        </w:rPr>
        <w:t>Ratio of Chief Executive Officer to Median Employee Pay</w:t>
      </w:r>
    </w:p>
    <w:p>
      <w:pPr>
        <w:spacing w:after="0" w:line="129"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The following is a reasonable estimate, prepared under applicable SEC rules, of the ratio of the annual total compensation of our Chief Executive Officer to the median of the annual total compensation of our other employees. In addition to our full-time U.S. workforce, our employee population includes a substantial percentage of part-time employees and employees in Mexico. Given the different methodologies that various public companies use to determine an estimate of their pay ratio and the differences in employee populations, the estimated ratio reported below should not be used as a basis for comparison between companies.</w:t>
      </w:r>
    </w:p>
    <w:p>
      <w:pPr>
        <w:spacing w:after="0" w:line="70" w:lineRule="exact"/>
        <w:rPr>
          <w:sz w:val="20"/>
          <w:szCs w:val="20"/>
          <w:color w:val="auto"/>
        </w:rPr>
      </w:pPr>
    </w:p>
    <w:p>
      <w:pPr>
        <w:ind w:left="160" w:right="20"/>
        <w:spacing w:after="0" w:line="246" w:lineRule="auto"/>
        <w:rPr>
          <w:sz w:val="20"/>
          <w:szCs w:val="20"/>
          <w:color w:val="auto"/>
        </w:rPr>
      </w:pPr>
      <w:r>
        <w:rPr>
          <w:rFonts w:ascii="Arial" w:cs="Arial" w:eastAsia="Arial" w:hAnsi="Arial"/>
          <w:sz w:val="14"/>
          <w:szCs w:val="14"/>
          <w:color w:val="auto"/>
        </w:rPr>
        <w:t>SEC rules allow us to identify our median employee once every three years unless there has been a change in our employee population or employee compensation arrangements that we reasonably believe would result in a significant change in our pay ratio disclosure. We determined a median employee in 2023 based on a measurement date of December 31, 2023. In determining that median employee, we did not exclude any of our international employees, all of whom are located in Mexico, Singapore or the Netherlands, and no cost-of-living adjustment was applied. We used a definition of compensation, or “consistently applied compensation measure” (CACM), that included 2023 base salary and 2023 target annual incentive award and selected the median employee from a group of employees who received compensation within plus or minus 1% of the median CACM. Our 2023 median employee was promoted prior to December 31, 2025. Pursuant to applicable SEC rules, we substituted an employee with substantially similar compensation.</w:t>
      </w:r>
    </w:p>
    <w:p>
      <w:pPr>
        <w:spacing w:after="0" w:line="75" w:lineRule="exact"/>
        <w:rPr>
          <w:sz w:val="20"/>
          <w:szCs w:val="20"/>
          <w:color w:val="auto"/>
        </w:rPr>
      </w:pPr>
    </w:p>
    <w:p>
      <w:pPr>
        <w:ind w:left="160" w:right="80"/>
        <w:spacing w:after="0" w:line="253" w:lineRule="auto"/>
        <w:rPr>
          <w:sz w:val="20"/>
          <w:szCs w:val="20"/>
          <w:color w:val="auto"/>
        </w:rPr>
      </w:pPr>
      <w:r>
        <w:rPr>
          <w:rFonts w:ascii="Arial" w:cs="Arial" w:eastAsia="Arial" w:hAnsi="Arial"/>
          <w:sz w:val="14"/>
          <w:szCs w:val="14"/>
          <w:color w:val="auto"/>
        </w:rPr>
        <w:t>To calculate the 2025 pay ratio, we calculated 2025 compensation for Mr. Martin and the median employee using the methodology used for the 2025 Summary Compensation Table plus health and welfare and other nondiscriminatory benefits, which are a key part of our total rewards program. Using this methodology, the 2025 total compensation of our median employee was $171,317 and the 2025 total compensation of our Chief Executive Officer was $22,274,952. For 2025, we estimate that the ratio of Chief Executive Officer pay to median employee pay was 130:1.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69297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212090</wp:posOffset>
            </wp:positionV>
            <wp:extent cx="739140" cy="144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89</w:t>
      </w:r>
    </w:p>
    <w:p>
      <w:pPr>
        <w:sectPr>
          <w:pgSz w:w="11900" w:h="16838" w:orient="portrait"/>
          <w:cols w:equalWidth="0" w:num="1">
            <w:col w:w="11080"/>
          </w:cols>
          <w:pgMar w:left="320" w:top="478"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About the Annual Shareholders Meeting and Voting</w:t>
      </w:r>
    </w:p>
    <w:p>
      <w:pPr>
        <w:spacing w:after="0" w:line="223"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Attending the Annual Shareholders Meeting</w:t>
      </w:r>
    </w:p>
    <w:p>
      <w:pPr>
        <w:spacing w:after="0" w:line="247" w:lineRule="exact"/>
        <w:rPr>
          <w:sz w:val="20"/>
          <w:szCs w:val="20"/>
          <w:color w:val="auto"/>
        </w:rPr>
      </w:pPr>
    </w:p>
    <w:p>
      <w:pPr>
        <w:ind w:left="600" w:hanging="433"/>
        <w:spacing w:after="0"/>
        <w:tabs>
          <w:tab w:leader="none" w:pos="600" w:val="left"/>
        </w:tabs>
        <w:numPr>
          <w:ilvl w:val="0"/>
          <w:numId w:val="131"/>
        </w:numPr>
        <w:rPr>
          <w:rFonts w:ascii="Arial" w:cs="Arial" w:eastAsia="Arial" w:hAnsi="Arial"/>
          <w:sz w:val="21"/>
          <w:szCs w:val="21"/>
          <w:b w:val="1"/>
          <w:bCs w:val="1"/>
          <w:color w:val="005CB9"/>
        </w:rPr>
      </w:pPr>
      <w:r>
        <w:rPr>
          <w:rFonts w:ascii="Arial" w:cs="Arial" w:eastAsia="Arial" w:hAnsi="Arial"/>
          <w:sz w:val="21"/>
          <w:szCs w:val="21"/>
          <w:b w:val="1"/>
          <w:bCs w:val="1"/>
          <w:color w:val="005CB9"/>
        </w:rPr>
        <w:t>What is the format of the Annual Shareholders Meeting, and what content will be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right="200"/>
        <w:spacing w:after="0" w:line="260" w:lineRule="auto"/>
        <w:rPr>
          <w:sz w:val="20"/>
          <w:szCs w:val="20"/>
          <w:color w:val="auto"/>
        </w:rPr>
      </w:pPr>
      <w:r>
        <w:rPr>
          <w:rFonts w:ascii="Arial" w:cs="Arial" w:eastAsia="Arial" w:hAnsi="Arial"/>
          <w:sz w:val="14"/>
          <w:szCs w:val="14"/>
          <w:color w:val="auto"/>
        </w:rPr>
        <w:t>In support of shareholder access to the meeting and in line with our sustainable business strategy, we are holding the Annual Shareholders Meeting online in a virtual-only format that provides all shareholders the opportunity to attend and participate in the meeting from any location and reduces the transportation costs and environmental impact of the meeting. See Question 3 below for information about attending and participating in the meeting.</w:t>
      </w:r>
    </w:p>
    <w:p>
      <w:pPr>
        <w:spacing w:after="0" w:line="65" w:lineRule="exact"/>
        <w:rPr>
          <w:sz w:val="20"/>
          <w:szCs w:val="20"/>
          <w:color w:val="auto"/>
        </w:rPr>
      </w:pPr>
    </w:p>
    <w:p>
      <w:pPr>
        <w:ind w:left="160" w:right="160"/>
        <w:spacing w:after="0" w:line="253" w:lineRule="auto"/>
        <w:rPr>
          <w:sz w:val="20"/>
          <w:szCs w:val="20"/>
          <w:color w:val="auto"/>
        </w:rPr>
      </w:pPr>
      <w:r>
        <w:rPr>
          <w:rFonts w:ascii="Arial" w:cs="Arial" w:eastAsia="Arial" w:hAnsi="Arial"/>
          <w:sz w:val="14"/>
          <w:szCs w:val="14"/>
          <w:color w:val="auto"/>
        </w:rPr>
        <w:t>The content of the Annual Shareholders Meeting will consist of the formal shareholder meeting business items outlined in Question 13 below. We do not intend to hold a business update at the Annual Shareholders Meeting, but we will answer questions related to our businesses and operations following adjournment of the formal business portion of the meeting during a question-and-answer session. For information about our businesses, we encourage you to review our 2025 Annual Report to Shareholders, which is available on the Internet at www.sempra.com/2026-annual-meeting, at www.proxyvote.com and on the SEC’s website at www.sec.gov.</w:t>
      </w:r>
    </w:p>
    <w:p>
      <w:pPr>
        <w:spacing w:after="0" w:line="185" w:lineRule="exact"/>
        <w:rPr>
          <w:sz w:val="20"/>
          <w:szCs w:val="20"/>
          <w:color w:val="auto"/>
        </w:rPr>
      </w:pPr>
    </w:p>
    <w:p>
      <w:pPr>
        <w:ind w:left="600" w:hanging="433"/>
        <w:spacing w:after="0"/>
        <w:tabs>
          <w:tab w:leader="none" w:pos="600" w:val="left"/>
        </w:tabs>
        <w:numPr>
          <w:ilvl w:val="0"/>
          <w:numId w:val="132"/>
        </w:numPr>
        <w:rPr>
          <w:rFonts w:ascii="Arial" w:cs="Arial" w:eastAsia="Arial" w:hAnsi="Arial"/>
          <w:sz w:val="21"/>
          <w:szCs w:val="21"/>
          <w:b w:val="1"/>
          <w:bCs w:val="1"/>
          <w:color w:val="005CB9"/>
        </w:rPr>
      </w:pPr>
      <w:r>
        <w:rPr>
          <w:rFonts w:ascii="Arial" w:cs="Arial" w:eastAsia="Arial" w:hAnsi="Arial"/>
          <w:sz w:val="21"/>
          <w:szCs w:val="21"/>
          <w:b w:val="1"/>
          <w:bCs w:val="1"/>
          <w:color w:val="005CB9"/>
        </w:rPr>
        <w:t>Who can attend, vote and submit questions at the virtual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280"/>
        <w:spacing w:after="0" w:line="281" w:lineRule="auto"/>
        <w:rPr>
          <w:sz w:val="20"/>
          <w:szCs w:val="20"/>
          <w:color w:val="auto"/>
        </w:rPr>
      </w:pPr>
      <w:r>
        <w:rPr>
          <w:rFonts w:ascii="Arial" w:cs="Arial" w:eastAsia="Arial" w:hAnsi="Arial"/>
          <w:sz w:val="14"/>
          <w:szCs w:val="14"/>
          <w:color w:val="auto"/>
        </w:rPr>
        <w:t>You are eligible to attend and participate in the Annual Shareholders Meeting, including to submit questions at and in advance of the meeting and vote your shares at the meeting prior to the closing of the polls, if you were a shareholder as of March 20, 2026, the record date for the meeting.</w:t>
      </w:r>
    </w:p>
    <w:p>
      <w:pPr>
        <w:spacing w:after="0" w:line="166" w:lineRule="exact"/>
        <w:rPr>
          <w:sz w:val="20"/>
          <w:szCs w:val="20"/>
          <w:color w:val="auto"/>
        </w:rPr>
      </w:pPr>
    </w:p>
    <w:p>
      <w:pPr>
        <w:ind w:left="600" w:hanging="433"/>
        <w:spacing w:after="0"/>
        <w:tabs>
          <w:tab w:leader="none" w:pos="600" w:val="left"/>
        </w:tabs>
        <w:numPr>
          <w:ilvl w:val="0"/>
          <w:numId w:val="133"/>
        </w:numPr>
        <w:rPr>
          <w:rFonts w:ascii="Arial" w:cs="Arial" w:eastAsia="Arial" w:hAnsi="Arial"/>
          <w:sz w:val="21"/>
          <w:szCs w:val="21"/>
          <w:b w:val="1"/>
          <w:bCs w:val="1"/>
          <w:color w:val="005CB9"/>
        </w:rPr>
      </w:pPr>
      <w:r>
        <w:rPr>
          <w:rFonts w:ascii="Arial" w:cs="Arial" w:eastAsia="Arial" w:hAnsi="Arial"/>
          <w:sz w:val="21"/>
          <w:szCs w:val="21"/>
          <w:b w:val="1"/>
          <w:bCs w:val="1"/>
          <w:color w:val="005CB9"/>
        </w:rPr>
        <w:t>How do I attend and participate in the virtual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spacing w:after="0" w:line="247" w:lineRule="auto"/>
        <w:rPr>
          <w:sz w:val="20"/>
          <w:szCs w:val="20"/>
          <w:color w:val="auto"/>
        </w:rPr>
      </w:pPr>
      <w:r>
        <w:rPr>
          <w:rFonts w:ascii="Arial" w:cs="Arial" w:eastAsia="Arial" w:hAnsi="Arial"/>
          <w:sz w:val="14"/>
          <w:szCs w:val="14"/>
          <w:b w:val="1"/>
          <w:bCs w:val="1"/>
          <w:color w:val="auto"/>
        </w:rPr>
        <w:t xml:space="preserve">How to Attend and Vote at the Meeting. </w:t>
      </w:r>
      <w:r>
        <w:rPr>
          <w:rFonts w:ascii="Arial" w:cs="Arial" w:eastAsia="Arial" w:hAnsi="Arial"/>
          <w:sz w:val="14"/>
          <w:szCs w:val="14"/>
          <w:color w:val="auto"/>
        </w:rPr>
        <w:t>You can attend and vote your shares prior to the closing of the polls at the Annual Shareholders Meeting (other than shares held in</w:t>
      </w:r>
      <w:r>
        <w:rPr>
          <w:rFonts w:ascii="Arial" w:cs="Arial" w:eastAsia="Arial" w:hAnsi="Arial"/>
          <w:sz w:val="14"/>
          <w:szCs w:val="14"/>
          <w:b w:val="1"/>
          <w:bCs w:val="1"/>
          <w:color w:val="auto"/>
        </w:rPr>
        <w:t xml:space="preserve"> </w:t>
      </w:r>
      <w:r>
        <w:rPr>
          <w:rFonts w:ascii="Arial" w:cs="Arial" w:eastAsia="Arial" w:hAnsi="Arial"/>
          <w:sz w:val="14"/>
          <w:szCs w:val="14"/>
          <w:color w:val="auto"/>
        </w:rPr>
        <w:t>any of the Employee Savings Plans, which cannot be voted at the meeting) by visiting www.virtualshareholdermeeting.com/SRE2026 at the date and time of the meeting and entering your 16-digit control number to log into the meeting site. The meeting will be conducted virtually via live audiovisual webcast and will begin promptly at 9 a.m. Pacific Time on Tuesday, May 12, 2026. Online check-in will begin at 8:30 a.m. Pacific Time on the day of the meeting, and we encourage you to log into the meeting site prior to the meeting start time to allow ample time for check-in procedures. Additional instructions on how to attend and participate in the virtual meeting are or will be posted at www.proxyvote.com.</w:t>
      </w:r>
    </w:p>
    <w:p>
      <w:pPr>
        <w:spacing w:after="0" w:line="76" w:lineRule="exact"/>
        <w:rPr>
          <w:sz w:val="20"/>
          <w:szCs w:val="20"/>
          <w:color w:val="auto"/>
        </w:rPr>
      </w:pPr>
    </w:p>
    <w:p>
      <w:pPr>
        <w:ind w:left="160" w:right="100"/>
        <w:spacing w:after="0" w:line="246" w:lineRule="auto"/>
        <w:rPr>
          <w:sz w:val="20"/>
          <w:szCs w:val="20"/>
          <w:color w:val="auto"/>
        </w:rPr>
      </w:pPr>
      <w:r>
        <w:rPr>
          <w:rFonts w:ascii="Arial" w:cs="Arial" w:eastAsia="Arial" w:hAnsi="Arial"/>
          <w:sz w:val="14"/>
          <w:szCs w:val="14"/>
          <w:b w:val="1"/>
          <w:bCs w:val="1"/>
          <w:color w:val="auto"/>
        </w:rPr>
        <w:t xml:space="preserve">Where to Find/Obtain a 16-Digit Control Number. </w:t>
      </w:r>
      <w:r>
        <w:rPr>
          <w:rFonts w:ascii="Arial" w:cs="Arial" w:eastAsia="Arial" w:hAnsi="Arial"/>
          <w:sz w:val="14"/>
          <w:szCs w:val="14"/>
          <w:color w:val="auto"/>
        </w:rPr>
        <w:t>To be able to submit questions at and in advance of the meeting and vote at the meeting prior to the closing of the polls</w:t>
      </w:r>
      <w:r>
        <w:rPr>
          <w:rFonts w:ascii="Arial" w:cs="Arial" w:eastAsia="Arial" w:hAnsi="Arial"/>
          <w:sz w:val="14"/>
          <w:szCs w:val="14"/>
          <w:b w:val="1"/>
          <w:bCs w:val="1"/>
          <w:color w:val="auto"/>
        </w:rPr>
        <w:t xml:space="preserve"> </w:t>
      </w:r>
      <w:r>
        <w:rPr>
          <w:rFonts w:ascii="Arial" w:cs="Arial" w:eastAsia="Arial" w:hAnsi="Arial"/>
          <w:sz w:val="14"/>
          <w:szCs w:val="14"/>
          <w:color w:val="auto"/>
        </w:rPr>
        <w:t>(other than owners of shares held in any of the Employee Savings Plans, who may submit questions at and in advance of the meeting but will not be able to vote these shares at the meeting), shareholders will need the 16-digit control number shown on your notice about the Internet availability of our proxy materials, proxy card or voting instruction form. If you are a beneficial owner of shares held through a bank, broker or other nominee and your voting instruction form does not indicate that you may vote your shares through www.proxyvote.com, you will need to obtain a “legal proxy” from your bank, broker or other nominee (preferably at least five days before the Annual Shareholders Meeting) to receive a 16-digit control number. If you are a beneficial owner who needs to obtain such a “legal proxy” to attend the meeting, please follow the specific instructions to do so provided by your bank, broker or other nominee.</w:t>
      </w:r>
    </w:p>
    <w:p>
      <w:pPr>
        <w:spacing w:after="0" w:line="75" w:lineRule="exact"/>
        <w:rPr>
          <w:sz w:val="20"/>
          <w:szCs w:val="20"/>
          <w:color w:val="auto"/>
        </w:rPr>
      </w:pPr>
    </w:p>
    <w:p>
      <w:pPr>
        <w:ind w:left="160" w:right="40"/>
        <w:spacing w:after="0" w:line="281" w:lineRule="auto"/>
        <w:rPr>
          <w:sz w:val="20"/>
          <w:szCs w:val="20"/>
          <w:color w:val="auto"/>
        </w:rPr>
      </w:pPr>
      <w:r>
        <w:rPr>
          <w:rFonts w:ascii="Arial" w:cs="Arial" w:eastAsia="Arial" w:hAnsi="Arial"/>
          <w:sz w:val="14"/>
          <w:szCs w:val="14"/>
          <w:color w:val="auto"/>
        </w:rPr>
        <w:t>Shareholders of record needing assistance with control numbers may call the technical support telephone numbers referenced in Question 4 below beginning April 13, 2026, and beneficial owners needing assistance with control numbers should contact their bank, broker or other nominee.</w:t>
      </w:r>
    </w:p>
    <w:p>
      <w:pPr>
        <w:spacing w:after="0" w:line="51" w:lineRule="exact"/>
        <w:rPr>
          <w:sz w:val="20"/>
          <w:szCs w:val="20"/>
          <w:color w:val="auto"/>
        </w:rPr>
      </w:pPr>
    </w:p>
    <w:p>
      <w:pPr>
        <w:ind w:left="160" w:right="100"/>
        <w:spacing w:after="0" w:line="249" w:lineRule="auto"/>
        <w:rPr>
          <w:sz w:val="20"/>
          <w:szCs w:val="20"/>
          <w:color w:val="auto"/>
        </w:rPr>
      </w:pPr>
      <w:r>
        <w:rPr>
          <w:rFonts w:ascii="Arial" w:cs="Arial" w:eastAsia="Arial" w:hAnsi="Arial"/>
          <w:sz w:val="14"/>
          <w:szCs w:val="14"/>
          <w:b w:val="1"/>
          <w:bCs w:val="1"/>
          <w:color w:val="auto"/>
        </w:rPr>
        <w:t xml:space="preserve">How to Submit Questions. </w:t>
      </w:r>
      <w:r>
        <w:rPr>
          <w:rFonts w:ascii="Arial" w:cs="Arial" w:eastAsia="Arial" w:hAnsi="Arial"/>
          <w:sz w:val="14"/>
          <w:szCs w:val="14"/>
          <w:color w:val="auto"/>
        </w:rPr>
        <w:t>We give our shareholders ample opportunity to submit questions for the virtual meeting. Shareholders may submit questions online both during</w:t>
      </w:r>
      <w:r>
        <w:rPr>
          <w:rFonts w:ascii="Arial" w:cs="Arial" w:eastAsia="Arial" w:hAnsi="Arial"/>
          <w:sz w:val="14"/>
          <w:szCs w:val="14"/>
          <w:b w:val="1"/>
          <w:bCs w:val="1"/>
          <w:color w:val="auto"/>
        </w:rPr>
        <w:t xml:space="preserve"> </w:t>
      </w:r>
      <w:r>
        <w:rPr>
          <w:rFonts w:ascii="Arial" w:cs="Arial" w:eastAsia="Arial" w:hAnsi="Arial"/>
          <w:sz w:val="14"/>
          <w:szCs w:val="14"/>
          <w:color w:val="auto"/>
        </w:rPr>
        <w:t>the meeting and in advance of the meeting beginning on March 27, 2026. Shareholders who would like to submit a question during the meeting should do so by logging into the virtual meeting site using your 16-digit control number at the date and time of the meeting. Shareholders who would like to submit a question in advance of the meeting should do so at www.proxyvote.com, where you will enter your 16-digit control number to access our proxy materials. Additional instructions on how to submit questions at and in advance of the meeting are or will be posted at www.proxyvote.com.</w:t>
      </w:r>
    </w:p>
    <w:p>
      <w:pPr>
        <w:spacing w:after="0" w:line="74" w:lineRule="exact"/>
        <w:rPr>
          <w:sz w:val="20"/>
          <w:szCs w:val="20"/>
          <w:color w:val="auto"/>
        </w:rPr>
      </w:pPr>
    </w:p>
    <w:p>
      <w:pPr>
        <w:ind w:left="160" w:right="100"/>
        <w:spacing w:after="0" w:line="247" w:lineRule="auto"/>
        <w:rPr>
          <w:sz w:val="20"/>
          <w:szCs w:val="20"/>
          <w:color w:val="auto"/>
        </w:rPr>
      </w:pPr>
      <w:r>
        <w:rPr>
          <w:rFonts w:ascii="Arial" w:cs="Arial" w:eastAsia="Arial" w:hAnsi="Arial"/>
          <w:sz w:val="14"/>
          <w:szCs w:val="14"/>
          <w:b w:val="1"/>
          <w:bCs w:val="1"/>
          <w:color w:val="auto"/>
        </w:rPr>
        <w:t xml:space="preserve">How Shareholder Questions Will Be Addressed During the Meeting. </w:t>
      </w:r>
      <w:r>
        <w:rPr>
          <w:rFonts w:ascii="Arial" w:cs="Arial" w:eastAsia="Arial" w:hAnsi="Arial"/>
          <w:sz w:val="14"/>
          <w:szCs w:val="14"/>
          <w:color w:val="auto"/>
        </w:rPr>
        <w:t>Representatives from the company will answer questions, as time permits, in the order they are</w:t>
      </w:r>
      <w:r>
        <w:rPr>
          <w:rFonts w:ascii="Arial" w:cs="Arial" w:eastAsia="Arial" w:hAnsi="Arial"/>
          <w:sz w:val="14"/>
          <w:szCs w:val="14"/>
          <w:b w:val="1"/>
          <w:bCs w:val="1"/>
          <w:color w:val="auto"/>
        </w:rPr>
        <w:t xml:space="preserve"> </w:t>
      </w:r>
      <w:r>
        <w:rPr>
          <w:rFonts w:ascii="Arial" w:cs="Arial" w:eastAsia="Arial" w:hAnsi="Arial"/>
          <w:sz w:val="14"/>
          <w:szCs w:val="14"/>
          <w:color w:val="auto"/>
        </w:rPr>
        <w:t>recognized by the Chair of the meeting in his or her sole discretion, except that questions not directly related to the business of the meeting will be reserved for a question-and-answer session to start immediately following adjournment of the formal business portion of the meeting and continue for a reasonable time as determined by the Chair of the meeting. Each question recognized by the Chair of the meeting will be read aloud so that all meeting attendees can hear the question as well as the response. If any shareholder submits questions that cannot be answered within the time available due to time constraints, technical difficulties or for any other reason, the shareholder may contact our investor relations department at Investor@sempra.com or (619) 696-2901 after the meeting concludes to request responses to these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88265</wp:posOffset>
            </wp:positionV>
            <wp:extent cx="69297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90               </w:t>
      </w:r>
      <w:r>
        <w:rPr>
          <w:sz w:val="1"/>
          <w:szCs w:val="1"/>
          <w:color w:val="auto"/>
        </w:rPr>
        <w:drawing>
          <wp:inline distT="0" distB="0" distL="0" distR="0">
            <wp:extent cx="739140" cy="153035"/>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8460"/>
        <w:spacing w:after="0"/>
        <w:rPr>
          <w:sz w:val="20"/>
          <w:szCs w:val="20"/>
          <w:color w:val="auto"/>
        </w:rPr>
      </w:pPr>
      <w:r>
        <w:rPr>
          <w:rFonts w:ascii="Arial" w:cs="Arial" w:eastAsia="Arial" w:hAnsi="Arial"/>
          <w:sz w:val="10"/>
          <w:szCs w:val="10"/>
          <w:b w:val="1"/>
          <w:bCs w:val="1"/>
          <w:color w:val="7F7F7F"/>
        </w:rPr>
        <w:t>About the Annual Shareholders Meeting and Voting</w:t>
      </w:r>
    </w:p>
    <w:p>
      <w:pPr>
        <w:spacing w:after="0" w:line="156" w:lineRule="exact"/>
        <w:rPr>
          <w:sz w:val="20"/>
          <w:szCs w:val="20"/>
          <w:color w:val="auto"/>
        </w:rPr>
      </w:pPr>
    </w:p>
    <w:p>
      <w:pPr>
        <w:ind w:left="160" w:right="20"/>
        <w:spacing w:after="0" w:line="244" w:lineRule="auto"/>
        <w:rPr>
          <w:sz w:val="20"/>
          <w:szCs w:val="20"/>
          <w:color w:val="auto"/>
        </w:rPr>
      </w:pPr>
      <w:r>
        <w:rPr>
          <w:rFonts w:ascii="Arial" w:cs="Arial" w:eastAsia="Arial" w:hAnsi="Arial"/>
          <w:sz w:val="14"/>
          <w:szCs w:val="14"/>
          <w:color w:val="auto"/>
        </w:rPr>
        <w:t>The meeting may not be used as a forum to present general economic, political or other views that are not directly related to the matters properly before the meeting and questions should be limited to the formal business of the meeting or the business and operations of Sempra. We reserve the right to exclude questions regarding topics that are not pertinent to business items during the formal business portion of the meeting and to exclude questions regarding topics that are not pertinent to company business during the question-and-answer session to follow the formal business portion of the meeting. We also reserve the right, both during the formal business portion of the meeting and the subsequent question-and-answer session, to exclude questions whose answers are contained in this proxy statement, the other proxy materials for the meeting, or have already been addressed at the meeting, that are repetitive of questions or statements made by another shareholder, or that are otherwise not in compliance with our Rules of Procedure for the Annual Shareholders Meeting. For more information, please consult the Rules of Procedure for the Annual Shareholders Meeting, which will be available at www.sempra.com/2026-annual-meeting before the meeting and on the virtual meeting platform at www.virtualshareholdermeeting.com/SRE2026 during the meeting.</w:t>
      </w:r>
    </w:p>
    <w:p>
      <w:pPr>
        <w:spacing w:after="0" w:line="357" w:lineRule="exact"/>
        <w:rPr>
          <w:sz w:val="20"/>
          <w:szCs w:val="20"/>
          <w:color w:val="auto"/>
        </w:rPr>
      </w:pPr>
    </w:p>
    <w:p>
      <w:pPr>
        <w:ind w:left="600" w:right="160" w:hanging="433"/>
        <w:spacing w:after="0" w:line="293" w:lineRule="auto"/>
        <w:tabs>
          <w:tab w:leader="none" w:pos="600" w:val="left"/>
        </w:tabs>
        <w:numPr>
          <w:ilvl w:val="0"/>
          <w:numId w:val="134"/>
        </w:numPr>
        <w:rPr>
          <w:rFonts w:ascii="Arial" w:cs="Arial" w:eastAsia="Arial" w:hAnsi="Arial"/>
          <w:sz w:val="21"/>
          <w:szCs w:val="21"/>
          <w:b w:val="1"/>
          <w:bCs w:val="1"/>
          <w:color w:val="005CB9"/>
        </w:rPr>
      </w:pPr>
      <w:r>
        <w:rPr>
          <w:rFonts w:ascii="Arial" w:cs="Arial" w:eastAsia="Arial" w:hAnsi="Arial"/>
          <w:sz w:val="21"/>
          <w:szCs w:val="21"/>
          <w:b w:val="1"/>
          <w:bCs w:val="1"/>
          <w:color w:val="005CB9"/>
        </w:rPr>
        <w:t>What if I have technical difficulties during the check-in time or during the virtual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5" w:lineRule="exact"/>
        <w:rPr>
          <w:sz w:val="20"/>
          <w:szCs w:val="20"/>
          <w:color w:val="auto"/>
        </w:rPr>
      </w:pPr>
    </w:p>
    <w:p>
      <w:pPr>
        <w:ind w:left="160" w:right="40"/>
        <w:spacing w:after="0" w:line="243" w:lineRule="auto"/>
        <w:rPr>
          <w:sz w:val="20"/>
          <w:szCs w:val="20"/>
          <w:color w:val="auto"/>
        </w:rPr>
      </w:pPr>
      <w:r>
        <w:rPr>
          <w:rFonts w:ascii="Arial" w:cs="Arial" w:eastAsia="Arial" w:hAnsi="Arial"/>
          <w:sz w:val="14"/>
          <w:szCs w:val="14"/>
          <w:color w:val="auto"/>
        </w:rPr>
        <w:t>Instructions on how to attend and participate in the virtual meeting are or will be posted at www.proxyvote.com. If you encounter difficulties accessing the meeting site during the check-in or meeting time, please call (844) 983-0876 (U.S. and Canada) or +1 (303) 562-9303 (International) beginning April 13, 2026 for technical support, which telephone numbers also will be posted on the login page at www.virtualshareholdermeeting.com/SRE2026. Please plan to allow sufficient time to check in before the start time of the meeting so that any technical difficulties may be addressed before the live audiovisual webcast begins. The meeting may be recessed or adjourned at the sole discretion of the Chair of the meeting, including if we experience technical difficulties that prevent us from properly conducting the meeting. If technical issues with the meeting platform prevent the Chair from communicating with shareholders via the meeting site within 60 minutes after the time for which the meeting was called or in the event of a technical malfunction or other significant problem that disrupts our ability to continue the meeting before the polls are closed and the formal business portion of the meeting has been completed, the meeting will be adjourned and will reconvene at the same virtual location on May 18, 2026 at 9 a.m. Pacific Time, unless announced differently at the meeting. In such event, we expect an announcement will be made on www.virtualshareholdermeeting.com/SRE2026 and www.sempra.com/2026-annual-meeting.</w:t>
      </w:r>
    </w:p>
    <w:p>
      <w:pPr>
        <w:spacing w:after="0" w:line="333"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How You Can Vote</w:t>
      </w:r>
    </w:p>
    <w:p>
      <w:pPr>
        <w:spacing w:after="0" w:line="247" w:lineRule="exact"/>
        <w:rPr>
          <w:sz w:val="20"/>
          <w:szCs w:val="20"/>
          <w:color w:val="auto"/>
        </w:rPr>
      </w:pPr>
    </w:p>
    <w:p>
      <w:pPr>
        <w:ind w:left="600" w:hanging="433"/>
        <w:spacing w:after="0"/>
        <w:tabs>
          <w:tab w:leader="none" w:pos="600" w:val="left"/>
        </w:tabs>
        <w:numPr>
          <w:ilvl w:val="0"/>
          <w:numId w:val="135"/>
        </w:numPr>
        <w:rPr>
          <w:rFonts w:ascii="Arial" w:cs="Arial" w:eastAsia="Arial" w:hAnsi="Arial"/>
          <w:sz w:val="21"/>
          <w:szCs w:val="21"/>
          <w:b w:val="1"/>
          <w:bCs w:val="1"/>
          <w:color w:val="005CB9"/>
        </w:rPr>
      </w:pPr>
      <w:r>
        <w:rPr>
          <w:rFonts w:ascii="Arial" w:cs="Arial" w:eastAsia="Arial" w:hAnsi="Arial"/>
          <w:sz w:val="21"/>
          <w:szCs w:val="21"/>
          <w:b w:val="1"/>
          <w:bCs w:val="1"/>
          <w:color w:val="005CB9"/>
        </w:rPr>
        <w:t>How many votes is each shareholder entitled to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40"/>
        <w:spacing w:after="0" w:line="246" w:lineRule="auto"/>
        <w:rPr>
          <w:sz w:val="20"/>
          <w:szCs w:val="20"/>
          <w:color w:val="auto"/>
        </w:rPr>
      </w:pPr>
      <w:r>
        <w:rPr>
          <w:rFonts w:ascii="Arial" w:cs="Arial" w:eastAsia="Arial" w:hAnsi="Arial"/>
          <w:sz w:val="14"/>
          <w:szCs w:val="14"/>
          <w:color w:val="auto"/>
        </w:rPr>
        <w:t>You are entitled to one vote on each of the 11 director nominees named in this proxy statement and one vote on each of the other proposals to be voted on at the Annual Shareholders Meeting for each share of our common stock that you owned at the close of business on March 20, 2026, the record date for the meeting and any adjournment or postponement thereof. You may vote all shares owned by you on the record date, including (i) shares held directly in your name as the shareholder of record and</w:t>
      </w:r>
    </w:p>
    <w:p>
      <w:pPr>
        <w:ind w:left="160" w:right="620" w:firstLine="7"/>
        <w:spacing w:after="0" w:line="260" w:lineRule="auto"/>
        <w:tabs>
          <w:tab w:leader="none" w:pos="358" w:val="left"/>
        </w:tabs>
        <w:numPr>
          <w:ilvl w:val="0"/>
          <w:numId w:val="136"/>
        </w:numPr>
        <w:rPr>
          <w:rFonts w:ascii="Arial" w:cs="Arial" w:eastAsia="Arial" w:hAnsi="Arial"/>
          <w:sz w:val="14"/>
          <w:szCs w:val="14"/>
          <w:color w:val="auto"/>
        </w:rPr>
      </w:pPr>
      <w:r>
        <w:rPr>
          <w:rFonts w:ascii="Arial" w:cs="Arial" w:eastAsia="Arial" w:hAnsi="Arial"/>
          <w:sz w:val="14"/>
          <w:szCs w:val="14"/>
          <w:color w:val="auto"/>
        </w:rPr>
        <w:t>shares held for you as the beneficial owner through a bank, broker or other nominee (including shares held in the Employee Savings Plans). On the record date, 653,332,556 shares of our common stock were outstanding.</w:t>
      </w:r>
    </w:p>
    <w:p>
      <w:pPr>
        <w:spacing w:after="0" w:line="180" w:lineRule="exact"/>
        <w:rPr>
          <w:sz w:val="20"/>
          <w:szCs w:val="20"/>
          <w:color w:val="auto"/>
        </w:rPr>
      </w:pPr>
    </w:p>
    <w:p>
      <w:pPr>
        <w:ind w:left="600" w:hanging="433"/>
        <w:spacing w:after="0"/>
        <w:tabs>
          <w:tab w:leader="none" w:pos="600" w:val="left"/>
        </w:tabs>
        <w:numPr>
          <w:ilvl w:val="0"/>
          <w:numId w:val="137"/>
        </w:numPr>
        <w:rPr>
          <w:rFonts w:ascii="Arial" w:cs="Arial" w:eastAsia="Arial" w:hAnsi="Arial"/>
          <w:sz w:val="21"/>
          <w:szCs w:val="21"/>
          <w:b w:val="1"/>
          <w:bCs w:val="1"/>
          <w:color w:val="005CB9"/>
        </w:rPr>
      </w:pPr>
      <w:r>
        <w:rPr>
          <w:rFonts w:ascii="Arial" w:cs="Arial" w:eastAsia="Arial" w:hAnsi="Arial"/>
          <w:sz w:val="21"/>
          <w:szCs w:val="21"/>
          <w:b w:val="1"/>
          <w:bCs w:val="1"/>
          <w:color w:val="005CB9"/>
        </w:rPr>
        <w:t>What is the difference between holding shares as a beneficial owner and as a shareholder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Most of our shareholders hold their shares beneficially through a bank, broker or other nominee rather than having the shares registered directly in their own names.</w:t>
      </w:r>
    </w:p>
    <w:p>
      <w:pPr>
        <w:spacing w:after="0" w:line="106" w:lineRule="exact"/>
        <w:rPr>
          <w:sz w:val="20"/>
          <w:szCs w:val="20"/>
          <w:color w:val="auto"/>
        </w:rPr>
      </w:pPr>
    </w:p>
    <w:p>
      <w:pPr>
        <w:ind w:left="160" w:right="60"/>
        <w:spacing w:after="0" w:line="260" w:lineRule="auto"/>
        <w:rPr>
          <w:sz w:val="20"/>
          <w:szCs w:val="20"/>
          <w:color w:val="auto"/>
        </w:rPr>
      </w:pPr>
      <w:r>
        <w:rPr>
          <w:rFonts w:ascii="Arial" w:cs="Arial" w:eastAsia="Arial" w:hAnsi="Arial"/>
          <w:sz w:val="14"/>
          <w:szCs w:val="14"/>
          <w:b w:val="1"/>
          <w:bCs w:val="1"/>
          <w:color w:val="auto"/>
        </w:rPr>
        <w:t xml:space="preserve">Beneficial Owner. </w:t>
      </w:r>
      <w:r>
        <w:rPr>
          <w:rFonts w:ascii="Arial" w:cs="Arial" w:eastAsia="Arial" w:hAnsi="Arial"/>
          <w:sz w:val="14"/>
          <w:szCs w:val="14"/>
          <w:color w:val="auto"/>
        </w:rPr>
        <w:t>If your shares are held through a bank, broker or other nominee, it is likely that the shares are registered in the name of the nominee and you are the</w:t>
      </w:r>
      <w:r>
        <w:rPr>
          <w:rFonts w:ascii="Arial" w:cs="Arial" w:eastAsia="Arial" w:hAnsi="Arial"/>
          <w:sz w:val="14"/>
          <w:szCs w:val="14"/>
          <w:b w:val="1"/>
          <w:bCs w:val="1"/>
          <w:color w:val="auto"/>
        </w:rPr>
        <w:t xml:space="preserve"> </w:t>
      </w:r>
      <w:r>
        <w:rPr>
          <w:rFonts w:ascii="Arial" w:cs="Arial" w:eastAsia="Arial" w:hAnsi="Arial"/>
          <w:sz w:val="14"/>
          <w:szCs w:val="14"/>
          <w:color w:val="auto"/>
        </w:rPr>
        <w:t>beneficial owner of such shares. You also are considered the beneficial owner of any shares you may own through any of the Employee Savings Plans. Your bank, broker or other nominee has provided you with voting instructions describing how you may direct the registered holder to vote your shares.</w:t>
      </w:r>
    </w:p>
    <w:p>
      <w:pPr>
        <w:spacing w:after="0" w:line="65" w:lineRule="exact"/>
        <w:rPr>
          <w:sz w:val="20"/>
          <w:szCs w:val="20"/>
          <w:color w:val="auto"/>
        </w:rPr>
      </w:pPr>
    </w:p>
    <w:p>
      <w:pPr>
        <w:jc w:val="both"/>
        <w:ind w:left="160" w:right="20"/>
        <w:spacing w:after="0" w:line="260" w:lineRule="auto"/>
        <w:rPr>
          <w:sz w:val="20"/>
          <w:szCs w:val="20"/>
          <w:color w:val="auto"/>
        </w:rPr>
      </w:pPr>
      <w:r>
        <w:rPr>
          <w:rFonts w:ascii="Arial" w:cs="Arial" w:eastAsia="Arial" w:hAnsi="Arial"/>
          <w:sz w:val="14"/>
          <w:szCs w:val="14"/>
          <w:b w:val="1"/>
          <w:bCs w:val="1"/>
          <w:color w:val="auto"/>
        </w:rPr>
        <w:t xml:space="preserve">Shareholder of Record. </w:t>
      </w:r>
      <w:r>
        <w:rPr>
          <w:rFonts w:ascii="Arial" w:cs="Arial" w:eastAsia="Arial" w:hAnsi="Arial"/>
          <w:sz w:val="14"/>
          <w:szCs w:val="14"/>
          <w:color w:val="auto"/>
        </w:rPr>
        <w:t>If your shares are registered directly in your name with our transfer agent, you are the shareholder of record of such shares. We have provided you</w:t>
      </w:r>
      <w:r>
        <w:rPr>
          <w:rFonts w:ascii="Arial" w:cs="Arial" w:eastAsia="Arial" w:hAnsi="Arial"/>
          <w:sz w:val="14"/>
          <w:szCs w:val="14"/>
          <w:b w:val="1"/>
          <w:bCs w:val="1"/>
          <w:color w:val="auto"/>
        </w:rPr>
        <w:t xml:space="preserve"> </w:t>
      </w:r>
      <w:r>
        <w:rPr>
          <w:rFonts w:ascii="Arial" w:cs="Arial" w:eastAsia="Arial" w:hAnsi="Arial"/>
          <w:sz w:val="14"/>
          <w:szCs w:val="14"/>
          <w:color w:val="auto"/>
        </w:rPr>
        <w:t>with either a proxy card to use in voting these shares or a notice about the Internet availability of our proxy materials, each of which instructs you on how you may access our proxy materials on the Internet and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69297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200025</wp:posOffset>
            </wp:positionV>
            <wp:extent cx="739140" cy="153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91</w:t>
      </w:r>
    </w:p>
    <w:p>
      <w:pPr>
        <w:sectPr>
          <w:pgSz w:w="11900" w:h="16838" w:orient="portrait"/>
          <w:cols w:equalWidth="0" w:num="1">
            <w:col w:w="11080"/>
          </w:cols>
          <w:pgMar w:left="320" w:top="478"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About the Annual Shareholders Meeting and Voting</w:t>
      </w:r>
    </w:p>
    <w:p>
      <w:pPr>
        <w:spacing w:after="0" w:line="126" w:lineRule="exact"/>
        <w:rPr>
          <w:sz w:val="20"/>
          <w:szCs w:val="20"/>
          <w:color w:val="auto"/>
        </w:rPr>
      </w:pPr>
    </w:p>
    <w:p>
      <w:pPr>
        <w:ind w:left="600" w:hanging="433"/>
        <w:spacing w:after="0"/>
        <w:tabs>
          <w:tab w:leader="none" w:pos="600" w:val="left"/>
        </w:tabs>
        <w:numPr>
          <w:ilvl w:val="0"/>
          <w:numId w:val="138"/>
        </w:numPr>
        <w:rPr>
          <w:rFonts w:ascii="Arial" w:cs="Arial" w:eastAsia="Arial" w:hAnsi="Arial"/>
          <w:sz w:val="21"/>
          <w:szCs w:val="21"/>
          <w:b w:val="1"/>
          <w:bCs w:val="1"/>
          <w:color w:val="005CB9"/>
        </w:rPr>
      </w:pPr>
      <w:r>
        <w:rPr>
          <w:rFonts w:ascii="Arial" w:cs="Arial" w:eastAsia="Arial" w:hAnsi="Arial"/>
          <w:sz w:val="21"/>
          <w:szCs w:val="21"/>
          <w:b w:val="1"/>
          <w:bCs w:val="1"/>
          <w:color w:val="005CB9"/>
        </w:rPr>
        <w:t>How do I vote and 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right="140"/>
        <w:spacing w:after="0" w:line="260" w:lineRule="auto"/>
        <w:rPr>
          <w:sz w:val="20"/>
          <w:szCs w:val="20"/>
          <w:color w:val="auto"/>
        </w:rPr>
      </w:pPr>
      <w:r>
        <w:rPr>
          <w:rFonts w:ascii="Arial" w:cs="Arial" w:eastAsia="Arial" w:hAnsi="Arial"/>
          <w:sz w:val="14"/>
          <w:szCs w:val="14"/>
          <w:color w:val="auto"/>
        </w:rPr>
        <w:t>The process for voting your shares depends on how your shares are held. As discussed in Question 6 above, you may hold your shares as a shareholder of record (registered in your own name) or as a beneficial owner (through a bank, broker or other nominee). See Question 12 below for instructions on how you may direct the voting of your shares held in any of the Employee Savings Plans.</w:t>
      </w:r>
    </w:p>
    <w:p>
      <w:pPr>
        <w:spacing w:after="0" w:line="65" w:lineRule="exact"/>
        <w:rPr>
          <w:sz w:val="20"/>
          <w:szCs w:val="20"/>
          <w:color w:val="auto"/>
        </w:rPr>
      </w:pPr>
    </w:p>
    <w:p>
      <w:pPr>
        <w:jc w:val="both"/>
        <w:ind w:left="160" w:right="20"/>
        <w:spacing w:after="0" w:line="260" w:lineRule="auto"/>
        <w:rPr>
          <w:sz w:val="20"/>
          <w:szCs w:val="20"/>
          <w:color w:val="auto"/>
        </w:rPr>
      </w:pPr>
      <w:r>
        <w:rPr>
          <w:rFonts w:ascii="Arial" w:cs="Arial" w:eastAsia="Arial" w:hAnsi="Arial"/>
          <w:sz w:val="14"/>
          <w:szCs w:val="14"/>
          <w:b w:val="1"/>
          <w:bCs w:val="1"/>
          <w:color w:val="auto"/>
        </w:rPr>
        <w:t xml:space="preserve">Voting by Shareholders of Record. </w:t>
      </w:r>
      <w:r>
        <w:rPr>
          <w:rFonts w:ascii="Arial" w:cs="Arial" w:eastAsia="Arial" w:hAnsi="Arial"/>
          <w:sz w:val="14"/>
          <w:szCs w:val="14"/>
          <w:color w:val="auto"/>
        </w:rPr>
        <w:t>If you are a shareholder of record, you may vote by attending the virtual meeting as described in Question 3 above or you may vote by</w:t>
      </w:r>
      <w:r>
        <w:rPr>
          <w:rFonts w:ascii="Arial" w:cs="Arial" w:eastAsia="Arial" w:hAnsi="Arial"/>
          <w:sz w:val="14"/>
          <w:szCs w:val="14"/>
          <w:b w:val="1"/>
          <w:bCs w:val="1"/>
          <w:color w:val="auto"/>
        </w:rPr>
        <w:t xml:space="preserve"> </w:t>
      </w:r>
      <w:r>
        <w:rPr>
          <w:rFonts w:ascii="Arial" w:cs="Arial" w:eastAsia="Arial" w:hAnsi="Arial"/>
          <w:sz w:val="14"/>
          <w:szCs w:val="14"/>
          <w:color w:val="auto"/>
        </w:rPr>
        <w:t>proxy in advance of the meeting. Even if you plan to attend the meeting, we recommend that you vote your shares in advance to be sure your vote will be counted if you later decide not to attend the meeting.</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If you are a shareholder of record and would like to vote your shares by proxy in advance of the Annual Shareholders Meeting, you may vote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184150</wp:posOffset>
            </wp:positionV>
            <wp:extent cx="339725" cy="3397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87" w:lineRule="exact"/>
        <w:rPr>
          <w:sz w:val="20"/>
          <w:szCs w:val="20"/>
          <w:color w:val="auto"/>
        </w:rPr>
      </w:pPr>
    </w:p>
    <w:p>
      <w:pPr>
        <w:ind w:left="940" w:right="80"/>
        <w:spacing w:after="0" w:line="260" w:lineRule="auto"/>
        <w:rPr>
          <w:sz w:val="20"/>
          <w:szCs w:val="20"/>
          <w:color w:val="auto"/>
        </w:rPr>
      </w:pPr>
      <w:r>
        <w:rPr>
          <w:rFonts w:ascii="Arial" w:cs="Arial" w:eastAsia="Arial" w:hAnsi="Arial"/>
          <w:sz w:val="14"/>
          <w:szCs w:val="14"/>
          <w:color w:val="auto"/>
        </w:rPr>
        <w:t>Internet (including via a mobile device) — by visiting www.proxyvote.com or scanning the QR code on your notice about the Internet availability of our proxy materials or proxy card, and following the other Internet voting instructions included in this proxy statement or on your notice about the Internet availability of our proxy materials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73025</wp:posOffset>
            </wp:positionV>
            <wp:extent cx="339725" cy="3397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73" w:lineRule="exact"/>
        <w:rPr>
          <w:sz w:val="20"/>
          <w:szCs w:val="20"/>
          <w:color w:val="auto"/>
        </w:rPr>
      </w:pPr>
    </w:p>
    <w:p>
      <w:pPr>
        <w:ind w:left="940"/>
        <w:spacing w:after="0"/>
        <w:rPr>
          <w:sz w:val="20"/>
          <w:szCs w:val="20"/>
          <w:color w:val="auto"/>
        </w:rPr>
      </w:pPr>
      <w:r>
        <w:rPr>
          <w:rFonts w:ascii="Arial" w:cs="Arial" w:eastAsia="Arial" w:hAnsi="Arial"/>
          <w:sz w:val="14"/>
          <w:szCs w:val="14"/>
          <w:color w:val="auto"/>
        </w:rPr>
        <w:t>Telephone — by calling (800) 690-6903 and following the other telephone voting instructions included in this proxy statement or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192405</wp:posOffset>
            </wp:positionV>
            <wp:extent cx="339725" cy="2374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39725" cy="237490"/>
                    </a:xfrm>
                    <a:prstGeom prst="rect">
                      <a:avLst/>
                    </a:prstGeom>
                    <a:noFill/>
                  </pic:spPr>
                </pic:pic>
              </a:graphicData>
            </a:graphic>
          </wp:anchor>
        </w:drawing>
      </w:r>
    </w:p>
    <w:p>
      <w:pPr>
        <w:spacing w:after="0" w:line="314" w:lineRule="exact"/>
        <w:rPr>
          <w:sz w:val="20"/>
          <w:szCs w:val="20"/>
          <w:color w:val="auto"/>
        </w:rPr>
      </w:pPr>
    </w:p>
    <w:p>
      <w:pPr>
        <w:ind w:left="940" w:right="100"/>
        <w:spacing w:after="0" w:line="281" w:lineRule="auto"/>
        <w:rPr>
          <w:sz w:val="20"/>
          <w:szCs w:val="20"/>
          <w:color w:val="auto"/>
        </w:rPr>
      </w:pPr>
      <w:r>
        <w:rPr>
          <w:rFonts w:ascii="Arial" w:cs="Arial" w:eastAsia="Arial" w:hAnsi="Arial"/>
          <w:sz w:val="14"/>
          <w:szCs w:val="14"/>
          <w:color w:val="auto"/>
        </w:rPr>
        <w:t>Mail — if you received our proxy materials by mail, by marking, dating and signing your proxy card in accordance with the instructions on the card and returning it by mail in the pre-addressed reply envelope provided with our proxy materials</w:t>
      </w:r>
    </w:p>
    <w:p>
      <w:pPr>
        <w:spacing w:after="0" w:line="171" w:lineRule="exact"/>
        <w:rPr>
          <w:sz w:val="20"/>
          <w:szCs w:val="20"/>
          <w:color w:val="auto"/>
        </w:rPr>
      </w:pPr>
    </w:p>
    <w:p>
      <w:pPr>
        <w:ind w:left="160"/>
        <w:spacing w:after="0" w:line="260" w:lineRule="auto"/>
        <w:rPr>
          <w:sz w:val="20"/>
          <w:szCs w:val="20"/>
          <w:color w:val="auto"/>
        </w:rPr>
      </w:pPr>
      <w:r>
        <w:rPr>
          <w:rFonts w:ascii="Arial" w:cs="Arial" w:eastAsia="Arial" w:hAnsi="Arial"/>
          <w:sz w:val="14"/>
          <w:szCs w:val="14"/>
          <w:color w:val="auto"/>
        </w:rPr>
        <w:t>For Internet and telephone voting, you will need to have your notice about the Internet availability of our proxy materials or proxy card available. Internet and telephone voting will close at 11:59 p.m. Eastern Time on May 11, 2026. If you wish to vote by completing and returning your proxy card by mail, your completed proxy card must be received before the polls close for voting at the Annual Shareholders Meeting or any adjournment or postponement thereof.</w:t>
      </w:r>
    </w:p>
    <w:p>
      <w:pPr>
        <w:spacing w:after="0" w:line="65" w:lineRule="exact"/>
        <w:rPr>
          <w:sz w:val="20"/>
          <w:szCs w:val="20"/>
          <w:color w:val="auto"/>
        </w:rPr>
      </w:pPr>
    </w:p>
    <w:p>
      <w:pPr>
        <w:ind w:left="160" w:right="140"/>
        <w:spacing w:after="0" w:line="260" w:lineRule="auto"/>
        <w:rPr>
          <w:sz w:val="20"/>
          <w:szCs w:val="20"/>
          <w:color w:val="auto"/>
        </w:rPr>
      </w:pPr>
      <w:r>
        <w:rPr>
          <w:rFonts w:ascii="Arial" w:cs="Arial" w:eastAsia="Arial" w:hAnsi="Arial"/>
          <w:sz w:val="14"/>
          <w:szCs w:val="14"/>
          <w:b w:val="1"/>
          <w:bCs w:val="1"/>
          <w:color w:val="auto"/>
        </w:rPr>
        <w:t xml:space="preserve">Voting by Beneficial Owners. </w:t>
      </w:r>
      <w:r>
        <w:rPr>
          <w:rFonts w:ascii="Arial" w:cs="Arial" w:eastAsia="Arial" w:hAnsi="Arial"/>
          <w:sz w:val="14"/>
          <w:szCs w:val="14"/>
          <w:color w:val="auto"/>
        </w:rPr>
        <w:t>If you hold your shares as a beneficial owner through a bank, broker or other nominee, you should receive separate voting instructions from</w:t>
      </w:r>
      <w:r>
        <w:rPr>
          <w:rFonts w:ascii="Arial" w:cs="Arial" w:eastAsia="Arial" w:hAnsi="Arial"/>
          <w:sz w:val="14"/>
          <w:szCs w:val="14"/>
          <w:b w:val="1"/>
          <w:bCs w:val="1"/>
          <w:color w:val="auto"/>
        </w:rPr>
        <w:t xml:space="preserve"> </w:t>
      </w:r>
      <w:r>
        <w:rPr>
          <w:rFonts w:ascii="Arial" w:cs="Arial" w:eastAsia="Arial" w:hAnsi="Arial"/>
          <w:sz w:val="14"/>
          <w:szCs w:val="14"/>
          <w:color w:val="auto"/>
        </w:rPr>
        <w:t>that entity describing how you may direct the registered holder to vote your shares in advance of the Annual Shareholders Meeting. You may also vote by attending the virtual meeting as described in Question 3 above.</w:t>
      </w:r>
    </w:p>
    <w:p>
      <w:pPr>
        <w:spacing w:after="0" w:line="65" w:lineRule="exact"/>
        <w:rPr>
          <w:sz w:val="20"/>
          <w:szCs w:val="20"/>
          <w:color w:val="auto"/>
        </w:rPr>
      </w:pPr>
    </w:p>
    <w:p>
      <w:pPr>
        <w:ind w:left="160" w:right="40"/>
        <w:spacing w:after="0" w:line="254" w:lineRule="auto"/>
        <w:rPr>
          <w:sz w:val="20"/>
          <w:szCs w:val="20"/>
          <w:color w:val="auto"/>
        </w:rPr>
      </w:pPr>
      <w:r>
        <w:rPr>
          <w:rFonts w:ascii="Arial" w:cs="Arial" w:eastAsia="Arial" w:hAnsi="Arial"/>
          <w:sz w:val="14"/>
          <w:szCs w:val="14"/>
          <w:b w:val="1"/>
          <w:bCs w:val="1"/>
          <w:color w:val="auto"/>
        </w:rPr>
        <w:t xml:space="preserve">Voting of Shares as Directed. </w:t>
      </w:r>
      <w:r>
        <w:rPr>
          <w:rFonts w:ascii="Arial" w:cs="Arial" w:eastAsia="Arial" w:hAnsi="Arial"/>
          <w:sz w:val="14"/>
          <w:szCs w:val="14"/>
          <w:color w:val="auto"/>
        </w:rPr>
        <w:t>Your shares will be voted as you instruct on your proxy card, on your voting instruction form, or pursuant to any of the other methods to direct</w:t>
      </w:r>
      <w:r>
        <w:rPr>
          <w:rFonts w:ascii="Arial" w:cs="Arial" w:eastAsia="Arial" w:hAnsi="Arial"/>
          <w:sz w:val="14"/>
          <w:szCs w:val="14"/>
          <w:b w:val="1"/>
          <w:bCs w:val="1"/>
          <w:color w:val="auto"/>
        </w:rPr>
        <w:t xml:space="preserve"> </w:t>
      </w:r>
      <w:r>
        <w:rPr>
          <w:rFonts w:ascii="Arial" w:cs="Arial" w:eastAsia="Arial" w:hAnsi="Arial"/>
          <w:sz w:val="14"/>
          <w:szCs w:val="14"/>
          <w:color w:val="auto"/>
        </w:rPr>
        <w:t>your vote described above. See Question 20 below for how your shares will be voted in the absence of timely voting instructions for shares held outside any of the Employee Savings Plans, and see Question 12 below for how your shares will be voted in the absence of timely voting instructions for shares held in any of the Employee Savings Plans.</w:t>
      </w:r>
    </w:p>
    <w:p>
      <w:pPr>
        <w:spacing w:after="0" w:line="352" w:lineRule="exact"/>
        <w:rPr>
          <w:sz w:val="20"/>
          <w:szCs w:val="20"/>
          <w:color w:val="auto"/>
        </w:rPr>
      </w:pPr>
    </w:p>
    <w:p>
      <w:pPr>
        <w:ind w:left="600" w:hanging="433"/>
        <w:spacing w:after="0"/>
        <w:tabs>
          <w:tab w:leader="none" w:pos="600" w:val="left"/>
        </w:tabs>
        <w:numPr>
          <w:ilvl w:val="0"/>
          <w:numId w:val="139"/>
        </w:numPr>
        <w:rPr>
          <w:rFonts w:ascii="Arial" w:cs="Arial" w:eastAsia="Arial" w:hAnsi="Arial"/>
          <w:sz w:val="21"/>
          <w:szCs w:val="21"/>
          <w:b w:val="1"/>
          <w:bCs w:val="1"/>
          <w:color w:val="005CB9"/>
        </w:rPr>
      </w:pPr>
      <w:r>
        <w:rPr>
          <w:rFonts w:ascii="Arial" w:cs="Arial" w:eastAsia="Arial" w:hAnsi="Arial"/>
          <w:sz w:val="21"/>
          <w:szCs w:val="21"/>
          <w:b w:val="1"/>
          <w:bCs w:val="1"/>
          <w:color w:val="005CB9"/>
        </w:rPr>
        <w:t>How can I vote without attending the virtual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60"/>
        <w:spacing w:after="0" w:line="260" w:lineRule="auto"/>
        <w:rPr>
          <w:sz w:val="20"/>
          <w:szCs w:val="20"/>
          <w:color w:val="auto"/>
        </w:rPr>
      </w:pPr>
      <w:r>
        <w:rPr>
          <w:rFonts w:ascii="Arial" w:cs="Arial" w:eastAsia="Arial" w:hAnsi="Arial"/>
          <w:sz w:val="14"/>
          <w:szCs w:val="14"/>
          <w:color w:val="auto"/>
        </w:rPr>
        <w:t>Whether you hold your shares as a shareholder of record or as a beneficial owner, it is not necessary for you to attend the Annual Shareholders Meeting or any adjournment or postponement thereof in order to vote your shares. If you are a shareholder of record, you may vote by submitting a proxy. If you are a beneficial owner of shares, you may vote by submitting voting instructions to the registered owner of your shares or, if you hold shares in any of the Employee Savings Plans, to the trustee of such plans.</w:t>
      </w:r>
    </w:p>
    <w:p>
      <w:pPr>
        <w:spacing w:after="0" w:line="65" w:lineRule="exact"/>
        <w:rPr>
          <w:sz w:val="20"/>
          <w:szCs w:val="20"/>
          <w:color w:val="auto"/>
        </w:rPr>
      </w:pPr>
    </w:p>
    <w:p>
      <w:pPr>
        <w:ind w:left="160" w:right="100"/>
        <w:spacing w:after="0" w:line="281" w:lineRule="auto"/>
        <w:rPr>
          <w:sz w:val="20"/>
          <w:szCs w:val="20"/>
          <w:color w:val="auto"/>
        </w:rPr>
      </w:pPr>
      <w:r>
        <w:rPr>
          <w:rFonts w:ascii="Arial" w:cs="Arial" w:eastAsia="Arial" w:hAnsi="Arial"/>
          <w:sz w:val="14"/>
          <w:szCs w:val="14"/>
          <w:color w:val="auto"/>
        </w:rPr>
        <w:t>For directions on how you may vote, please refer to the instructions in Question 7 above or on your notice about the Internet availability of our proxy materials, proxy card or voting instruction form.</w:t>
      </w:r>
    </w:p>
    <w:p>
      <w:pPr>
        <w:spacing w:after="0" w:line="51" w:lineRule="exact"/>
        <w:rPr>
          <w:sz w:val="20"/>
          <w:szCs w:val="20"/>
          <w:color w:val="auto"/>
        </w:rPr>
      </w:pPr>
    </w:p>
    <w:p>
      <w:pPr>
        <w:ind w:left="160" w:right="280"/>
        <w:spacing w:after="0" w:line="281" w:lineRule="auto"/>
        <w:rPr>
          <w:sz w:val="20"/>
          <w:szCs w:val="20"/>
          <w:color w:val="auto"/>
        </w:rPr>
      </w:pPr>
      <w:r>
        <w:rPr>
          <w:rFonts w:ascii="Arial" w:cs="Arial" w:eastAsia="Arial" w:hAnsi="Arial"/>
          <w:sz w:val="14"/>
          <w:szCs w:val="14"/>
          <w:color w:val="auto"/>
        </w:rPr>
        <w:t>Even if you plan to attend the Annual Shareholders Meeting, we recommend that you also submit your proxy or voting instructions in advance as described in Question 7 above to be sure your vote will be counted if you later decide not to attend the meeting.</w:t>
      </w:r>
    </w:p>
    <w:p>
      <w:pPr>
        <w:spacing w:after="0" w:line="166" w:lineRule="exact"/>
        <w:rPr>
          <w:sz w:val="20"/>
          <w:szCs w:val="20"/>
          <w:color w:val="auto"/>
        </w:rPr>
      </w:pPr>
    </w:p>
    <w:p>
      <w:pPr>
        <w:ind w:left="600" w:hanging="433"/>
        <w:spacing w:after="0"/>
        <w:tabs>
          <w:tab w:leader="none" w:pos="600" w:val="left"/>
        </w:tabs>
        <w:numPr>
          <w:ilvl w:val="0"/>
          <w:numId w:val="140"/>
        </w:numPr>
        <w:rPr>
          <w:rFonts w:ascii="Arial" w:cs="Arial" w:eastAsia="Arial" w:hAnsi="Arial"/>
          <w:sz w:val="21"/>
          <w:szCs w:val="21"/>
          <w:b w:val="1"/>
          <w:bCs w:val="1"/>
          <w:color w:val="005CB9"/>
        </w:rPr>
      </w:pPr>
      <w:r>
        <w:rPr>
          <w:rFonts w:ascii="Arial" w:cs="Arial" w:eastAsia="Arial" w:hAnsi="Arial"/>
          <w:sz w:val="21"/>
          <w:szCs w:val="21"/>
          <w:b w:val="1"/>
          <w:bCs w:val="1"/>
          <w:color w:val="005CB9"/>
        </w:rPr>
        <w:t>What is the deadline to vote in advance of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60"/>
        <w:spacing w:after="0" w:line="260" w:lineRule="auto"/>
        <w:rPr>
          <w:sz w:val="20"/>
          <w:szCs w:val="20"/>
          <w:color w:val="auto"/>
        </w:rPr>
      </w:pPr>
      <w:r>
        <w:rPr>
          <w:rFonts w:ascii="Arial" w:cs="Arial" w:eastAsia="Arial" w:hAnsi="Arial"/>
          <w:sz w:val="14"/>
          <w:szCs w:val="14"/>
          <w:color w:val="auto"/>
        </w:rPr>
        <w:t>If you hold shares as a shareholder of record and you wish to vote in advance of the meeting by Internet or by telephone, you must do so before Internet and telephone voting closes at 11:59 p.m. Eastern Time on May 11, 2026. If you hold shares as a shareholder of record and wish to vote in advance of the meeting by mail, your completed proxy card must be received before the polls close for voting at the Annual Shareholders Meeting or any adjournment or postponement thereof.</w:t>
      </w:r>
    </w:p>
    <w:p>
      <w:pPr>
        <w:spacing w:after="0" w:line="65" w:lineRule="exact"/>
        <w:rPr>
          <w:sz w:val="20"/>
          <w:szCs w:val="20"/>
          <w:color w:val="auto"/>
        </w:rPr>
      </w:pPr>
    </w:p>
    <w:p>
      <w:pPr>
        <w:ind w:left="160" w:right="280"/>
        <w:spacing w:after="0" w:line="281" w:lineRule="auto"/>
        <w:rPr>
          <w:sz w:val="20"/>
          <w:szCs w:val="20"/>
          <w:color w:val="auto"/>
        </w:rPr>
      </w:pPr>
      <w:r>
        <w:rPr>
          <w:rFonts w:ascii="Arial" w:cs="Arial" w:eastAsia="Arial" w:hAnsi="Arial"/>
          <w:sz w:val="14"/>
          <w:szCs w:val="14"/>
          <w:color w:val="auto"/>
        </w:rPr>
        <w:t>If you hold shares in any of the Employee Savings Plans, your voting instructions must be received by 8 a.m. Eastern Time on May 7, 2026, for the trustee of the plans to vote your shares in accordance with your instructions. See Question 12 below.</w:t>
      </w:r>
    </w:p>
    <w:p>
      <w:pPr>
        <w:spacing w:after="0" w:line="51" w:lineRule="exact"/>
        <w:rPr>
          <w:sz w:val="20"/>
          <w:szCs w:val="20"/>
          <w:color w:val="auto"/>
        </w:rPr>
      </w:pPr>
    </w:p>
    <w:p>
      <w:pPr>
        <w:ind w:left="160" w:right="360"/>
        <w:spacing w:after="0" w:line="281" w:lineRule="auto"/>
        <w:rPr>
          <w:sz w:val="20"/>
          <w:szCs w:val="20"/>
          <w:color w:val="auto"/>
        </w:rPr>
      </w:pPr>
      <w:r>
        <w:rPr>
          <w:rFonts w:ascii="Arial" w:cs="Arial" w:eastAsia="Arial" w:hAnsi="Arial"/>
          <w:sz w:val="14"/>
          <w:szCs w:val="14"/>
          <w:color w:val="auto"/>
        </w:rPr>
        <w:t>If you hold shares as a beneficial owner (but not through any of the Employee Savings Plans), you should follow the voting instructions provided by your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5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92               </w:t>
      </w:r>
      <w:r>
        <w:rPr>
          <w:sz w:val="1"/>
          <w:szCs w:val="1"/>
          <w:color w:val="auto"/>
        </w:rPr>
        <w:drawing>
          <wp:inline distT="0" distB="0" distL="0" distR="0">
            <wp:extent cx="739140" cy="153035"/>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About the Annual Shareholders Meeting and Voting</w:t>
      </w:r>
    </w:p>
    <w:p>
      <w:pPr>
        <w:spacing w:after="0" w:line="126" w:lineRule="exact"/>
        <w:rPr>
          <w:sz w:val="20"/>
          <w:szCs w:val="20"/>
          <w:color w:val="auto"/>
        </w:rPr>
      </w:pPr>
    </w:p>
    <w:p>
      <w:pPr>
        <w:ind w:left="700" w:hanging="533"/>
        <w:spacing w:after="0"/>
        <w:tabs>
          <w:tab w:leader="none" w:pos="700" w:val="left"/>
        </w:tabs>
        <w:numPr>
          <w:ilvl w:val="0"/>
          <w:numId w:val="141"/>
        </w:numPr>
        <w:rPr>
          <w:rFonts w:ascii="Arial" w:cs="Arial" w:eastAsia="Arial" w:hAnsi="Arial"/>
          <w:sz w:val="21"/>
          <w:szCs w:val="21"/>
          <w:b w:val="1"/>
          <w:bCs w:val="1"/>
          <w:color w:val="005CB9"/>
        </w:rPr>
      </w:pPr>
      <w:r>
        <w:rPr>
          <w:rFonts w:ascii="Arial" w:cs="Arial" w:eastAsia="Arial" w:hAnsi="Arial"/>
          <w:sz w:val="21"/>
          <w:szCs w:val="21"/>
          <w:b w:val="1"/>
          <w:bCs w:val="1"/>
          <w:color w:val="005CB9"/>
        </w:rPr>
        <w:t>May I change or revoke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If you are a shareholder of record, you may change your vote by (i) granting a new proxy (using any of the methods described in Question 7) bearing a later date,</w:t>
      </w:r>
    </w:p>
    <w:p>
      <w:pPr>
        <w:spacing w:after="0" w:line="13" w:lineRule="exact"/>
        <w:rPr>
          <w:sz w:val="20"/>
          <w:szCs w:val="20"/>
          <w:color w:val="auto"/>
        </w:rPr>
      </w:pPr>
    </w:p>
    <w:p>
      <w:pPr>
        <w:ind w:left="160" w:right="40" w:firstLine="7"/>
        <w:spacing w:after="0" w:line="244" w:lineRule="auto"/>
        <w:tabs>
          <w:tab w:leader="none" w:pos="358" w:val="left"/>
        </w:tabs>
        <w:numPr>
          <w:ilvl w:val="0"/>
          <w:numId w:val="142"/>
        </w:numPr>
        <w:rPr>
          <w:rFonts w:ascii="Arial" w:cs="Arial" w:eastAsia="Arial" w:hAnsi="Arial"/>
          <w:sz w:val="14"/>
          <w:szCs w:val="14"/>
          <w:color w:val="auto"/>
        </w:rPr>
      </w:pPr>
      <w:r>
        <w:rPr>
          <w:rFonts w:ascii="Arial" w:cs="Arial" w:eastAsia="Arial" w:hAnsi="Arial"/>
          <w:sz w:val="14"/>
          <w:szCs w:val="14"/>
          <w:color w:val="auto"/>
        </w:rPr>
        <w:t>providing a written notice of revocation to the attention of our Corporate Secretary at Sempra’s principal executive offices at 488 8th Avenue, San Diego, California 92101 that is received before the polls close for voting at the Annual Shareholders Meeting or any adjournment or postponement thereof, or (iii) attending the virtual Annual Shareholders Meeting and voting at the meeting prior to the closing of the polls as described in Question 3 above, any of which would revoke the previously submitted proxy. Note that if you are a shareholder of record, you cannot change your vote in advance of the meeting using the Internet or telephone voting methods described in Question 7 above after 11:59 p.m. Eastern Time on May 11, 2026.</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If you are an owner of shares held in any of the Employee Savings Plans, you cannot change your vote after 8 a.m. Eastern Time on May 7, 2026. See Question 12 below.</w:t>
      </w:r>
    </w:p>
    <w:p>
      <w:pPr>
        <w:spacing w:after="0" w:line="106" w:lineRule="exact"/>
        <w:rPr>
          <w:sz w:val="20"/>
          <w:szCs w:val="20"/>
          <w:color w:val="auto"/>
        </w:rPr>
      </w:pPr>
    </w:p>
    <w:p>
      <w:pPr>
        <w:jc w:val="both"/>
        <w:ind w:left="160" w:right="140"/>
        <w:spacing w:after="0" w:line="253" w:lineRule="auto"/>
        <w:rPr>
          <w:sz w:val="20"/>
          <w:szCs w:val="20"/>
          <w:color w:val="auto"/>
        </w:rPr>
      </w:pPr>
      <w:r>
        <w:rPr>
          <w:rFonts w:ascii="Arial" w:cs="Arial" w:eastAsia="Arial" w:hAnsi="Arial"/>
          <w:sz w:val="14"/>
          <w:szCs w:val="14"/>
          <w:color w:val="auto"/>
        </w:rPr>
        <w:t>For shares you hold as a beneficial owner (other than shares held in the Employee Savings Plans as described above), you may change your vote by (i) timely submitting new voting instructions to your bank, broker or other nominee, or (ii) attending the virtual Annual Shareholders Meeting and voting at the meeting prior to the closing of the polls as described in Question 3 above, either of which would revoke the previously submitted instructions. Beneficial owners of shares should follow the voting instructions provided by their bank, broker or other nominee.</w:t>
      </w:r>
    </w:p>
    <w:p>
      <w:pPr>
        <w:spacing w:after="0" w:line="70" w:lineRule="exact"/>
        <w:rPr>
          <w:sz w:val="20"/>
          <w:szCs w:val="20"/>
          <w:color w:val="auto"/>
        </w:rPr>
      </w:pPr>
    </w:p>
    <w:p>
      <w:pPr>
        <w:ind w:left="160" w:right="300"/>
        <w:spacing w:after="0" w:line="281" w:lineRule="auto"/>
        <w:rPr>
          <w:sz w:val="20"/>
          <w:szCs w:val="20"/>
          <w:color w:val="auto"/>
        </w:rPr>
      </w:pPr>
      <w:r>
        <w:rPr>
          <w:rFonts w:ascii="Arial" w:cs="Arial" w:eastAsia="Arial" w:hAnsi="Arial"/>
          <w:sz w:val="14"/>
          <w:szCs w:val="14"/>
          <w:color w:val="auto"/>
        </w:rPr>
        <w:t>Attending the Annual Shareholders Meeting will not, in itself, cause your previously submitted proxy or instructions to be revoked. You must submit a new vote during the meeting prior to the closing of the polls in order to do so.</w:t>
      </w:r>
    </w:p>
    <w:p>
      <w:pPr>
        <w:spacing w:after="0" w:line="166" w:lineRule="exact"/>
        <w:rPr>
          <w:sz w:val="20"/>
          <w:szCs w:val="20"/>
          <w:color w:val="auto"/>
        </w:rPr>
      </w:pPr>
    </w:p>
    <w:p>
      <w:pPr>
        <w:ind w:left="700" w:hanging="533"/>
        <w:spacing w:after="0"/>
        <w:tabs>
          <w:tab w:leader="none" w:pos="700" w:val="left"/>
        </w:tabs>
        <w:numPr>
          <w:ilvl w:val="0"/>
          <w:numId w:val="143"/>
        </w:numPr>
        <w:rPr>
          <w:rFonts w:ascii="Arial" w:cs="Arial" w:eastAsia="Arial" w:hAnsi="Arial"/>
          <w:sz w:val="21"/>
          <w:szCs w:val="21"/>
          <w:b w:val="1"/>
          <w:bCs w:val="1"/>
          <w:color w:val="005CB9"/>
        </w:rPr>
      </w:pPr>
      <w:r>
        <w:rPr>
          <w:rFonts w:ascii="Arial" w:cs="Arial" w:eastAsia="Arial" w:hAnsi="Arial"/>
          <w:sz w:val="21"/>
          <w:szCs w:val="21"/>
          <w:b w:val="1"/>
          <w:bCs w:val="1"/>
          <w:color w:val="005CB9"/>
        </w:rPr>
        <w:t>Is my vote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400"/>
        <w:spacing w:after="0" w:line="253" w:lineRule="auto"/>
        <w:rPr>
          <w:sz w:val="20"/>
          <w:szCs w:val="20"/>
          <w:color w:val="auto"/>
        </w:rPr>
      </w:pPr>
      <w:r>
        <w:rPr>
          <w:rFonts w:ascii="Arial" w:cs="Arial" w:eastAsia="Arial" w:hAnsi="Arial"/>
          <w:sz w:val="14"/>
          <w:szCs w:val="14"/>
          <w:color w:val="auto"/>
        </w:rPr>
        <w:t>The Employee Savings Plans automatically provide for confidential voting for the shares held in those plans, and votes by beneficial owners of our shares also will be confidential depending on the policies of the applicable bank, broker or other nominee. Shareholders of record may elect that their identity and individual vote be held confidential by making the appropriate selection when voting via the Internet or by telephone or by checking the appropriate box on their proxy card. Confidential voting generally will not apply to the extent voting disclosure is required by law or is necessary or appropriate to assert or defend any claim relating to voting.</w:t>
      </w:r>
    </w:p>
    <w:p>
      <w:pPr>
        <w:spacing w:after="0" w:line="185" w:lineRule="exact"/>
        <w:rPr>
          <w:sz w:val="20"/>
          <w:szCs w:val="20"/>
          <w:color w:val="auto"/>
        </w:rPr>
      </w:pPr>
    </w:p>
    <w:p>
      <w:pPr>
        <w:ind w:left="700" w:right="40" w:hanging="533"/>
        <w:spacing w:after="0" w:line="293" w:lineRule="auto"/>
        <w:tabs>
          <w:tab w:leader="none" w:pos="700" w:val="left"/>
        </w:tabs>
        <w:numPr>
          <w:ilvl w:val="0"/>
          <w:numId w:val="144"/>
        </w:numPr>
        <w:rPr>
          <w:rFonts w:ascii="Arial" w:cs="Arial" w:eastAsia="Arial" w:hAnsi="Arial"/>
          <w:sz w:val="21"/>
          <w:szCs w:val="21"/>
          <w:b w:val="1"/>
          <w:bCs w:val="1"/>
          <w:color w:val="005CB9"/>
        </w:rPr>
      </w:pPr>
      <w:r>
        <w:rPr>
          <w:rFonts w:ascii="Arial" w:cs="Arial" w:eastAsia="Arial" w:hAnsi="Arial"/>
          <w:sz w:val="21"/>
          <w:szCs w:val="21"/>
          <w:b w:val="1"/>
          <w:bCs w:val="1"/>
          <w:color w:val="005CB9"/>
        </w:rPr>
        <w:t>How are shares held in the Employee Savings Plans voted? What happens if I do not timely vote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wp:posOffset>
            </wp:positionV>
            <wp:extent cx="69297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8" w:lineRule="exact"/>
        <w:rPr>
          <w:sz w:val="20"/>
          <w:szCs w:val="20"/>
          <w:color w:val="auto"/>
        </w:rPr>
      </w:pPr>
    </w:p>
    <w:p>
      <w:pPr>
        <w:jc w:val="both"/>
        <w:ind w:left="160" w:right="420"/>
        <w:spacing w:after="0" w:line="253" w:lineRule="auto"/>
        <w:rPr>
          <w:sz w:val="20"/>
          <w:szCs w:val="20"/>
          <w:color w:val="auto"/>
        </w:rPr>
      </w:pPr>
      <w:r>
        <w:rPr>
          <w:rFonts w:ascii="Arial" w:cs="Arial" w:eastAsia="Arial" w:hAnsi="Arial"/>
          <w:sz w:val="14"/>
          <w:szCs w:val="14"/>
          <w:color w:val="auto"/>
        </w:rPr>
        <w:t>If you hold shares through the Sempra Savings Plan, Southern California Gas Company Retirement Savings Plan or San Diego Gas &amp; Electric Company Savings Plan (collectively, the Employee Savings Plans), these shares will be voted as you instruct via the Internet or by telephone or mail as these voting methods are described in Question 7 above. If you submit your vote without giving specific voting instructions or you do not timely submit your vote, your shares will be voted in the discretion of Newport Trust Company, the independent fiduciary and investment manager for the Sempra Common Stock Fund under the Employee Savings Plans.</w:t>
      </w:r>
    </w:p>
    <w:p>
      <w:pPr>
        <w:spacing w:after="0" w:line="70"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For shares held in any of the Employee Savings Plans, your voting instructions must be received by 8 a.m. Eastern Time on May 7, 2026 for Newport Trust Company to vote your shares in accordance with your instructions. Although the meeting site may permit you to cast a vote during the virtual Annual Shareholders Meeting if you choose to attend, that vote will not be counted with respect to any shares held in any of the Employee Savings Plans. Owners of shares through any of the Employee Savings Plans will be able to submit questions at and in advance of the meeting in the same manner as our other shareholders as described in Question 3 above.</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Information About Proposals To Be Voted On</w:t>
      </w:r>
    </w:p>
    <w:p>
      <w:pPr>
        <w:spacing w:after="0" w:line="247" w:lineRule="exact"/>
        <w:rPr>
          <w:sz w:val="20"/>
          <w:szCs w:val="20"/>
          <w:color w:val="auto"/>
        </w:rPr>
      </w:pPr>
    </w:p>
    <w:p>
      <w:pPr>
        <w:ind w:left="700" w:hanging="533"/>
        <w:spacing w:after="0"/>
        <w:tabs>
          <w:tab w:leader="none" w:pos="700" w:val="left"/>
        </w:tabs>
        <w:numPr>
          <w:ilvl w:val="0"/>
          <w:numId w:val="145"/>
        </w:numPr>
        <w:rPr>
          <w:rFonts w:ascii="Arial" w:cs="Arial" w:eastAsia="Arial" w:hAnsi="Arial"/>
          <w:sz w:val="21"/>
          <w:szCs w:val="21"/>
          <w:b w:val="1"/>
          <w:bCs w:val="1"/>
          <w:color w:val="005CB9"/>
        </w:rPr>
      </w:pPr>
      <w:r>
        <w:rPr>
          <w:rFonts w:ascii="Arial" w:cs="Arial" w:eastAsia="Arial" w:hAnsi="Arial"/>
          <w:sz w:val="21"/>
          <w:szCs w:val="21"/>
          <w:b w:val="1"/>
          <w:bCs w:val="1"/>
          <w:color w:val="005CB9"/>
        </w:rPr>
        <w:t>What items of business will be voted on at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business items to be voted on at the Annual Shareholders Meeting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1866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167"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FFFFFF"/>
        </w:rPr>
        <w:t>Business Items</w:t>
      </w:r>
    </w:p>
    <w:p>
      <w:pPr>
        <w:spacing w:after="0" w:line="133" w:lineRule="exact"/>
        <w:rPr>
          <w:sz w:val="20"/>
          <w:szCs w:val="20"/>
          <w:color w:val="auto"/>
        </w:rPr>
      </w:pPr>
    </w:p>
    <w:p>
      <w:pPr>
        <w:ind w:left="240"/>
        <w:spacing w:after="0"/>
        <w:tabs>
          <w:tab w:leader="none" w:pos="1360" w:val="left"/>
        </w:tabs>
        <w:rPr>
          <w:sz w:val="20"/>
          <w:szCs w:val="20"/>
          <w:color w:val="auto"/>
        </w:rPr>
      </w:pPr>
      <w:r>
        <w:rPr>
          <w:rFonts w:ascii="Arial" w:cs="Arial" w:eastAsia="Arial" w:hAnsi="Arial"/>
          <w:sz w:val="14"/>
          <w:szCs w:val="14"/>
          <w:color w:val="auto"/>
        </w:rPr>
        <w:t>Proposal 1.</w:t>
      </w:r>
      <w:r>
        <w:rPr>
          <w:sz w:val="20"/>
          <w:szCs w:val="20"/>
          <w:color w:val="auto"/>
        </w:rPr>
        <w:tab/>
      </w:r>
      <w:r>
        <w:rPr>
          <w:rFonts w:ascii="Arial" w:cs="Arial" w:eastAsia="Arial" w:hAnsi="Arial"/>
          <w:sz w:val="14"/>
          <w:szCs w:val="14"/>
          <w:color w:val="auto"/>
        </w:rPr>
        <w:t>Election of the 11 director nominees named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6929755" cy="1866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113" w:lineRule="exact"/>
        <w:rPr>
          <w:sz w:val="20"/>
          <w:szCs w:val="20"/>
          <w:color w:val="auto"/>
        </w:rPr>
      </w:pPr>
    </w:p>
    <w:p>
      <w:pPr>
        <w:ind w:left="240"/>
        <w:spacing w:after="0"/>
        <w:tabs>
          <w:tab w:leader="none" w:pos="1360" w:val="left"/>
        </w:tabs>
        <w:rPr>
          <w:sz w:val="20"/>
          <w:szCs w:val="20"/>
          <w:color w:val="auto"/>
        </w:rPr>
      </w:pPr>
      <w:r>
        <w:rPr>
          <w:rFonts w:ascii="Arial" w:cs="Arial" w:eastAsia="Arial" w:hAnsi="Arial"/>
          <w:sz w:val="14"/>
          <w:szCs w:val="14"/>
          <w:color w:val="auto"/>
        </w:rPr>
        <w:t>Proposal 2.</w:t>
      </w:r>
      <w:r>
        <w:rPr>
          <w:sz w:val="20"/>
          <w:szCs w:val="20"/>
          <w:color w:val="auto"/>
        </w:rPr>
        <w:tab/>
      </w:r>
      <w:r>
        <w:rPr>
          <w:rFonts w:ascii="Arial" w:cs="Arial" w:eastAsia="Arial" w:hAnsi="Arial"/>
          <w:sz w:val="14"/>
          <w:szCs w:val="14"/>
          <w:color w:val="auto"/>
        </w:rPr>
        <w:t>Ratification of appointment of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69297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3" w:lineRule="exact"/>
        <w:rPr>
          <w:sz w:val="20"/>
          <w:szCs w:val="20"/>
          <w:color w:val="auto"/>
        </w:rPr>
      </w:pPr>
    </w:p>
    <w:p>
      <w:pPr>
        <w:ind w:left="240"/>
        <w:spacing w:after="0"/>
        <w:tabs>
          <w:tab w:leader="none" w:pos="1360" w:val="left"/>
        </w:tabs>
        <w:rPr>
          <w:sz w:val="20"/>
          <w:szCs w:val="20"/>
          <w:color w:val="auto"/>
        </w:rPr>
      </w:pPr>
      <w:r>
        <w:rPr>
          <w:rFonts w:ascii="Arial" w:cs="Arial" w:eastAsia="Arial" w:hAnsi="Arial"/>
          <w:sz w:val="14"/>
          <w:szCs w:val="14"/>
          <w:color w:val="auto"/>
        </w:rPr>
        <w:t>Proposal 3.</w:t>
      </w:r>
      <w:r>
        <w:rPr>
          <w:sz w:val="20"/>
          <w:szCs w:val="20"/>
          <w:color w:val="auto"/>
        </w:rPr>
        <w:tab/>
      </w:r>
      <w:r>
        <w:rPr>
          <w:rFonts w:ascii="Arial" w:cs="Arial" w:eastAsia="Arial" w:hAnsi="Arial"/>
          <w:sz w:val="14"/>
          <w:szCs w:val="14"/>
          <w:color w:val="auto"/>
        </w:rPr>
        <w:t>Advisory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6929755" cy="1866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929755" cy="186690"/>
                    </a:xfrm>
                    <a:prstGeom prst="rect">
                      <a:avLst/>
                    </a:prstGeom>
                    <a:noFill/>
                  </pic:spPr>
                </pic:pic>
              </a:graphicData>
            </a:graphic>
          </wp:anchor>
        </w:drawing>
      </w:r>
    </w:p>
    <w:p>
      <w:pPr>
        <w:spacing w:after="0" w:line="113" w:lineRule="exact"/>
        <w:rPr>
          <w:sz w:val="20"/>
          <w:szCs w:val="20"/>
          <w:color w:val="auto"/>
        </w:rPr>
      </w:pPr>
    </w:p>
    <w:p>
      <w:pPr>
        <w:ind w:left="240"/>
        <w:spacing w:after="0"/>
        <w:tabs>
          <w:tab w:leader="none" w:pos="1360" w:val="left"/>
        </w:tabs>
        <w:rPr>
          <w:sz w:val="20"/>
          <w:szCs w:val="20"/>
          <w:color w:val="auto"/>
        </w:rPr>
      </w:pPr>
      <w:r>
        <w:rPr>
          <w:rFonts w:ascii="Arial" w:cs="Arial" w:eastAsia="Arial" w:hAnsi="Arial"/>
          <w:sz w:val="14"/>
          <w:szCs w:val="14"/>
          <w:color w:val="auto"/>
        </w:rPr>
        <w:t>Proposal 4</w:t>
      </w:r>
      <w:r>
        <w:rPr>
          <w:sz w:val="20"/>
          <w:szCs w:val="20"/>
          <w:color w:val="auto"/>
        </w:rPr>
        <w:tab/>
      </w:r>
      <w:r>
        <w:rPr>
          <w:rFonts w:ascii="Arial" w:cs="Arial" w:eastAsia="Arial" w:hAnsi="Arial"/>
          <w:sz w:val="14"/>
          <w:szCs w:val="14"/>
          <w:color w:val="auto"/>
        </w:rPr>
        <w:t>Shareholder proposal requesting an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48260</wp:posOffset>
            </wp:positionV>
            <wp:extent cx="69297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1" w:lineRule="exact"/>
        <w:rPr>
          <w:sz w:val="20"/>
          <w:szCs w:val="20"/>
          <w:color w:val="auto"/>
        </w:rPr>
      </w:pPr>
    </w:p>
    <w:p>
      <w:pPr>
        <w:ind w:left="700" w:hanging="533"/>
        <w:spacing w:after="0"/>
        <w:tabs>
          <w:tab w:leader="none" w:pos="700" w:val="left"/>
        </w:tabs>
        <w:numPr>
          <w:ilvl w:val="0"/>
          <w:numId w:val="146"/>
        </w:numPr>
        <w:rPr>
          <w:rFonts w:ascii="Arial" w:cs="Arial" w:eastAsia="Arial" w:hAnsi="Arial"/>
          <w:sz w:val="21"/>
          <w:szCs w:val="21"/>
          <w:b w:val="1"/>
          <w:bCs w:val="1"/>
          <w:color w:val="005CB9"/>
        </w:rPr>
      </w:pPr>
      <w:r>
        <w:rPr>
          <w:rFonts w:ascii="Arial" w:cs="Arial" w:eastAsia="Arial" w:hAnsi="Arial"/>
          <w:sz w:val="21"/>
          <w:szCs w:val="21"/>
          <w:b w:val="1"/>
          <w:bCs w:val="1"/>
          <w:color w:val="005CB9"/>
        </w:rPr>
        <w:t>What are my voting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340"/>
        <w:spacing w:after="0" w:line="281" w:lineRule="auto"/>
        <w:rPr>
          <w:sz w:val="20"/>
          <w:szCs w:val="20"/>
          <w:color w:val="auto"/>
        </w:rPr>
      </w:pPr>
      <w:r>
        <w:rPr>
          <w:rFonts w:ascii="Arial" w:cs="Arial" w:eastAsia="Arial" w:hAnsi="Arial"/>
          <w:sz w:val="14"/>
          <w:szCs w:val="14"/>
          <w:color w:val="auto"/>
        </w:rPr>
        <w:t>You may vote “FOR” or “AGAINST” or you may “ABSTAIN” from voting on any or all of the director nominees named in this proxy statement (Proposal 1) and on each of Proposals 2, 3 and 4 and any other items of business to be voted on at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199390</wp:posOffset>
            </wp:positionV>
            <wp:extent cx="739140" cy="1530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93</w:t>
      </w:r>
    </w:p>
    <w:p>
      <w:pPr>
        <w:sectPr>
          <w:pgSz w:w="11900" w:h="16838" w:orient="portrait"/>
          <w:cols w:equalWidth="0" w:num="1">
            <w:col w:w="11080"/>
          </w:cols>
          <w:pgMar w:left="320" w:top="478"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About the Annual Shareholders Meeting and Voting</w:t>
      </w:r>
    </w:p>
    <w:p>
      <w:pPr>
        <w:spacing w:after="0" w:line="126" w:lineRule="exact"/>
        <w:rPr>
          <w:sz w:val="20"/>
          <w:szCs w:val="20"/>
          <w:color w:val="auto"/>
        </w:rPr>
      </w:pPr>
    </w:p>
    <w:p>
      <w:pPr>
        <w:ind w:left="700" w:hanging="533"/>
        <w:spacing w:after="0"/>
        <w:tabs>
          <w:tab w:leader="none" w:pos="700" w:val="left"/>
        </w:tabs>
        <w:numPr>
          <w:ilvl w:val="0"/>
          <w:numId w:val="147"/>
        </w:numPr>
        <w:rPr>
          <w:rFonts w:ascii="Arial" w:cs="Arial" w:eastAsia="Arial" w:hAnsi="Arial"/>
          <w:sz w:val="21"/>
          <w:szCs w:val="21"/>
          <w:b w:val="1"/>
          <w:bCs w:val="1"/>
          <w:color w:val="005CB9"/>
        </w:rPr>
      </w:pPr>
      <w:r>
        <w:rPr>
          <w:rFonts w:ascii="Arial" w:cs="Arial" w:eastAsia="Arial" w:hAnsi="Arial"/>
          <w:sz w:val="21"/>
          <w:szCs w:val="21"/>
          <w:b w:val="1"/>
          <w:bCs w:val="1"/>
          <w:color w:val="005CB9"/>
        </w:rPr>
        <w:t>How does the Board of Directors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5660" w:type="dxa"/>
            <w:vAlign w:val="bottom"/>
            <w:gridSpan w:val="2"/>
          </w:tcPr>
          <w:p>
            <w:pPr>
              <w:spacing w:after="0"/>
              <w:rPr>
                <w:sz w:val="20"/>
                <w:szCs w:val="20"/>
                <w:color w:val="auto"/>
              </w:rPr>
            </w:pPr>
            <w:r>
              <w:rPr>
                <w:rFonts w:ascii="Arial" w:cs="Arial" w:eastAsia="Arial" w:hAnsi="Arial"/>
                <w:sz w:val="14"/>
                <w:szCs w:val="14"/>
                <w:color w:val="auto"/>
              </w:rPr>
              <w:t>Our Board of Directors recommends that you vote your shares as follows:</w:t>
            </w:r>
          </w:p>
        </w:tc>
        <w:tc>
          <w:tcPr>
            <w:tcW w:w="5260" w:type="dxa"/>
            <w:vAlign w:val="bottom"/>
          </w:tcPr>
          <w:p>
            <w:pPr>
              <w:spacing w:after="0"/>
              <w:rPr>
                <w:sz w:val="16"/>
                <w:szCs w:val="16"/>
                <w:color w:val="auto"/>
              </w:rPr>
            </w:pPr>
          </w:p>
        </w:tc>
      </w:tr>
      <w:tr>
        <w:trPr>
          <w:trHeight w:val="221"/>
        </w:trPr>
        <w:tc>
          <w:tcPr>
            <w:tcW w:w="5660" w:type="dxa"/>
            <w:vAlign w:val="bottom"/>
            <w:gridSpan w:val="2"/>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5660" w:type="dxa"/>
            <w:vAlign w:val="bottom"/>
            <w:tcBorders>
              <w:bottom w:val="single" w:sz="8" w:color="005CB9"/>
            </w:tcBorders>
            <w:gridSpan w:val="2"/>
            <w:shd w:val="clear" w:color="auto" w:fill="005CB9"/>
          </w:tcPr>
          <w:p>
            <w:pPr>
              <w:spacing w:after="0"/>
              <w:rPr>
                <w:sz w:val="20"/>
                <w:szCs w:val="20"/>
                <w:color w:val="auto"/>
              </w:rPr>
            </w:pPr>
            <w:r>
              <w:rPr>
                <w:rFonts w:ascii="Arial" w:cs="Arial" w:eastAsia="Arial" w:hAnsi="Arial"/>
                <w:sz w:val="14"/>
                <w:szCs w:val="14"/>
                <w:b w:val="1"/>
                <w:bCs w:val="1"/>
                <w:color w:val="FFFFFF"/>
              </w:rPr>
              <w:t>  Proposal</w:t>
            </w:r>
          </w:p>
        </w:tc>
        <w:tc>
          <w:tcPr>
            <w:tcW w:w="5260" w:type="dxa"/>
            <w:vAlign w:val="bottom"/>
            <w:tcBorders>
              <w:bottom w:val="single" w:sz="8" w:color="005CB9"/>
            </w:tcBorders>
            <w:shd w:val="clear" w:color="auto" w:fill="005CB9"/>
          </w:tcPr>
          <w:p>
            <w:pPr>
              <w:ind w:left="1860"/>
              <w:spacing w:after="0"/>
              <w:rPr>
                <w:sz w:val="20"/>
                <w:szCs w:val="20"/>
                <w:color w:val="auto"/>
              </w:rPr>
            </w:pPr>
            <w:r>
              <w:rPr>
                <w:rFonts w:ascii="Arial" w:cs="Arial" w:eastAsia="Arial" w:hAnsi="Arial"/>
                <w:sz w:val="14"/>
                <w:szCs w:val="14"/>
                <w:b w:val="1"/>
                <w:bCs w:val="1"/>
                <w:color w:val="FFFFFF"/>
              </w:rPr>
              <w:t>Board Recommendation</w:t>
            </w:r>
          </w:p>
        </w:tc>
      </w:tr>
      <w:tr>
        <w:trPr>
          <w:trHeight w:val="253"/>
        </w:trPr>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5460" w:type="dxa"/>
            <w:vAlign w:val="bottom"/>
          </w:tcPr>
          <w:p>
            <w:pPr>
              <w:ind w:left="220"/>
              <w:spacing w:after="0"/>
              <w:rPr>
                <w:sz w:val="20"/>
                <w:szCs w:val="20"/>
                <w:color w:val="auto"/>
              </w:rPr>
            </w:pPr>
            <w:r>
              <w:rPr>
                <w:rFonts w:ascii="Arial" w:cs="Arial" w:eastAsia="Arial" w:hAnsi="Arial"/>
                <w:sz w:val="14"/>
                <w:szCs w:val="14"/>
                <w:color w:val="auto"/>
              </w:rPr>
              <w:t>Election of the 11 director nominees named in this proxy statement</w:t>
            </w:r>
          </w:p>
        </w:tc>
        <w:tc>
          <w:tcPr>
            <w:tcW w:w="5260" w:type="dxa"/>
            <w:vAlign w:val="bottom"/>
          </w:tcPr>
          <w:p>
            <w:pPr>
              <w:ind w:left="1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each of the 11 director nominees named in this proxy statement</w:t>
            </w:r>
          </w:p>
        </w:tc>
      </w:tr>
      <w:tr>
        <w:trPr>
          <w:trHeight w:val="42"/>
        </w:trPr>
        <w:tc>
          <w:tcPr>
            <w:tcW w:w="200" w:type="dxa"/>
            <w:vAlign w:val="bottom"/>
            <w:tcBorders>
              <w:bottom w:val="single" w:sz="8" w:color="7F7F7F"/>
            </w:tcBorders>
          </w:tcPr>
          <w:p>
            <w:pPr>
              <w:spacing w:after="0"/>
              <w:rPr>
                <w:sz w:val="3"/>
                <w:szCs w:val="3"/>
                <w:color w:val="auto"/>
              </w:rPr>
            </w:pPr>
          </w:p>
        </w:tc>
        <w:tc>
          <w:tcPr>
            <w:tcW w:w="5460" w:type="dxa"/>
            <w:vAlign w:val="bottom"/>
            <w:tcBorders>
              <w:bottom w:val="single" w:sz="8" w:color="7F7F7F"/>
            </w:tcBorders>
          </w:tcPr>
          <w:p>
            <w:pPr>
              <w:spacing w:after="0"/>
              <w:rPr>
                <w:sz w:val="3"/>
                <w:szCs w:val="3"/>
                <w:color w:val="auto"/>
              </w:rPr>
            </w:pPr>
          </w:p>
        </w:tc>
        <w:tc>
          <w:tcPr>
            <w:tcW w:w="5260" w:type="dxa"/>
            <w:vAlign w:val="bottom"/>
            <w:tcBorders>
              <w:bottom w:val="single" w:sz="8" w:color="7F7F7F"/>
            </w:tcBorders>
          </w:tcPr>
          <w:p>
            <w:pPr>
              <w:spacing w:after="0"/>
              <w:rPr>
                <w:sz w:val="3"/>
                <w:szCs w:val="3"/>
                <w:color w:val="auto"/>
              </w:rPr>
            </w:pPr>
          </w:p>
        </w:tc>
      </w:tr>
      <w:tr>
        <w:trPr>
          <w:trHeight w:val="279"/>
        </w:trPr>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2.</w:t>
            </w:r>
          </w:p>
        </w:tc>
        <w:tc>
          <w:tcPr>
            <w:tcW w:w="5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Ratification of appointment of independent registered public accounting firm</w:t>
            </w:r>
          </w:p>
        </w:tc>
        <w:tc>
          <w:tcPr>
            <w:tcW w:w="52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ratification of appointment of independent registered public accounting firm</w:t>
            </w:r>
          </w:p>
        </w:tc>
      </w:tr>
      <w:tr>
        <w:trPr>
          <w:trHeight w:val="233"/>
        </w:trPr>
        <w:tc>
          <w:tcPr>
            <w:tcW w:w="2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3.</w:t>
            </w:r>
          </w:p>
        </w:tc>
        <w:tc>
          <w:tcPr>
            <w:tcW w:w="546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Advisory approval of our executive compensation</w:t>
            </w:r>
          </w:p>
        </w:tc>
        <w:tc>
          <w:tcPr>
            <w:tcW w:w="5260" w:type="dxa"/>
            <w:vAlign w:val="bottom"/>
            <w:tcBorders>
              <w:top w:val="single" w:sz="8" w:color="7F7F7F"/>
            </w:tcBorders>
          </w:tcPr>
          <w:p>
            <w:pPr>
              <w:ind w:left="12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advisory approval of our executive compensation</w:t>
            </w:r>
          </w:p>
        </w:tc>
      </w:tr>
      <w:tr>
        <w:trPr>
          <w:trHeight w:val="42"/>
        </w:trPr>
        <w:tc>
          <w:tcPr>
            <w:tcW w:w="200" w:type="dxa"/>
            <w:vAlign w:val="bottom"/>
            <w:tcBorders>
              <w:bottom w:val="single" w:sz="8" w:color="7F7F7F"/>
            </w:tcBorders>
          </w:tcPr>
          <w:p>
            <w:pPr>
              <w:spacing w:after="0"/>
              <w:rPr>
                <w:sz w:val="3"/>
                <w:szCs w:val="3"/>
                <w:color w:val="auto"/>
              </w:rPr>
            </w:pPr>
          </w:p>
        </w:tc>
        <w:tc>
          <w:tcPr>
            <w:tcW w:w="5460" w:type="dxa"/>
            <w:vAlign w:val="bottom"/>
            <w:tcBorders>
              <w:bottom w:val="single" w:sz="8" w:color="7F7F7F"/>
            </w:tcBorders>
          </w:tcPr>
          <w:p>
            <w:pPr>
              <w:spacing w:after="0"/>
              <w:rPr>
                <w:sz w:val="3"/>
                <w:szCs w:val="3"/>
                <w:color w:val="auto"/>
              </w:rPr>
            </w:pPr>
          </w:p>
        </w:tc>
        <w:tc>
          <w:tcPr>
            <w:tcW w:w="5260" w:type="dxa"/>
            <w:vAlign w:val="bottom"/>
            <w:tcBorders>
              <w:bottom w:val="single" w:sz="8" w:color="7F7F7F"/>
            </w:tcBorders>
          </w:tcPr>
          <w:p>
            <w:pPr>
              <w:spacing w:after="0"/>
              <w:rPr>
                <w:sz w:val="3"/>
                <w:szCs w:val="3"/>
                <w:color w:val="auto"/>
              </w:rPr>
            </w:pPr>
          </w:p>
        </w:tc>
      </w:tr>
      <w:tr>
        <w:trPr>
          <w:trHeight w:val="254"/>
        </w:trPr>
        <w:tc>
          <w:tcPr>
            <w:tcW w:w="2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4.</w:t>
            </w:r>
          </w:p>
        </w:tc>
        <w:tc>
          <w:tcPr>
            <w:tcW w:w="546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Shareholder proposal requesting an independent board chairman</w:t>
            </w:r>
          </w:p>
        </w:tc>
        <w:tc>
          <w:tcPr>
            <w:tcW w:w="52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b w:val="1"/>
                <w:bCs w:val="1"/>
                <w:color w:val="auto"/>
              </w:rPr>
              <w:t xml:space="preserve">AGAINST </w:t>
            </w:r>
            <w:r>
              <w:rPr>
                <w:rFonts w:ascii="Arial" w:cs="Arial" w:eastAsia="Arial" w:hAnsi="Arial"/>
                <w:sz w:val="14"/>
                <w:szCs w:val="14"/>
                <w:color w:val="auto"/>
              </w:rPr>
              <w:t>the shareholder proposal requesting an independent board chairman</w:t>
            </w:r>
          </w:p>
        </w:tc>
      </w:tr>
      <w:tr>
        <w:trPr>
          <w:trHeight w:val="20"/>
        </w:trPr>
        <w:tc>
          <w:tcPr>
            <w:tcW w:w="200" w:type="dxa"/>
            <w:vAlign w:val="bottom"/>
            <w:shd w:val="clear" w:color="auto" w:fill="7F7F7F"/>
          </w:tcPr>
          <w:p>
            <w:pPr>
              <w:spacing w:after="0" w:line="20" w:lineRule="exact"/>
              <w:rPr>
                <w:sz w:val="1"/>
                <w:szCs w:val="1"/>
                <w:color w:val="auto"/>
              </w:rPr>
            </w:pPr>
          </w:p>
        </w:tc>
        <w:tc>
          <w:tcPr>
            <w:tcW w:w="5460" w:type="dxa"/>
            <w:vAlign w:val="bottom"/>
            <w:shd w:val="clear" w:color="auto" w:fill="7F7F7F"/>
          </w:tcPr>
          <w:p>
            <w:pPr>
              <w:spacing w:after="0" w:line="20" w:lineRule="exact"/>
              <w:rPr>
                <w:sz w:val="1"/>
                <w:szCs w:val="1"/>
                <w:color w:val="auto"/>
              </w:rPr>
            </w:pPr>
          </w:p>
        </w:tc>
        <w:tc>
          <w:tcPr>
            <w:tcW w:w="5260" w:type="dxa"/>
            <w:vAlign w:val="bottom"/>
            <w:shd w:val="clear" w:color="auto" w:fill="7F7F7F"/>
          </w:tcPr>
          <w:p>
            <w:pPr>
              <w:spacing w:after="0" w:line="20" w:lineRule="exact"/>
              <w:rPr>
                <w:sz w:val="1"/>
                <w:szCs w:val="1"/>
                <w:color w:val="auto"/>
              </w:rPr>
            </w:pPr>
          </w:p>
        </w:tc>
      </w:tr>
    </w:tbl>
    <w:p>
      <w:pPr>
        <w:spacing w:after="0" w:line="212" w:lineRule="exact"/>
        <w:rPr>
          <w:sz w:val="20"/>
          <w:szCs w:val="20"/>
          <w:color w:val="auto"/>
        </w:rPr>
      </w:pPr>
    </w:p>
    <w:p>
      <w:pPr>
        <w:ind w:left="700" w:hanging="533"/>
        <w:spacing w:after="0"/>
        <w:tabs>
          <w:tab w:leader="none" w:pos="700" w:val="left"/>
        </w:tabs>
        <w:numPr>
          <w:ilvl w:val="0"/>
          <w:numId w:val="148"/>
        </w:numPr>
        <w:rPr>
          <w:rFonts w:ascii="Arial" w:cs="Arial" w:eastAsia="Arial" w:hAnsi="Arial"/>
          <w:sz w:val="21"/>
          <w:szCs w:val="21"/>
          <w:b w:val="1"/>
          <w:bCs w:val="1"/>
          <w:color w:val="005CB9"/>
        </w:rPr>
      </w:pPr>
      <w:r>
        <w:rPr>
          <w:rFonts w:ascii="Arial" w:cs="Arial" w:eastAsia="Arial" w:hAnsi="Arial"/>
          <w:sz w:val="21"/>
          <w:szCs w:val="21"/>
          <w:b w:val="1"/>
          <w:bCs w:val="1"/>
          <w:color w:val="005CB9"/>
        </w:rPr>
        <w:t>What vote is required to approve each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200"/>
        <w:spacing w:after="0" w:line="281" w:lineRule="auto"/>
        <w:rPr>
          <w:sz w:val="20"/>
          <w:szCs w:val="20"/>
          <w:color w:val="auto"/>
        </w:rPr>
      </w:pPr>
      <w:r>
        <w:rPr>
          <w:rFonts w:ascii="Arial" w:cs="Arial" w:eastAsia="Arial" w:hAnsi="Arial"/>
          <w:sz w:val="14"/>
          <w:szCs w:val="14"/>
          <w:color w:val="auto"/>
        </w:rPr>
        <w:t>Assuming a quorum is present at the Annual Shareholders Meeting or any adjournment or postponement thereof (as described in Question 21 below), the vote required to approve each item is as follows:</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5660" w:type="dxa"/>
            <w:vAlign w:val="bottom"/>
            <w:tcBorders>
              <w:bottom w:val="single" w:sz="8" w:color="005CB9"/>
            </w:tcBorders>
            <w:gridSpan w:val="2"/>
            <w:shd w:val="clear" w:color="auto" w:fill="005CB9"/>
          </w:tcPr>
          <w:p>
            <w:pPr>
              <w:spacing w:after="0"/>
              <w:rPr>
                <w:sz w:val="20"/>
                <w:szCs w:val="20"/>
                <w:color w:val="auto"/>
              </w:rPr>
            </w:pPr>
            <w:r>
              <w:rPr>
                <w:rFonts w:ascii="Arial" w:cs="Arial" w:eastAsia="Arial" w:hAnsi="Arial"/>
                <w:sz w:val="14"/>
                <w:szCs w:val="14"/>
                <w:b w:val="1"/>
                <w:bCs w:val="1"/>
                <w:color w:val="FFFFFF"/>
              </w:rPr>
              <w:t>  Proposal</w:t>
            </w:r>
          </w:p>
        </w:tc>
        <w:tc>
          <w:tcPr>
            <w:tcW w:w="5260" w:type="dxa"/>
            <w:vAlign w:val="bottom"/>
            <w:tcBorders>
              <w:bottom w:val="single" w:sz="8" w:color="005CB9"/>
            </w:tcBorders>
            <w:shd w:val="clear" w:color="auto" w:fill="005CB9"/>
          </w:tcPr>
          <w:p>
            <w:pPr>
              <w:ind w:left="1760"/>
              <w:spacing w:after="0"/>
              <w:rPr>
                <w:sz w:val="20"/>
                <w:szCs w:val="20"/>
                <w:color w:val="auto"/>
              </w:rPr>
            </w:pPr>
            <w:r>
              <w:rPr>
                <w:rFonts w:ascii="Arial" w:cs="Arial" w:eastAsia="Arial" w:hAnsi="Arial"/>
                <w:sz w:val="14"/>
                <w:szCs w:val="14"/>
                <w:b w:val="1"/>
                <w:bCs w:val="1"/>
                <w:color w:val="FFFFFF"/>
              </w:rPr>
              <w:t>Vote Required for Approval</w:t>
            </w:r>
          </w:p>
        </w:tc>
      </w:tr>
      <w:tr>
        <w:trPr>
          <w:trHeight w:val="218"/>
        </w:trPr>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5460" w:type="dxa"/>
            <w:vAlign w:val="bottom"/>
          </w:tcPr>
          <w:p>
            <w:pPr>
              <w:ind w:left="220"/>
              <w:spacing w:after="0"/>
              <w:rPr>
                <w:sz w:val="20"/>
                <w:szCs w:val="20"/>
                <w:color w:val="auto"/>
              </w:rPr>
            </w:pPr>
            <w:r>
              <w:rPr>
                <w:rFonts w:ascii="Arial" w:cs="Arial" w:eastAsia="Arial" w:hAnsi="Arial"/>
                <w:sz w:val="14"/>
                <w:szCs w:val="14"/>
                <w:color w:val="auto"/>
              </w:rPr>
              <w:t>Election of the 11 director nominees named in this proxy statement</w:t>
            </w:r>
          </w:p>
        </w:tc>
        <w:tc>
          <w:tcPr>
            <w:tcW w:w="5260" w:type="dxa"/>
            <w:vAlign w:val="bottom"/>
          </w:tcPr>
          <w:p>
            <w:pPr>
              <w:ind w:left="120"/>
              <w:spacing w:after="0"/>
              <w:rPr>
                <w:sz w:val="20"/>
                <w:szCs w:val="20"/>
                <w:color w:val="auto"/>
              </w:rPr>
            </w:pPr>
            <w:r>
              <w:rPr>
                <w:rFonts w:ascii="Arial" w:cs="Arial" w:eastAsia="Arial" w:hAnsi="Arial"/>
                <w:sz w:val="14"/>
                <w:szCs w:val="14"/>
                <w:color w:val="auto"/>
              </w:rPr>
              <w:t>Each director must receive “FOR” votes constituting a majority of the shares</w:t>
            </w:r>
          </w:p>
        </w:tc>
      </w:tr>
      <w:tr>
        <w:trPr>
          <w:trHeight w:val="160"/>
        </w:trPr>
        <w:tc>
          <w:tcPr>
            <w:tcW w:w="2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4"/>
                <w:szCs w:val="14"/>
                <w:color w:val="auto"/>
              </w:rPr>
              <w:t>represented and voting at the Annual Shareholders Meeting, and the “FOR” votes</w:t>
            </w:r>
          </w:p>
        </w:tc>
      </w:tr>
      <w:tr>
        <w:trPr>
          <w:trHeight w:val="189"/>
        </w:trPr>
        <w:tc>
          <w:tcPr>
            <w:tcW w:w="2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5260" w:type="dxa"/>
            <w:vAlign w:val="bottom"/>
          </w:tcPr>
          <w:p>
            <w:pPr>
              <w:ind w:left="120"/>
              <w:spacing w:after="0"/>
              <w:rPr>
                <w:sz w:val="20"/>
                <w:szCs w:val="20"/>
                <w:color w:val="auto"/>
              </w:rPr>
            </w:pPr>
            <w:r>
              <w:rPr>
                <w:rFonts w:ascii="Arial" w:cs="Arial" w:eastAsia="Arial" w:hAnsi="Arial"/>
                <w:sz w:val="14"/>
                <w:szCs w:val="14"/>
                <w:color w:val="auto"/>
              </w:rPr>
              <w:t>also must represent more than 25% of our outstanding shares.</w:t>
            </w:r>
          </w:p>
        </w:tc>
      </w:tr>
      <w:tr>
        <w:trPr>
          <w:trHeight w:val="48"/>
        </w:trPr>
        <w:tc>
          <w:tcPr>
            <w:tcW w:w="200" w:type="dxa"/>
            <w:vAlign w:val="bottom"/>
            <w:tcBorders>
              <w:bottom w:val="single" w:sz="8" w:color="7F7F7F"/>
            </w:tcBorders>
          </w:tcPr>
          <w:p>
            <w:pPr>
              <w:spacing w:after="0"/>
              <w:rPr>
                <w:sz w:val="4"/>
                <w:szCs w:val="4"/>
                <w:color w:val="auto"/>
              </w:rPr>
            </w:pPr>
          </w:p>
        </w:tc>
        <w:tc>
          <w:tcPr>
            <w:tcW w:w="5460" w:type="dxa"/>
            <w:vAlign w:val="bottom"/>
            <w:tcBorders>
              <w:bottom w:val="single" w:sz="8" w:color="7F7F7F"/>
            </w:tcBorders>
          </w:tcPr>
          <w:p>
            <w:pPr>
              <w:spacing w:after="0"/>
              <w:rPr>
                <w:sz w:val="4"/>
                <w:szCs w:val="4"/>
                <w:color w:val="auto"/>
              </w:rPr>
            </w:pPr>
          </w:p>
        </w:tc>
        <w:tc>
          <w:tcPr>
            <w:tcW w:w="5260" w:type="dxa"/>
            <w:vAlign w:val="bottom"/>
            <w:tcBorders>
              <w:bottom w:val="single" w:sz="8" w:color="7F7F7F"/>
            </w:tcBorders>
          </w:tcPr>
          <w:p>
            <w:pPr>
              <w:spacing w:after="0"/>
              <w:rPr>
                <w:sz w:val="4"/>
                <w:szCs w:val="4"/>
                <w:color w:val="auto"/>
              </w:rPr>
            </w:pPr>
          </w:p>
        </w:tc>
      </w:tr>
      <w:tr>
        <w:trPr>
          <w:trHeight w:val="198"/>
        </w:trPr>
        <w:tc>
          <w:tcPr>
            <w:tcW w:w="2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w:t>
            </w:r>
          </w:p>
        </w:tc>
        <w:tc>
          <w:tcPr>
            <w:tcW w:w="54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Ratification of appointment of independent registered public accounting firm</w:t>
            </w:r>
          </w:p>
        </w:tc>
        <w:tc>
          <w:tcPr>
            <w:tcW w:w="5260" w:type="dxa"/>
            <w:vAlign w:val="bottom"/>
            <w:shd w:val="clear" w:color="auto" w:fill="F2F2F2"/>
          </w:tcPr>
          <w:p>
            <w:pPr>
              <w:ind w:left="120"/>
              <w:spacing w:after="0"/>
              <w:rPr>
                <w:sz w:val="20"/>
                <w:szCs w:val="20"/>
                <w:color w:val="auto"/>
              </w:rPr>
            </w:pPr>
            <w:r>
              <w:rPr>
                <w:rFonts w:ascii="Arial" w:cs="Arial" w:eastAsia="Arial" w:hAnsi="Arial"/>
                <w:sz w:val="14"/>
                <w:szCs w:val="14"/>
                <w:color w:val="auto"/>
              </w:rPr>
              <w:t>The proposal must receive “FOR” votes constituting a majority of the shares</w:t>
            </w:r>
          </w:p>
        </w:tc>
      </w:tr>
      <w:tr>
        <w:trPr>
          <w:trHeight w:val="160"/>
        </w:trPr>
        <w:tc>
          <w:tcPr>
            <w:tcW w:w="200" w:type="dxa"/>
            <w:vAlign w:val="bottom"/>
            <w:shd w:val="clear" w:color="auto" w:fill="F2F2F2"/>
          </w:tcPr>
          <w:p>
            <w:pPr>
              <w:spacing w:after="0"/>
              <w:rPr>
                <w:sz w:val="13"/>
                <w:szCs w:val="13"/>
                <w:color w:val="auto"/>
              </w:rPr>
            </w:pPr>
          </w:p>
        </w:tc>
        <w:tc>
          <w:tcPr>
            <w:tcW w:w="5460" w:type="dxa"/>
            <w:vAlign w:val="bottom"/>
            <w:shd w:val="clear" w:color="auto" w:fill="F2F2F2"/>
          </w:tcPr>
          <w:p>
            <w:pPr>
              <w:spacing w:after="0"/>
              <w:rPr>
                <w:sz w:val="13"/>
                <w:szCs w:val="13"/>
                <w:color w:val="auto"/>
              </w:rPr>
            </w:pPr>
          </w:p>
        </w:tc>
        <w:tc>
          <w:tcPr>
            <w:tcW w:w="5260" w:type="dxa"/>
            <w:vAlign w:val="bottom"/>
            <w:shd w:val="clear" w:color="auto" w:fill="F2F2F2"/>
          </w:tcPr>
          <w:p>
            <w:pPr>
              <w:ind w:left="120"/>
              <w:spacing w:after="0"/>
              <w:rPr>
                <w:sz w:val="20"/>
                <w:szCs w:val="20"/>
                <w:color w:val="auto"/>
              </w:rPr>
            </w:pPr>
            <w:r>
              <w:rPr>
                <w:rFonts w:ascii="Arial" w:cs="Arial" w:eastAsia="Arial" w:hAnsi="Arial"/>
                <w:sz w:val="14"/>
                <w:szCs w:val="14"/>
                <w:color w:val="auto"/>
              </w:rPr>
              <w:t>represented and voting at the Annual Shareholders Meeting, and the “FOR” votes</w:t>
            </w:r>
          </w:p>
        </w:tc>
      </w:tr>
      <w:tr>
        <w:trPr>
          <w:trHeight w:val="160"/>
        </w:trPr>
        <w:tc>
          <w:tcPr>
            <w:tcW w:w="200" w:type="dxa"/>
            <w:vAlign w:val="bottom"/>
            <w:shd w:val="clear" w:color="auto" w:fill="F2F2F2"/>
          </w:tcPr>
          <w:p>
            <w:pPr>
              <w:spacing w:after="0"/>
              <w:rPr>
                <w:sz w:val="13"/>
                <w:szCs w:val="13"/>
                <w:color w:val="auto"/>
              </w:rPr>
            </w:pPr>
          </w:p>
        </w:tc>
        <w:tc>
          <w:tcPr>
            <w:tcW w:w="5460" w:type="dxa"/>
            <w:vAlign w:val="bottom"/>
            <w:shd w:val="clear" w:color="auto" w:fill="F2F2F2"/>
          </w:tcPr>
          <w:p>
            <w:pPr>
              <w:spacing w:after="0"/>
              <w:rPr>
                <w:sz w:val="13"/>
                <w:szCs w:val="13"/>
                <w:color w:val="auto"/>
              </w:rPr>
            </w:pPr>
          </w:p>
        </w:tc>
        <w:tc>
          <w:tcPr>
            <w:tcW w:w="5260" w:type="dxa"/>
            <w:vAlign w:val="bottom"/>
            <w:shd w:val="clear" w:color="auto" w:fill="F2F2F2"/>
          </w:tcPr>
          <w:p>
            <w:pPr>
              <w:ind w:left="120"/>
              <w:spacing w:after="0"/>
              <w:rPr>
                <w:sz w:val="20"/>
                <w:szCs w:val="20"/>
                <w:color w:val="auto"/>
              </w:rPr>
            </w:pPr>
            <w:r>
              <w:rPr>
                <w:rFonts w:ascii="Arial" w:cs="Arial" w:eastAsia="Arial" w:hAnsi="Arial"/>
                <w:sz w:val="14"/>
                <w:szCs w:val="14"/>
                <w:color w:val="auto"/>
              </w:rPr>
              <w:t>also must represent more than 25% of our outstanding shares. Although this is an</w:t>
            </w:r>
          </w:p>
        </w:tc>
      </w:tr>
      <w:tr>
        <w:trPr>
          <w:trHeight w:val="160"/>
        </w:trPr>
        <w:tc>
          <w:tcPr>
            <w:tcW w:w="200" w:type="dxa"/>
            <w:vAlign w:val="bottom"/>
            <w:shd w:val="clear" w:color="auto" w:fill="F2F2F2"/>
          </w:tcPr>
          <w:p>
            <w:pPr>
              <w:spacing w:after="0"/>
              <w:rPr>
                <w:sz w:val="13"/>
                <w:szCs w:val="13"/>
                <w:color w:val="auto"/>
              </w:rPr>
            </w:pPr>
          </w:p>
        </w:tc>
        <w:tc>
          <w:tcPr>
            <w:tcW w:w="5460" w:type="dxa"/>
            <w:vAlign w:val="bottom"/>
            <w:shd w:val="clear" w:color="auto" w:fill="F2F2F2"/>
          </w:tcPr>
          <w:p>
            <w:pPr>
              <w:spacing w:after="0"/>
              <w:rPr>
                <w:sz w:val="13"/>
                <w:szCs w:val="13"/>
                <w:color w:val="auto"/>
              </w:rPr>
            </w:pPr>
          </w:p>
        </w:tc>
        <w:tc>
          <w:tcPr>
            <w:tcW w:w="5260" w:type="dxa"/>
            <w:vAlign w:val="bottom"/>
            <w:shd w:val="clear" w:color="auto" w:fill="F2F2F2"/>
          </w:tcPr>
          <w:p>
            <w:pPr>
              <w:ind w:left="120"/>
              <w:spacing w:after="0"/>
              <w:rPr>
                <w:sz w:val="20"/>
                <w:szCs w:val="20"/>
                <w:color w:val="auto"/>
              </w:rPr>
            </w:pPr>
            <w:r>
              <w:rPr>
                <w:rFonts w:ascii="Arial" w:cs="Arial" w:eastAsia="Arial" w:hAnsi="Arial"/>
                <w:sz w:val="14"/>
                <w:szCs w:val="14"/>
                <w:color w:val="auto"/>
              </w:rPr>
              <w:t>advisory vote and non-binding, our Audit Committee may reconsider the</w:t>
            </w:r>
          </w:p>
        </w:tc>
      </w:tr>
      <w:tr>
        <w:trPr>
          <w:trHeight w:val="242"/>
        </w:trPr>
        <w:tc>
          <w:tcPr>
            <w:tcW w:w="200" w:type="dxa"/>
            <w:vAlign w:val="bottom"/>
            <w:tcBorders>
              <w:bottom w:val="single" w:sz="8" w:color="F2F2F2"/>
            </w:tcBorders>
            <w:shd w:val="clear" w:color="auto" w:fill="F2F2F2"/>
          </w:tcPr>
          <w:p>
            <w:pPr>
              <w:spacing w:after="0"/>
              <w:rPr>
                <w:sz w:val="20"/>
                <w:szCs w:val="20"/>
                <w:color w:val="auto"/>
              </w:rPr>
            </w:pPr>
          </w:p>
        </w:tc>
        <w:tc>
          <w:tcPr>
            <w:tcW w:w="5460" w:type="dxa"/>
            <w:vAlign w:val="bottom"/>
            <w:tcBorders>
              <w:bottom w:val="single" w:sz="8" w:color="F2F2F2"/>
            </w:tcBorders>
            <w:shd w:val="clear" w:color="auto" w:fill="F2F2F2"/>
          </w:tcPr>
          <w:p>
            <w:pPr>
              <w:spacing w:after="0"/>
              <w:rPr>
                <w:sz w:val="20"/>
                <w:szCs w:val="20"/>
                <w:color w:val="auto"/>
              </w:rPr>
            </w:pPr>
          </w:p>
        </w:tc>
        <w:tc>
          <w:tcPr>
            <w:tcW w:w="52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color w:val="auto"/>
              </w:rPr>
              <w:t>appointment if it is not ratified.</w:t>
            </w:r>
          </w:p>
        </w:tc>
      </w:tr>
      <w:tr>
        <w:trPr>
          <w:trHeight w:val="198"/>
        </w:trPr>
        <w:tc>
          <w:tcPr>
            <w:tcW w:w="200" w:type="dxa"/>
            <w:vAlign w:val="bottom"/>
            <w:tcBorders>
              <w:top w:val="single" w:sz="8" w:color="7F7F7F"/>
            </w:tcBorders>
          </w:tcPr>
          <w:p>
            <w:pPr>
              <w:jc w:val="right"/>
              <w:spacing w:after="0"/>
              <w:rPr>
                <w:sz w:val="20"/>
                <w:szCs w:val="20"/>
                <w:color w:val="auto"/>
              </w:rPr>
            </w:pPr>
            <w:r>
              <w:rPr>
                <w:rFonts w:ascii="Arial" w:cs="Arial" w:eastAsia="Arial" w:hAnsi="Arial"/>
                <w:sz w:val="14"/>
                <w:szCs w:val="14"/>
                <w:color w:val="auto"/>
              </w:rPr>
              <w:t>3.</w:t>
            </w:r>
          </w:p>
        </w:tc>
        <w:tc>
          <w:tcPr>
            <w:tcW w:w="546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Advisory approval of our executive compensation</w:t>
            </w:r>
          </w:p>
        </w:tc>
        <w:tc>
          <w:tcPr>
            <w:tcW w:w="5260" w:type="dxa"/>
            <w:vAlign w:val="bottom"/>
            <w:tcBorders>
              <w:top w:val="single" w:sz="8" w:color="7F7F7F"/>
            </w:tcBorders>
          </w:tcPr>
          <w:p>
            <w:pPr>
              <w:ind w:left="120"/>
              <w:spacing w:after="0"/>
              <w:rPr>
                <w:sz w:val="20"/>
                <w:szCs w:val="20"/>
                <w:color w:val="auto"/>
              </w:rPr>
            </w:pPr>
            <w:r>
              <w:rPr>
                <w:rFonts w:ascii="Arial" w:cs="Arial" w:eastAsia="Arial" w:hAnsi="Arial"/>
                <w:sz w:val="14"/>
                <w:szCs w:val="14"/>
                <w:color w:val="auto"/>
              </w:rPr>
              <w:t>The proposal must receive “FOR” votes constituting a majority of the shares</w:t>
            </w:r>
          </w:p>
        </w:tc>
      </w:tr>
      <w:tr>
        <w:trPr>
          <w:trHeight w:val="160"/>
        </w:trPr>
        <w:tc>
          <w:tcPr>
            <w:tcW w:w="2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4"/>
                <w:szCs w:val="14"/>
                <w:color w:val="auto"/>
              </w:rPr>
              <w:t>represented and voting at the Annual Shareholders Meeting, and the “FOR” votes</w:t>
            </w:r>
          </w:p>
        </w:tc>
      </w:tr>
      <w:tr>
        <w:trPr>
          <w:trHeight w:val="160"/>
        </w:trPr>
        <w:tc>
          <w:tcPr>
            <w:tcW w:w="2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4"/>
                <w:szCs w:val="14"/>
                <w:color w:val="auto"/>
              </w:rPr>
              <w:t>also must represent more than 25% of our outstanding shares. Although this is an</w:t>
            </w:r>
          </w:p>
        </w:tc>
      </w:tr>
      <w:tr>
        <w:trPr>
          <w:trHeight w:val="160"/>
        </w:trPr>
        <w:tc>
          <w:tcPr>
            <w:tcW w:w="2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4"/>
                <w:szCs w:val="14"/>
                <w:color w:val="auto"/>
              </w:rPr>
              <w:t>advisory vote and non-binding, our Compensation and Talent Development</w:t>
            </w:r>
          </w:p>
        </w:tc>
      </w:tr>
      <w:tr>
        <w:trPr>
          <w:trHeight w:val="160"/>
        </w:trPr>
        <w:tc>
          <w:tcPr>
            <w:tcW w:w="2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5260" w:type="dxa"/>
            <w:vAlign w:val="bottom"/>
          </w:tcPr>
          <w:p>
            <w:pPr>
              <w:ind w:left="120"/>
              <w:spacing w:after="0"/>
              <w:rPr>
                <w:sz w:val="20"/>
                <w:szCs w:val="20"/>
                <w:color w:val="auto"/>
              </w:rPr>
            </w:pPr>
            <w:r>
              <w:rPr>
                <w:rFonts w:ascii="Arial" w:cs="Arial" w:eastAsia="Arial" w:hAnsi="Arial"/>
                <w:sz w:val="14"/>
                <w:szCs w:val="14"/>
                <w:color w:val="auto"/>
              </w:rPr>
              <w:t>Committee will take the voting results on this proposal into consideration when</w:t>
            </w:r>
          </w:p>
        </w:tc>
      </w:tr>
      <w:tr>
        <w:trPr>
          <w:trHeight w:val="189"/>
        </w:trPr>
        <w:tc>
          <w:tcPr>
            <w:tcW w:w="2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5260" w:type="dxa"/>
            <w:vAlign w:val="bottom"/>
          </w:tcPr>
          <w:p>
            <w:pPr>
              <w:ind w:left="120"/>
              <w:spacing w:after="0"/>
              <w:rPr>
                <w:sz w:val="20"/>
                <w:szCs w:val="20"/>
                <w:color w:val="auto"/>
              </w:rPr>
            </w:pPr>
            <w:r>
              <w:rPr>
                <w:rFonts w:ascii="Arial" w:cs="Arial" w:eastAsia="Arial" w:hAnsi="Arial"/>
                <w:sz w:val="14"/>
                <w:szCs w:val="14"/>
                <w:color w:val="auto"/>
              </w:rPr>
              <w:t>making future executive compensation decisions.</w:t>
            </w:r>
          </w:p>
        </w:tc>
      </w:tr>
      <w:tr>
        <w:trPr>
          <w:trHeight w:val="48"/>
        </w:trPr>
        <w:tc>
          <w:tcPr>
            <w:tcW w:w="200" w:type="dxa"/>
            <w:vAlign w:val="bottom"/>
            <w:tcBorders>
              <w:bottom w:val="single" w:sz="8" w:color="7F7F7F"/>
            </w:tcBorders>
          </w:tcPr>
          <w:p>
            <w:pPr>
              <w:spacing w:after="0"/>
              <w:rPr>
                <w:sz w:val="4"/>
                <w:szCs w:val="4"/>
                <w:color w:val="auto"/>
              </w:rPr>
            </w:pPr>
          </w:p>
        </w:tc>
        <w:tc>
          <w:tcPr>
            <w:tcW w:w="5460" w:type="dxa"/>
            <w:vAlign w:val="bottom"/>
            <w:tcBorders>
              <w:bottom w:val="single" w:sz="8" w:color="7F7F7F"/>
            </w:tcBorders>
          </w:tcPr>
          <w:p>
            <w:pPr>
              <w:spacing w:after="0"/>
              <w:rPr>
                <w:sz w:val="4"/>
                <w:szCs w:val="4"/>
                <w:color w:val="auto"/>
              </w:rPr>
            </w:pPr>
          </w:p>
        </w:tc>
        <w:tc>
          <w:tcPr>
            <w:tcW w:w="5260" w:type="dxa"/>
            <w:vAlign w:val="bottom"/>
            <w:tcBorders>
              <w:bottom w:val="single" w:sz="8" w:color="7F7F7F"/>
            </w:tcBorders>
          </w:tcPr>
          <w:p>
            <w:pPr>
              <w:spacing w:after="0"/>
              <w:rPr>
                <w:sz w:val="4"/>
                <w:szCs w:val="4"/>
                <w:color w:val="auto"/>
              </w:rPr>
            </w:pPr>
          </w:p>
        </w:tc>
      </w:tr>
      <w:tr>
        <w:trPr>
          <w:trHeight w:val="198"/>
        </w:trPr>
        <w:tc>
          <w:tcPr>
            <w:tcW w:w="200" w:type="dxa"/>
            <w:vAlign w:val="bottom"/>
            <w:shd w:val="clear" w:color="auto" w:fill="F2F2F2"/>
          </w:tcPr>
          <w:p>
            <w:pPr>
              <w:jc w:val="right"/>
              <w:spacing w:after="0"/>
              <w:rPr>
                <w:sz w:val="20"/>
                <w:szCs w:val="20"/>
                <w:color w:val="auto"/>
              </w:rPr>
            </w:pPr>
            <w:r>
              <w:rPr>
                <w:rFonts w:ascii="Arial" w:cs="Arial" w:eastAsia="Arial" w:hAnsi="Arial"/>
                <w:sz w:val="14"/>
                <w:szCs w:val="14"/>
                <w:color w:val="auto"/>
              </w:rPr>
              <w:t>4.</w:t>
            </w:r>
          </w:p>
        </w:tc>
        <w:tc>
          <w:tcPr>
            <w:tcW w:w="5460" w:type="dxa"/>
            <w:vAlign w:val="bottom"/>
            <w:shd w:val="clear" w:color="auto" w:fill="F2F2F2"/>
          </w:tcPr>
          <w:p>
            <w:pPr>
              <w:ind w:left="220"/>
              <w:spacing w:after="0"/>
              <w:rPr>
                <w:sz w:val="20"/>
                <w:szCs w:val="20"/>
                <w:color w:val="auto"/>
              </w:rPr>
            </w:pPr>
            <w:r>
              <w:rPr>
                <w:rFonts w:ascii="Arial" w:cs="Arial" w:eastAsia="Arial" w:hAnsi="Arial"/>
                <w:sz w:val="14"/>
                <w:szCs w:val="14"/>
                <w:color w:val="auto"/>
              </w:rPr>
              <w:t>Shareholder proposal requesting an independent board chairman</w:t>
            </w:r>
          </w:p>
        </w:tc>
        <w:tc>
          <w:tcPr>
            <w:tcW w:w="5260" w:type="dxa"/>
            <w:vAlign w:val="bottom"/>
            <w:shd w:val="clear" w:color="auto" w:fill="F2F2F2"/>
          </w:tcPr>
          <w:p>
            <w:pPr>
              <w:ind w:left="120"/>
              <w:spacing w:after="0"/>
              <w:rPr>
                <w:sz w:val="20"/>
                <w:szCs w:val="20"/>
                <w:color w:val="auto"/>
              </w:rPr>
            </w:pPr>
            <w:r>
              <w:rPr>
                <w:rFonts w:ascii="Arial" w:cs="Arial" w:eastAsia="Arial" w:hAnsi="Arial"/>
                <w:sz w:val="14"/>
                <w:szCs w:val="14"/>
                <w:color w:val="auto"/>
              </w:rPr>
              <w:t>The proposal must receive “FOR” votes constituting a majority of the shares</w:t>
            </w:r>
          </w:p>
        </w:tc>
      </w:tr>
      <w:tr>
        <w:trPr>
          <w:trHeight w:val="160"/>
        </w:trPr>
        <w:tc>
          <w:tcPr>
            <w:tcW w:w="200" w:type="dxa"/>
            <w:vAlign w:val="bottom"/>
            <w:shd w:val="clear" w:color="auto" w:fill="F2F2F2"/>
          </w:tcPr>
          <w:p>
            <w:pPr>
              <w:spacing w:after="0"/>
              <w:rPr>
                <w:sz w:val="13"/>
                <w:szCs w:val="13"/>
                <w:color w:val="auto"/>
              </w:rPr>
            </w:pPr>
          </w:p>
        </w:tc>
        <w:tc>
          <w:tcPr>
            <w:tcW w:w="5460" w:type="dxa"/>
            <w:vAlign w:val="bottom"/>
            <w:shd w:val="clear" w:color="auto" w:fill="F2F2F2"/>
          </w:tcPr>
          <w:p>
            <w:pPr>
              <w:spacing w:after="0"/>
              <w:rPr>
                <w:sz w:val="13"/>
                <w:szCs w:val="13"/>
                <w:color w:val="auto"/>
              </w:rPr>
            </w:pPr>
          </w:p>
        </w:tc>
        <w:tc>
          <w:tcPr>
            <w:tcW w:w="5260" w:type="dxa"/>
            <w:vAlign w:val="bottom"/>
            <w:shd w:val="clear" w:color="auto" w:fill="F2F2F2"/>
          </w:tcPr>
          <w:p>
            <w:pPr>
              <w:ind w:left="120"/>
              <w:spacing w:after="0"/>
              <w:rPr>
                <w:sz w:val="20"/>
                <w:szCs w:val="20"/>
                <w:color w:val="auto"/>
              </w:rPr>
            </w:pPr>
            <w:r>
              <w:rPr>
                <w:rFonts w:ascii="Arial" w:cs="Arial" w:eastAsia="Arial" w:hAnsi="Arial"/>
                <w:sz w:val="14"/>
                <w:szCs w:val="14"/>
                <w:color w:val="auto"/>
              </w:rPr>
              <w:t>represented and voting at the Annual Shareholders Meeting, and the “FOR” votes</w:t>
            </w:r>
          </w:p>
        </w:tc>
      </w:tr>
      <w:tr>
        <w:trPr>
          <w:trHeight w:val="217"/>
        </w:trPr>
        <w:tc>
          <w:tcPr>
            <w:tcW w:w="200" w:type="dxa"/>
            <w:vAlign w:val="bottom"/>
            <w:tcBorders>
              <w:bottom w:val="single" w:sz="8" w:color="F2F2F2"/>
            </w:tcBorders>
            <w:shd w:val="clear" w:color="auto" w:fill="F2F2F2"/>
          </w:tcPr>
          <w:p>
            <w:pPr>
              <w:spacing w:after="0"/>
              <w:rPr>
                <w:sz w:val="18"/>
                <w:szCs w:val="18"/>
                <w:color w:val="auto"/>
              </w:rPr>
            </w:pPr>
          </w:p>
        </w:tc>
        <w:tc>
          <w:tcPr>
            <w:tcW w:w="5460" w:type="dxa"/>
            <w:vAlign w:val="bottom"/>
            <w:tcBorders>
              <w:bottom w:val="single" w:sz="8" w:color="F2F2F2"/>
            </w:tcBorders>
            <w:shd w:val="clear" w:color="auto" w:fill="F2F2F2"/>
          </w:tcPr>
          <w:p>
            <w:pPr>
              <w:spacing w:after="0"/>
              <w:rPr>
                <w:sz w:val="18"/>
                <w:szCs w:val="18"/>
                <w:color w:val="auto"/>
              </w:rPr>
            </w:pPr>
          </w:p>
        </w:tc>
        <w:tc>
          <w:tcPr>
            <w:tcW w:w="52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4"/>
                <w:szCs w:val="14"/>
                <w:color w:val="auto"/>
              </w:rPr>
              <w:t>also must represent more than 25% of our outstanding shares.</w:t>
            </w:r>
          </w:p>
        </w:tc>
      </w:tr>
      <w:tr>
        <w:trPr>
          <w:trHeight w:val="20"/>
        </w:trPr>
        <w:tc>
          <w:tcPr>
            <w:tcW w:w="200" w:type="dxa"/>
            <w:vAlign w:val="bottom"/>
            <w:shd w:val="clear" w:color="auto" w:fill="7F7F7F"/>
          </w:tcPr>
          <w:p>
            <w:pPr>
              <w:spacing w:after="0" w:line="20" w:lineRule="exact"/>
              <w:rPr>
                <w:sz w:val="1"/>
                <w:szCs w:val="1"/>
                <w:color w:val="auto"/>
              </w:rPr>
            </w:pPr>
          </w:p>
        </w:tc>
        <w:tc>
          <w:tcPr>
            <w:tcW w:w="5460" w:type="dxa"/>
            <w:vAlign w:val="bottom"/>
            <w:shd w:val="clear" w:color="auto" w:fill="7F7F7F"/>
          </w:tcPr>
          <w:p>
            <w:pPr>
              <w:spacing w:after="0" w:line="20" w:lineRule="exact"/>
              <w:rPr>
                <w:sz w:val="1"/>
                <w:szCs w:val="1"/>
                <w:color w:val="auto"/>
              </w:rPr>
            </w:pPr>
          </w:p>
        </w:tc>
        <w:tc>
          <w:tcPr>
            <w:tcW w:w="5260" w:type="dxa"/>
            <w:vAlign w:val="bottom"/>
            <w:shd w:val="clear" w:color="auto" w:fill="7F7F7F"/>
          </w:tcPr>
          <w:p>
            <w:pPr>
              <w:spacing w:after="0" w:line="20" w:lineRule="exact"/>
              <w:rPr>
                <w:sz w:val="1"/>
                <w:szCs w:val="1"/>
                <w:color w:val="auto"/>
              </w:rPr>
            </w:pPr>
          </w:p>
        </w:tc>
      </w:tr>
    </w:tbl>
    <w:p>
      <w:pPr>
        <w:spacing w:after="0" w:line="212" w:lineRule="exact"/>
        <w:rPr>
          <w:sz w:val="20"/>
          <w:szCs w:val="20"/>
          <w:color w:val="auto"/>
        </w:rPr>
      </w:pPr>
    </w:p>
    <w:p>
      <w:pPr>
        <w:ind w:left="700" w:hanging="533"/>
        <w:spacing w:after="0"/>
        <w:tabs>
          <w:tab w:leader="none" w:pos="700" w:val="left"/>
        </w:tabs>
        <w:numPr>
          <w:ilvl w:val="0"/>
          <w:numId w:val="149"/>
        </w:numPr>
        <w:rPr>
          <w:rFonts w:ascii="Arial" w:cs="Arial" w:eastAsia="Arial" w:hAnsi="Arial"/>
          <w:sz w:val="21"/>
          <w:szCs w:val="21"/>
          <w:b w:val="1"/>
          <w:bCs w:val="1"/>
          <w:color w:val="005CB9"/>
        </w:rPr>
      </w:pPr>
      <w:r>
        <w:rPr>
          <w:rFonts w:ascii="Arial" w:cs="Arial" w:eastAsia="Arial" w:hAnsi="Arial"/>
          <w:sz w:val="21"/>
          <w:szCs w:val="21"/>
          <w:b w:val="1"/>
          <w:bCs w:val="1"/>
          <w:color w:val="005CB9"/>
        </w:rPr>
        <w:t>What happens if additional items are presented at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180"/>
        <w:spacing w:after="0" w:line="253" w:lineRule="auto"/>
        <w:rPr>
          <w:sz w:val="20"/>
          <w:szCs w:val="20"/>
          <w:color w:val="auto"/>
        </w:rPr>
      </w:pPr>
      <w:r>
        <w:rPr>
          <w:rFonts w:ascii="Arial" w:cs="Arial" w:eastAsia="Arial" w:hAnsi="Arial"/>
          <w:sz w:val="14"/>
          <w:szCs w:val="14"/>
          <w:color w:val="auto"/>
        </w:rPr>
        <w:t>We are not aware of any item that may be voted on at the Annual Shareholders Meeting that is not described in this proxy statement, nor have we received notice of any such item by the deadline prescribed by Rule 14a-4(c)(1) under the Exchange Act. However, the holders of the proxies that we are soliciting will have the discretion to vote them as they determine appropriate on any additional matters that may be voted on at the Annual Shareholders Meeting and any adjournment or postponement thereof, including matters incidental to the conduct of the meeting.</w:t>
      </w:r>
    </w:p>
    <w:p>
      <w:pPr>
        <w:spacing w:after="0" w:line="185" w:lineRule="exact"/>
        <w:rPr>
          <w:sz w:val="20"/>
          <w:szCs w:val="20"/>
          <w:color w:val="auto"/>
        </w:rPr>
      </w:pPr>
    </w:p>
    <w:p>
      <w:pPr>
        <w:ind w:left="700" w:hanging="533"/>
        <w:spacing w:after="0"/>
        <w:tabs>
          <w:tab w:leader="none" w:pos="700" w:val="left"/>
        </w:tabs>
        <w:numPr>
          <w:ilvl w:val="0"/>
          <w:numId w:val="150"/>
        </w:numPr>
        <w:rPr>
          <w:rFonts w:ascii="Arial" w:cs="Arial" w:eastAsia="Arial" w:hAnsi="Arial"/>
          <w:sz w:val="21"/>
          <w:szCs w:val="21"/>
          <w:b w:val="1"/>
          <w:bCs w:val="1"/>
          <w:color w:val="005CB9"/>
        </w:rPr>
      </w:pPr>
      <w:r>
        <w:rPr>
          <w:rFonts w:ascii="Arial" w:cs="Arial" w:eastAsia="Arial" w:hAnsi="Arial"/>
          <w:sz w:val="21"/>
          <w:szCs w:val="21"/>
          <w:b w:val="1"/>
          <w:bCs w:val="1"/>
          <w:color w:val="005CB9"/>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right="20"/>
        <w:spacing w:after="0" w:line="246" w:lineRule="auto"/>
        <w:rPr>
          <w:sz w:val="20"/>
          <w:szCs w:val="20"/>
          <w:color w:val="auto"/>
        </w:rPr>
      </w:pPr>
      <w:r>
        <w:rPr>
          <w:rFonts w:ascii="Arial" w:cs="Arial" w:eastAsia="Arial" w:hAnsi="Arial"/>
          <w:sz w:val="14"/>
          <w:szCs w:val="14"/>
          <w:color w:val="auto"/>
        </w:rPr>
        <w:t>Broker non-votes occur on certain proposals when beneficial owners of shares held through a bank, broker or other nominee do not timely provide voting instructions. For beneficial owners of shares, your bank, broker or other nominee must vote your shares according to the specific instructions they receive from you. If you do not timely provide voting instructions to your bank, broker or other nominee, they are, in some cases, permitted to vote your shares in their discretion, but they are not permitted to vote your shares on certain proposals and they may elect not to vote your shares on any of the proposals unless you provide voting instructions. If you do not timely provide voting instructions and your bank, broker or other nominee votes your shares on some but not all proposals, a “broker non-vote” will occur for the proposals on which the bank, broker or other nominee does not vote. Submitting your voting instructions in a timely manner will enable your interests to be represented at the meeting. See Question 19 below for information on the effect of abstentions and broker non-votes on each proposal to be voted on at the Annual Shareholders Meeting.</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If you have questions about the proxy voting process, please contact the bank, broker or other nominee that holds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94               </w:t>
      </w:r>
      <w:r>
        <w:rPr>
          <w:sz w:val="1"/>
          <w:szCs w:val="1"/>
          <w:color w:val="auto"/>
        </w:rPr>
        <w:drawing>
          <wp:inline distT="0" distB="0" distL="0" distR="0">
            <wp:extent cx="739140" cy="153035"/>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About the Annual Shareholders Meeting and Voting</w:t>
      </w:r>
    </w:p>
    <w:p>
      <w:pPr>
        <w:spacing w:after="0" w:line="126" w:lineRule="exact"/>
        <w:rPr>
          <w:sz w:val="20"/>
          <w:szCs w:val="20"/>
          <w:color w:val="auto"/>
        </w:rPr>
      </w:pPr>
    </w:p>
    <w:p>
      <w:pPr>
        <w:ind w:left="700" w:hanging="533"/>
        <w:spacing w:after="0"/>
        <w:tabs>
          <w:tab w:leader="none" w:pos="700" w:val="left"/>
        </w:tabs>
        <w:numPr>
          <w:ilvl w:val="0"/>
          <w:numId w:val="151"/>
        </w:numPr>
        <w:rPr>
          <w:rFonts w:ascii="Arial" w:cs="Arial" w:eastAsia="Arial" w:hAnsi="Arial"/>
          <w:sz w:val="21"/>
          <w:szCs w:val="21"/>
          <w:b w:val="1"/>
          <w:bCs w:val="1"/>
          <w:color w:val="005CB9"/>
        </w:rPr>
      </w:pPr>
      <w:r>
        <w:rPr>
          <w:rFonts w:ascii="Arial" w:cs="Arial" w:eastAsia="Arial" w:hAnsi="Arial"/>
          <w:sz w:val="21"/>
          <w:szCs w:val="21"/>
          <w:b w:val="1"/>
          <w:bCs w:val="1"/>
          <w:color w:val="005CB9"/>
        </w:rPr>
        <w:t>How are votes counted? What is the effect of abstentions and broker non-votes on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right="100"/>
        <w:spacing w:after="0" w:line="281" w:lineRule="auto"/>
        <w:rPr>
          <w:sz w:val="20"/>
          <w:szCs w:val="20"/>
          <w:color w:val="auto"/>
        </w:rPr>
      </w:pPr>
      <w:r>
        <w:rPr>
          <w:rFonts w:ascii="Arial" w:cs="Arial" w:eastAsia="Arial" w:hAnsi="Arial"/>
          <w:sz w:val="14"/>
          <w:szCs w:val="14"/>
          <w:color w:val="auto"/>
        </w:rPr>
        <w:t>You may vote “FOR” or “AGAINST” or you may “ABSTAIN” from voting on any or all of the director nominees named in this proxy statement and on any other proposal to be voted on at the Annual Shareholders Meeting.</w:t>
      </w:r>
    </w:p>
    <w:p>
      <w:pPr>
        <w:spacing w:after="0" w:line="51" w:lineRule="exact"/>
        <w:rPr>
          <w:sz w:val="20"/>
          <w:szCs w:val="20"/>
          <w:color w:val="auto"/>
        </w:rPr>
      </w:pPr>
    </w:p>
    <w:p>
      <w:pPr>
        <w:ind w:left="160" w:right="160"/>
        <w:spacing w:after="0" w:line="247" w:lineRule="auto"/>
        <w:rPr>
          <w:sz w:val="20"/>
          <w:szCs w:val="20"/>
          <w:color w:val="auto"/>
        </w:rPr>
      </w:pPr>
      <w:r>
        <w:rPr>
          <w:rFonts w:ascii="Arial" w:cs="Arial" w:eastAsia="Arial" w:hAnsi="Arial"/>
          <w:sz w:val="14"/>
          <w:szCs w:val="14"/>
          <w:color w:val="auto"/>
        </w:rPr>
        <w:t>If you indicate “ABSTAIN” on any or all nominees or proposals, your vote will be counted for purposes of determining the presence or absence of a quorum for the transaction of business at the Annual Shareholders Meeting and any adjournment or postponement thereof (see Question 21 below), but will not be considered a vote cast with respect to the director nominee(s) or other proposal(s) on which you abstain from voting. As a result, abstentions should have no effect on the outcome of the vote for the election of the director nominees named in this proxy statement (Proposal 1), the ratification of the appointment of our independent registered public accounting firm (Proposal 2), the advisory approval of our executive compensation (Proposal 3), or the shareholder proposal requesting an independent board chairman (Proposal 4), in each case unless such abstentions result in a failure to obtain affirmative votes representing more than 25% of our outstanding shares.</w:t>
      </w:r>
    </w:p>
    <w:p>
      <w:pPr>
        <w:spacing w:after="0" w:line="76" w:lineRule="exact"/>
        <w:rPr>
          <w:sz w:val="20"/>
          <w:szCs w:val="20"/>
          <w:color w:val="auto"/>
        </w:rPr>
      </w:pPr>
    </w:p>
    <w:p>
      <w:pPr>
        <w:ind w:left="160"/>
        <w:spacing w:after="0" w:line="246" w:lineRule="auto"/>
        <w:rPr>
          <w:sz w:val="20"/>
          <w:szCs w:val="20"/>
          <w:color w:val="auto"/>
        </w:rPr>
      </w:pPr>
      <w:r>
        <w:rPr>
          <w:rFonts w:ascii="Arial" w:cs="Arial" w:eastAsia="Arial" w:hAnsi="Arial"/>
          <w:sz w:val="14"/>
          <w:szCs w:val="14"/>
          <w:color w:val="auto"/>
        </w:rPr>
        <w:t>Broker non-votes, which are discussed in Question 18 above, will be counted for purposes of determining the presence or absence of a quorum for the transaction of business at the Annual Shareholders Meeting and any adjournment or postponement thereof (see Question 21 below), but will not be considered votes cast with respect to any of the proposals for which they occur. As a result, if broker non-votes occur on the election of any of the director nominees named in this proxy statement (Proposal 1), the ratification of the appointment of our independent registered public accounting firm (Proposal 2), the advisory approval of our executive compensation (Proposal 3), or the shareholder proposal requesting an independent board chairman (Proposal 4), they should have no effect on the outcome of any such proposal, in each case unless such broker non-votes result in a failure to obtain affirmative votes representing more than 25% of our outstanding shares. See Question 18 above for additional information about broker non-votes.</w:t>
      </w:r>
    </w:p>
    <w:p>
      <w:pPr>
        <w:spacing w:after="0" w:line="240" w:lineRule="exact"/>
        <w:rPr>
          <w:sz w:val="20"/>
          <w:szCs w:val="20"/>
          <w:color w:val="auto"/>
        </w:rPr>
      </w:pPr>
    </w:p>
    <w:p>
      <w:pPr>
        <w:ind w:left="160"/>
        <w:spacing w:after="0" w:line="260" w:lineRule="auto"/>
        <w:rPr>
          <w:sz w:val="20"/>
          <w:szCs w:val="20"/>
          <w:color w:val="auto"/>
        </w:rPr>
      </w:pPr>
      <w:r>
        <w:rPr>
          <w:rFonts w:ascii="Arial" w:cs="Arial" w:eastAsia="Arial" w:hAnsi="Arial"/>
          <w:sz w:val="14"/>
          <w:szCs w:val="14"/>
          <w:color w:val="auto"/>
        </w:rPr>
        <w:t>See Question 20 below for information on the effect of failing to timely vote or voting without giving specific instructions if you are a shareholder of record or a beneficial owner of shares. See Question 12 above for information on the effect of failing to timely vote or voting without giving specific instructions if you are an owner of shares held in any of the Employee Savings Plans.</w:t>
      </w:r>
    </w:p>
    <w:p>
      <w:pPr>
        <w:spacing w:after="0" w:line="180" w:lineRule="exact"/>
        <w:rPr>
          <w:sz w:val="20"/>
          <w:szCs w:val="20"/>
          <w:color w:val="auto"/>
        </w:rPr>
      </w:pPr>
    </w:p>
    <w:p>
      <w:pPr>
        <w:ind w:left="700" w:hanging="533"/>
        <w:spacing w:after="0"/>
        <w:tabs>
          <w:tab w:leader="none" w:pos="700" w:val="left"/>
        </w:tabs>
        <w:numPr>
          <w:ilvl w:val="0"/>
          <w:numId w:val="152"/>
        </w:numPr>
        <w:rPr>
          <w:rFonts w:ascii="Arial" w:cs="Arial" w:eastAsia="Arial" w:hAnsi="Arial"/>
          <w:sz w:val="21"/>
          <w:szCs w:val="21"/>
          <w:b w:val="1"/>
          <w:bCs w:val="1"/>
          <w:color w:val="005CB9"/>
        </w:rPr>
      </w:pPr>
      <w:r>
        <w:rPr>
          <w:rFonts w:ascii="Arial" w:cs="Arial" w:eastAsia="Arial" w:hAnsi="Arial"/>
          <w:sz w:val="21"/>
          <w:szCs w:val="21"/>
          <w:b w:val="1"/>
          <w:bCs w:val="1"/>
          <w:color w:val="005CB9"/>
        </w:rPr>
        <w:t>Will shares that I own be voted if I do not timely provide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60"/>
        <w:spacing w:after="0" w:line="247" w:lineRule="auto"/>
        <w:rPr>
          <w:sz w:val="20"/>
          <w:szCs w:val="20"/>
          <w:color w:val="auto"/>
        </w:rPr>
      </w:pPr>
      <w:r>
        <w:rPr>
          <w:rFonts w:ascii="Arial" w:cs="Arial" w:eastAsia="Arial" w:hAnsi="Arial"/>
          <w:sz w:val="14"/>
          <w:szCs w:val="14"/>
          <w:color w:val="auto"/>
        </w:rPr>
        <w:t>If you own shares as a shareholder of record, these shares will be voted as you instruct in advance of the meeting via the Internet, by telephone or on your proxy card. If you submit your vote via the Internet or by telephone in advance of the meeting or sign and return your proxy card, in each case without giving specific voting instructions, such shares will be voted in accordance with the recommendations of our Board of Directors on the proposals described in this proxy statement and in the discretion of the proxy holders on any other matters that properly come before the Annual Shareholders Meeting and any adjournment or postponement thereof. If you do not timely vote by one of the voting methods described in Question 7 above, your shares will not be voted unless you, or your proxy holder(s), vote your shares at the Annual Shareholders Meeting by attending the virtual meeting and any adjournment or postponement thereof.</w:t>
      </w:r>
    </w:p>
    <w:p>
      <w:pPr>
        <w:spacing w:after="0" w:line="76" w:lineRule="exact"/>
        <w:rPr>
          <w:sz w:val="20"/>
          <w:szCs w:val="20"/>
          <w:color w:val="auto"/>
        </w:rPr>
      </w:pPr>
    </w:p>
    <w:p>
      <w:pPr>
        <w:ind w:left="160" w:right="180"/>
        <w:spacing w:after="0" w:line="260" w:lineRule="auto"/>
        <w:rPr>
          <w:sz w:val="20"/>
          <w:szCs w:val="20"/>
          <w:color w:val="auto"/>
        </w:rPr>
      </w:pPr>
      <w:r>
        <w:rPr>
          <w:rFonts w:ascii="Arial" w:cs="Arial" w:eastAsia="Arial" w:hAnsi="Arial"/>
          <w:sz w:val="14"/>
          <w:szCs w:val="14"/>
          <w:color w:val="auto"/>
        </w:rPr>
        <w:t>If you are a beneficial owner of shares, these shares will be voted by your bank, broker or other nominee according to the specific instructions they receive from you. If you do not timely provide voting instructions, a broker non-vote may occur for your shares on some or all of the proposals to be voted on at the Annual Shareholders Meeting. See Questions 18 and 19 above for information about broker non-votes and the effect they will have on each proposal to be voted on at the meeting.</w:t>
      </w:r>
    </w:p>
    <w:p>
      <w:pPr>
        <w:spacing w:after="0" w:line="65" w:lineRule="exact"/>
        <w:rPr>
          <w:sz w:val="20"/>
          <w:szCs w:val="20"/>
          <w:color w:val="auto"/>
        </w:rPr>
      </w:pPr>
    </w:p>
    <w:p>
      <w:pPr>
        <w:ind w:left="160" w:right="20"/>
        <w:spacing w:after="0" w:line="281" w:lineRule="auto"/>
        <w:rPr>
          <w:sz w:val="20"/>
          <w:szCs w:val="20"/>
          <w:color w:val="auto"/>
        </w:rPr>
      </w:pPr>
      <w:r>
        <w:rPr>
          <w:rFonts w:ascii="Arial" w:cs="Arial" w:eastAsia="Arial" w:hAnsi="Arial"/>
          <w:sz w:val="14"/>
          <w:szCs w:val="14"/>
          <w:color w:val="auto"/>
        </w:rPr>
        <w:t>If you hold shares in any of the Employee Savings Plans, see Question 12 for information about how these shares will be voted if you submit your vote without giving specific voting instructions or you do not timely submit your vote.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Submitting your voting instructions in a timely manner will enable your interests to be represented at the meeting.</w:t>
      </w:r>
    </w:p>
    <w:p>
      <w:pPr>
        <w:spacing w:after="0" w:line="221" w:lineRule="exact"/>
        <w:rPr>
          <w:sz w:val="20"/>
          <w:szCs w:val="20"/>
          <w:color w:val="auto"/>
        </w:rPr>
      </w:pPr>
    </w:p>
    <w:p>
      <w:pPr>
        <w:ind w:left="700" w:hanging="533"/>
        <w:spacing w:after="0"/>
        <w:tabs>
          <w:tab w:leader="none" w:pos="700" w:val="left"/>
        </w:tabs>
        <w:numPr>
          <w:ilvl w:val="0"/>
          <w:numId w:val="153"/>
        </w:numPr>
        <w:rPr>
          <w:rFonts w:ascii="Arial" w:cs="Arial" w:eastAsia="Arial" w:hAnsi="Arial"/>
          <w:sz w:val="21"/>
          <w:szCs w:val="21"/>
          <w:b w:val="1"/>
          <w:bCs w:val="1"/>
          <w:color w:val="005CB9"/>
        </w:rPr>
      </w:pPr>
      <w:r>
        <w:rPr>
          <w:rFonts w:ascii="Arial" w:cs="Arial" w:eastAsia="Arial" w:hAnsi="Arial"/>
          <w:sz w:val="21"/>
          <w:szCs w:val="21"/>
          <w:b w:val="1"/>
          <w:bCs w:val="1"/>
          <w:color w:val="005CB9"/>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jc w:val="both"/>
        <w:ind w:left="160" w:right="400"/>
        <w:spacing w:after="0" w:line="260" w:lineRule="auto"/>
        <w:rPr>
          <w:sz w:val="20"/>
          <w:szCs w:val="20"/>
          <w:color w:val="auto"/>
        </w:rPr>
      </w:pPr>
      <w:r>
        <w:rPr>
          <w:rFonts w:ascii="Arial" w:cs="Arial" w:eastAsia="Arial" w:hAnsi="Arial"/>
          <w:sz w:val="14"/>
          <w:szCs w:val="14"/>
          <w:color w:val="auto"/>
        </w:rPr>
        <w:t>A majority of the outstanding shares of common stock entitled to vote at the Annual Shareholders Meeting or any adjournment or postponement thereof, attending the meeting or represented by proxy, constitutes a quorum for the transaction of business at the meeting. Broker non-votes and abstentions will be counted for purposes of determining whether a quorum is present at the Annual Shareholders Meeting or any adjournment or postponement thereof.</w:t>
      </w:r>
    </w:p>
    <w:p>
      <w:pPr>
        <w:spacing w:after="0" w:line="180" w:lineRule="exact"/>
        <w:rPr>
          <w:sz w:val="20"/>
          <w:szCs w:val="20"/>
          <w:color w:val="auto"/>
        </w:rPr>
      </w:pPr>
    </w:p>
    <w:p>
      <w:pPr>
        <w:ind w:left="700" w:hanging="533"/>
        <w:spacing w:after="0"/>
        <w:tabs>
          <w:tab w:leader="none" w:pos="700" w:val="left"/>
        </w:tabs>
        <w:numPr>
          <w:ilvl w:val="0"/>
          <w:numId w:val="154"/>
        </w:numPr>
        <w:rPr>
          <w:rFonts w:ascii="Arial" w:cs="Arial" w:eastAsia="Arial" w:hAnsi="Arial"/>
          <w:sz w:val="21"/>
          <w:szCs w:val="21"/>
          <w:b w:val="1"/>
          <w:bCs w:val="1"/>
          <w:color w:val="005CB9"/>
        </w:rPr>
      </w:pPr>
      <w:r>
        <w:rPr>
          <w:rFonts w:ascii="Arial" w:cs="Arial" w:eastAsia="Arial" w:hAnsi="Arial"/>
          <w:sz w:val="21"/>
          <w:szCs w:val="21"/>
          <w:b w:val="1"/>
          <w:bCs w:val="1"/>
          <w:color w:val="005CB9"/>
        </w:rPr>
        <w:t>Where can I find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right="320"/>
        <w:spacing w:after="0" w:line="281" w:lineRule="auto"/>
        <w:rPr>
          <w:sz w:val="20"/>
          <w:szCs w:val="20"/>
          <w:color w:val="auto"/>
        </w:rPr>
      </w:pPr>
      <w:r>
        <w:rPr>
          <w:rFonts w:ascii="Arial" w:cs="Arial" w:eastAsia="Arial" w:hAnsi="Arial"/>
          <w:sz w:val="14"/>
          <w:szCs w:val="14"/>
          <w:color w:val="auto"/>
        </w:rPr>
        <w:t>We expect to announce preliminary voting results at the Annual Shareholders Meeting and to publish final results in a current report on Form 8-K that we will file with the SEC following the meeting. The report will be available on our website at www.sempra.com under the “Financials and filings” tab of the “Investors” 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199390</wp:posOffset>
            </wp:positionV>
            <wp:extent cx="739140" cy="15303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95</w:t>
      </w:r>
    </w:p>
    <w:p>
      <w:pPr>
        <w:sectPr>
          <w:pgSz w:w="11900" w:h="16838" w:orient="portrait"/>
          <w:cols w:equalWidth="0" w:num="1">
            <w:col w:w="11080"/>
          </w:cols>
          <w:pgMar w:left="320" w:top="478"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About the Annual Shareholders Meeting and Voting</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32"/>
          <w:szCs w:val="32"/>
          <w:color w:val="001689"/>
        </w:rPr>
        <w:t>Proxy Materials</w:t>
      </w:r>
    </w:p>
    <w:p>
      <w:pPr>
        <w:spacing w:after="0" w:line="247" w:lineRule="exact"/>
        <w:rPr>
          <w:sz w:val="20"/>
          <w:szCs w:val="20"/>
          <w:color w:val="auto"/>
        </w:rPr>
      </w:pPr>
    </w:p>
    <w:p>
      <w:pPr>
        <w:ind w:left="700" w:right="100" w:hanging="533"/>
        <w:spacing w:after="0" w:line="293" w:lineRule="auto"/>
        <w:tabs>
          <w:tab w:leader="none" w:pos="700" w:val="left"/>
        </w:tabs>
        <w:numPr>
          <w:ilvl w:val="0"/>
          <w:numId w:val="155"/>
        </w:numPr>
        <w:rPr>
          <w:rFonts w:ascii="Arial" w:cs="Arial" w:eastAsia="Arial" w:hAnsi="Arial"/>
          <w:sz w:val="21"/>
          <w:szCs w:val="21"/>
          <w:b w:val="1"/>
          <w:bCs w:val="1"/>
          <w:color w:val="005CB9"/>
        </w:rPr>
      </w:pPr>
      <w:r>
        <w:rPr>
          <w:rFonts w:ascii="Arial" w:cs="Arial" w:eastAsia="Arial" w:hAnsi="Arial"/>
          <w:sz w:val="21"/>
          <w:szCs w:val="21"/>
          <w:b w:val="1"/>
          <w:bCs w:val="1"/>
          <w:color w:val="005CB9"/>
        </w:rPr>
        <w:t>Why did I receive a notice in the mail about the Internet availability of the proxy materials instead of a paper copy of the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5" w:lineRule="exact"/>
        <w:rPr>
          <w:sz w:val="20"/>
          <w:szCs w:val="20"/>
          <w:color w:val="auto"/>
        </w:rPr>
      </w:pPr>
    </w:p>
    <w:p>
      <w:pPr>
        <w:ind w:left="160"/>
        <w:spacing w:after="0" w:line="243" w:lineRule="auto"/>
        <w:rPr>
          <w:sz w:val="20"/>
          <w:szCs w:val="20"/>
          <w:color w:val="auto"/>
        </w:rPr>
      </w:pPr>
      <w:r>
        <w:rPr>
          <w:rFonts w:ascii="Arial" w:cs="Arial" w:eastAsia="Arial" w:hAnsi="Arial"/>
          <w:sz w:val="14"/>
          <w:szCs w:val="14"/>
          <w:color w:val="auto"/>
        </w:rPr>
        <w:t>We distribute our proxy materials via the Internet to shareholders who have not requested a paper copy. Beginning on March 27, 2026, we mailed notices about the Internet availability of our proxy materials for the Annual Shareholders Meeting, which contain instructions on how to access our proxy materials on the Internet and how to request a paper copy by mail or an electronic copy by email. The notice also contains instructions on how you may request our proxy materials by mail (paper copy) or email (electronic copy) on an ongoing basis. If you are a shareholder of record, if you hold shares in any of the Employee Savings Plans, or if you are a beneficial owner of shares held by a bank, broker or other nominee and your voting instruction form includes a 16-digit control number, you may request to receive paper copies of our current and/or future proxy materials via the Internet by visiting www.proxyvote.com and clicking “Delivery Settings,” by telephone at (800) 579-1639 or by email at sendmaterial@proxyvote.com (if requesting by email, please include in the subject line your 16-digit control number shown on your notice about the Internet availability of our proxy materials or proxy card). If you are a beneficial owner of shares held by a bank, broker or other nominee and your voting instruction form does not include a 16-digit control number, please contact your bank, broker or other nominee directly to request to receive paper copies of our current and/or future proxy materials. We encourage shareholders to take advantage of the availability of our proxy materials on the Internet to help reduce the environmental impact of our annual shareholders meetings and our printing and mailing costs.</w:t>
      </w:r>
    </w:p>
    <w:p>
      <w:pPr>
        <w:spacing w:after="0" w:line="357" w:lineRule="exact"/>
        <w:rPr>
          <w:sz w:val="20"/>
          <w:szCs w:val="20"/>
          <w:color w:val="auto"/>
        </w:rPr>
      </w:pPr>
    </w:p>
    <w:p>
      <w:pPr>
        <w:ind w:left="700" w:hanging="533"/>
        <w:spacing w:after="0"/>
        <w:tabs>
          <w:tab w:leader="none" w:pos="700" w:val="left"/>
        </w:tabs>
        <w:numPr>
          <w:ilvl w:val="0"/>
          <w:numId w:val="156"/>
        </w:numPr>
        <w:rPr>
          <w:rFonts w:ascii="Arial" w:cs="Arial" w:eastAsia="Arial" w:hAnsi="Arial"/>
          <w:sz w:val="21"/>
          <w:szCs w:val="21"/>
          <w:b w:val="1"/>
          <w:bCs w:val="1"/>
          <w:color w:val="005CB9"/>
        </w:rPr>
      </w:pPr>
      <w:r>
        <w:rPr>
          <w:rFonts w:ascii="Arial" w:cs="Arial" w:eastAsia="Arial" w:hAnsi="Arial"/>
          <w:sz w:val="21"/>
          <w:szCs w:val="21"/>
          <w:b w:val="1"/>
          <w:bCs w:val="1"/>
          <w:color w:val="005CB9"/>
        </w:rPr>
        <w:t>Why didn’t I receive a notice in the mail about the Internet availability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160"/>
        <w:spacing w:after="0" w:line="281" w:lineRule="auto"/>
        <w:rPr>
          <w:sz w:val="20"/>
          <w:szCs w:val="20"/>
          <w:color w:val="auto"/>
        </w:rPr>
      </w:pPr>
      <w:r>
        <w:rPr>
          <w:rFonts w:ascii="Arial" w:cs="Arial" w:eastAsia="Arial" w:hAnsi="Arial"/>
          <w:sz w:val="14"/>
          <w:szCs w:val="14"/>
          <w:color w:val="auto"/>
        </w:rPr>
        <w:t>We are providing some of our shareholders, including those who previously have requested a paper copy, a paper copy of our proxy materials instead of a notice about the Internet availability of our proxy materials.</w:t>
      </w:r>
    </w:p>
    <w:p>
      <w:pPr>
        <w:spacing w:after="0" w:line="51" w:lineRule="exact"/>
        <w:rPr>
          <w:sz w:val="20"/>
          <w:szCs w:val="20"/>
          <w:color w:val="auto"/>
        </w:rPr>
      </w:pPr>
    </w:p>
    <w:p>
      <w:pPr>
        <w:ind w:left="160" w:right="160"/>
        <w:spacing w:after="0" w:line="281" w:lineRule="auto"/>
        <w:rPr>
          <w:sz w:val="20"/>
          <w:szCs w:val="20"/>
          <w:color w:val="auto"/>
        </w:rPr>
      </w:pPr>
      <w:r>
        <w:rPr>
          <w:rFonts w:ascii="Arial" w:cs="Arial" w:eastAsia="Arial" w:hAnsi="Arial"/>
          <w:sz w:val="14"/>
          <w:szCs w:val="14"/>
          <w:color w:val="auto"/>
        </w:rPr>
        <w:t>In addition, we are providing a notice about the Internet availability of our proxy materials by email to our shareholders who previously have elected electronic delivery. The email contains a link to the website where you can access our proxy materials and vote your shares via the Internet in advance of the Annual Shareholders Meeting.</w:t>
      </w:r>
    </w:p>
    <w:p>
      <w:pPr>
        <w:spacing w:after="0" w:line="166" w:lineRule="exact"/>
        <w:rPr>
          <w:sz w:val="20"/>
          <w:szCs w:val="20"/>
          <w:color w:val="auto"/>
        </w:rPr>
      </w:pPr>
    </w:p>
    <w:p>
      <w:pPr>
        <w:ind w:left="700" w:hanging="533"/>
        <w:spacing w:after="0"/>
        <w:tabs>
          <w:tab w:leader="none" w:pos="700" w:val="left"/>
        </w:tabs>
        <w:numPr>
          <w:ilvl w:val="0"/>
          <w:numId w:val="157"/>
        </w:numPr>
        <w:rPr>
          <w:rFonts w:ascii="Arial" w:cs="Arial" w:eastAsia="Arial" w:hAnsi="Arial"/>
          <w:sz w:val="21"/>
          <w:szCs w:val="21"/>
          <w:b w:val="1"/>
          <w:bCs w:val="1"/>
          <w:color w:val="005CB9"/>
        </w:rPr>
      </w:pPr>
      <w:r>
        <w:rPr>
          <w:rFonts w:ascii="Arial" w:cs="Arial" w:eastAsia="Arial" w:hAnsi="Arial"/>
          <w:sz w:val="21"/>
          <w:szCs w:val="21"/>
          <w:b w:val="1"/>
          <w:bCs w:val="1"/>
          <w:color w:val="005CB9"/>
        </w:rPr>
        <w:t>How can I access the proxy materials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180"/>
        <w:spacing w:after="0" w:line="253" w:lineRule="auto"/>
        <w:rPr>
          <w:sz w:val="20"/>
          <w:szCs w:val="20"/>
          <w:color w:val="auto"/>
        </w:rPr>
      </w:pPr>
      <w:r>
        <w:rPr>
          <w:rFonts w:ascii="Arial" w:cs="Arial" w:eastAsia="Arial" w:hAnsi="Arial"/>
          <w:sz w:val="14"/>
          <w:szCs w:val="14"/>
          <w:color w:val="auto"/>
        </w:rPr>
        <w:t>You can access our proxy materials on the Internet at www.proxyvote.com. To view our proxy materials at this site, you will be asked to enter the 16-digit control number shown on your notice about the Internet availability of our proxy materials, proxy card, voting instruction form or, if you obtained a “legal proxy,” the separate information provided by your bank, broker or other nominee, which in each case contains additional instructions on how to view our proxy materials on the Internet. In the alternative, if you do not have your 16-digit control number in-hand, you may view our proxy materials at www.sempra.com/2026-annual-meeting.</w:t>
      </w:r>
    </w:p>
    <w:p>
      <w:pPr>
        <w:spacing w:after="0" w:line="185" w:lineRule="exact"/>
        <w:rPr>
          <w:sz w:val="20"/>
          <w:szCs w:val="20"/>
          <w:color w:val="auto"/>
        </w:rPr>
      </w:pPr>
    </w:p>
    <w:p>
      <w:pPr>
        <w:ind w:left="700" w:hanging="533"/>
        <w:spacing w:after="0"/>
        <w:tabs>
          <w:tab w:leader="none" w:pos="700" w:val="left"/>
        </w:tabs>
        <w:numPr>
          <w:ilvl w:val="0"/>
          <w:numId w:val="158"/>
        </w:numPr>
        <w:rPr>
          <w:rFonts w:ascii="Arial" w:cs="Arial" w:eastAsia="Arial" w:hAnsi="Arial"/>
          <w:sz w:val="21"/>
          <w:szCs w:val="21"/>
          <w:b w:val="1"/>
          <w:bCs w:val="1"/>
          <w:color w:val="005CB9"/>
        </w:rPr>
      </w:pPr>
      <w:r>
        <w:rPr>
          <w:rFonts w:ascii="Arial" w:cs="Arial" w:eastAsia="Arial" w:hAnsi="Arial"/>
          <w:sz w:val="21"/>
          <w:szCs w:val="21"/>
          <w:b w:val="1"/>
          <w:bCs w:val="1"/>
          <w:color w:val="005CB9"/>
        </w:rPr>
        <w:t>How can I elect to receive future proxy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right="300"/>
        <w:spacing w:after="0" w:line="253" w:lineRule="auto"/>
        <w:rPr>
          <w:sz w:val="20"/>
          <w:szCs w:val="20"/>
          <w:color w:val="auto"/>
        </w:rPr>
      </w:pPr>
      <w:r>
        <w:rPr>
          <w:rFonts w:ascii="Arial" w:cs="Arial" w:eastAsia="Arial" w:hAnsi="Arial"/>
          <w:sz w:val="14"/>
          <w:szCs w:val="14"/>
          <w:color w:val="auto"/>
        </w:rPr>
        <w:t>If you are a shareholder of record and wish to request electronic delivery of our proxy materials in the future, please call our transfer agent at (877) 773-6772 (U.S. and Canada). If you choose to access our future proxy materials electronically, we will discontinue mailing our proxy materials to you beginning next year, and we will instead send you an email with instructions containing a link to the website where you can access our proxy materials and vote your shares on the Internet. You may discontinue electronic delivery at any time.</w:t>
      </w:r>
    </w:p>
    <w:p>
      <w:pPr>
        <w:spacing w:after="0" w:line="70" w:lineRule="exact"/>
        <w:rPr>
          <w:sz w:val="20"/>
          <w:szCs w:val="20"/>
          <w:color w:val="auto"/>
        </w:rPr>
      </w:pPr>
    </w:p>
    <w:p>
      <w:pPr>
        <w:jc w:val="both"/>
        <w:ind w:left="160" w:right="140"/>
        <w:spacing w:after="0" w:line="260" w:lineRule="auto"/>
        <w:rPr>
          <w:sz w:val="20"/>
          <w:szCs w:val="20"/>
          <w:color w:val="auto"/>
        </w:rPr>
      </w:pPr>
      <w:r>
        <w:rPr>
          <w:rFonts w:ascii="Arial" w:cs="Arial" w:eastAsia="Arial" w:hAnsi="Arial"/>
          <w:sz w:val="14"/>
          <w:szCs w:val="14"/>
          <w:color w:val="auto"/>
        </w:rPr>
        <w:t>If you are a beneficial owner of shares held by a bank, broker or other nominee and wish to receive electronic delivery of our proxy materials in the future, you may sign up for electronic delivery by visiting www.proxyvote.com and selecting “Delivery Settings” if your voting instruction form includes a 16-digit control number, or you should follow the instructions provided by your bank, broker or other nominee if your voting instruction form does not include a 16-digit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81280</wp:posOffset>
            </wp:positionV>
            <wp:extent cx="69297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96               </w:t>
      </w:r>
      <w:r>
        <w:rPr>
          <w:sz w:val="1"/>
          <w:szCs w:val="1"/>
          <w:color w:val="auto"/>
        </w:rPr>
        <w:drawing>
          <wp:inline distT="0" distB="0" distL="0" distR="0">
            <wp:extent cx="739140" cy="153035"/>
            <wp:effectExtent l="0" t="0" r="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80"/>
          </w:cols>
          <w:pgMar w:left="320" w:top="478"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7F7F7F"/>
        </w:rPr>
        <w:t>About the Annual Shareholders Meeting and Voting</w:t>
      </w:r>
    </w:p>
    <w:p>
      <w:pPr>
        <w:spacing w:after="0" w:line="126" w:lineRule="exact"/>
        <w:rPr>
          <w:sz w:val="20"/>
          <w:szCs w:val="20"/>
          <w:color w:val="auto"/>
        </w:rPr>
      </w:pPr>
    </w:p>
    <w:p>
      <w:pPr>
        <w:ind w:left="700" w:right="700" w:hanging="533"/>
        <w:spacing w:after="0" w:line="293" w:lineRule="auto"/>
        <w:tabs>
          <w:tab w:leader="none" w:pos="700" w:val="left"/>
        </w:tabs>
        <w:numPr>
          <w:ilvl w:val="0"/>
          <w:numId w:val="159"/>
        </w:numPr>
        <w:rPr>
          <w:rFonts w:ascii="Arial" w:cs="Arial" w:eastAsia="Arial" w:hAnsi="Arial"/>
          <w:sz w:val="21"/>
          <w:szCs w:val="21"/>
          <w:b w:val="1"/>
          <w:bCs w:val="1"/>
          <w:color w:val="005CB9"/>
        </w:rPr>
      </w:pPr>
      <w:r>
        <w:rPr>
          <w:rFonts w:ascii="Arial" w:cs="Arial" w:eastAsia="Arial" w:hAnsi="Arial"/>
          <w:sz w:val="21"/>
          <w:szCs w:val="21"/>
          <w:b w:val="1"/>
          <w:bCs w:val="1"/>
          <w:color w:val="005CB9"/>
        </w:rPr>
        <w:t>I share an address with another shareholder, and we received only one paper copy of the proxy materials. How may I obtain an additional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5" w:lineRule="exact"/>
        <w:rPr>
          <w:sz w:val="20"/>
          <w:szCs w:val="20"/>
          <w:color w:val="auto"/>
        </w:rPr>
      </w:pPr>
    </w:p>
    <w:p>
      <w:pPr>
        <w:ind w:left="160" w:right="500"/>
        <w:spacing w:after="0" w:line="260" w:lineRule="auto"/>
        <w:rPr>
          <w:sz w:val="20"/>
          <w:szCs w:val="20"/>
          <w:color w:val="auto"/>
        </w:rPr>
      </w:pPr>
      <w:r>
        <w:rPr>
          <w:rFonts w:ascii="Arial" w:cs="Arial" w:eastAsia="Arial" w:hAnsi="Arial"/>
          <w:sz w:val="14"/>
          <w:szCs w:val="14"/>
          <w:color w:val="auto"/>
        </w:rPr>
        <w:t>If you share an address with another shareholder, you may receive only one copy of our proxy materials unless you or the other shareholder have provided contrary instructions. If you are a shareholder of record and you wish to receive a separate copy of these materials, please request the additional copy by contacting our proxy solicitor, Sodali &amp; Co.,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132080</wp:posOffset>
            </wp:positionV>
            <wp:extent cx="339725" cy="33972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339" w:lineRule="exact"/>
        <w:rPr>
          <w:sz w:val="20"/>
          <w:szCs w:val="20"/>
          <w:color w:val="auto"/>
        </w:rPr>
      </w:pPr>
    </w:p>
    <w:p>
      <w:pPr>
        <w:ind w:left="940"/>
        <w:spacing w:after="0"/>
        <w:rPr>
          <w:sz w:val="20"/>
          <w:szCs w:val="20"/>
          <w:color w:val="auto"/>
        </w:rPr>
      </w:pPr>
      <w:r>
        <w:rPr>
          <w:rFonts w:ascii="Arial" w:cs="Arial" w:eastAsia="Arial" w:hAnsi="Arial"/>
          <w:sz w:val="14"/>
          <w:szCs w:val="14"/>
          <w:color w:val="auto"/>
        </w:rPr>
        <w:t>SRE.info@investor.sodali.com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226060</wp:posOffset>
            </wp:positionV>
            <wp:extent cx="339725" cy="33972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320" w:hanging="377"/>
        <w:spacing w:after="0"/>
        <w:tabs>
          <w:tab w:leader="none" w:pos="132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662-5200 (U.S. and Canada)</w:t>
      </w:r>
    </w:p>
    <w:p>
      <w:pPr>
        <w:spacing w:after="0" w:line="13" w:lineRule="exact"/>
        <w:rPr>
          <w:rFonts w:ascii="Arial" w:cs="Arial" w:eastAsia="Arial" w:hAnsi="Arial"/>
          <w:sz w:val="14"/>
          <w:szCs w:val="14"/>
          <w:color w:val="auto"/>
        </w:rPr>
      </w:pPr>
    </w:p>
    <w:p>
      <w:pPr>
        <w:ind w:left="940"/>
        <w:spacing w:after="0"/>
        <w:rPr>
          <w:rFonts w:ascii="Arial" w:cs="Arial" w:eastAsia="Arial" w:hAnsi="Arial"/>
          <w:sz w:val="14"/>
          <w:szCs w:val="14"/>
          <w:color w:val="auto"/>
        </w:rPr>
      </w:pPr>
      <w:r>
        <w:rPr>
          <w:rFonts w:ascii="Arial" w:cs="Arial" w:eastAsia="Arial" w:hAnsi="Arial"/>
          <w:sz w:val="14"/>
          <w:szCs w:val="14"/>
          <w:color w:val="auto"/>
        </w:rPr>
        <w:t>+1 (203) 658-9400 (International)</w:t>
      </w:r>
    </w:p>
    <w:p>
      <w:pPr>
        <w:spacing w:after="0" w:line="36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 separate copy of the materials will be sent promptly following receipt of your request.</w:t>
      </w:r>
    </w:p>
    <w:p>
      <w:pPr>
        <w:spacing w:after="0" w:line="106" w:lineRule="exact"/>
        <w:rPr>
          <w:sz w:val="20"/>
          <w:szCs w:val="20"/>
          <w:color w:val="auto"/>
        </w:rPr>
      </w:pPr>
    </w:p>
    <w:p>
      <w:pPr>
        <w:ind w:left="160" w:right="120"/>
        <w:spacing w:after="0" w:line="260" w:lineRule="auto"/>
        <w:rPr>
          <w:sz w:val="20"/>
          <w:szCs w:val="20"/>
          <w:color w:val="auto"/>
        </w:rPr>
      </w:pPr>
      <w:r>
        <w:rPr>
          <w:rFonts w:ascii="Arial" w:cs="Arial" w:eastAsia="Arial" w:hAnsi="Arial"/>
          <w:sz w:val="14"/>
          <w:szCs w:val="14"/>
          <w:color w:val="auto"/>
        </w:rPr>
        <w:t>If you are a shareholder of record and you wish to receive a separate copy of the proxy materials for our annual shareholders meetings in the future, or if you have received multiple copies of the proxy materials for the Annual Shareholders Meeting and you wish to receive only one copy in the future, please call or write to our Shareholder Services Department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132080</wp:posOffset>
            </wp:positionV>
            <wp:extent cx="339725" cy="33972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339" w:lineRule="exact"/>
        <w:rPr>
          <w:sz w:val="20"/>
          <w:szCs w:val="20"/>
          <w:color w:val="auto"/>
        </w:rPr>
      </w:pPr>
    </w:p>
    <w:p>
      <w:pPr>
        <w:ind w:left="940"/>
        <w:spacing w:after="0"/>
        <w:rPr>
          <w:sz w:val="20"/>
          <w:szCs w:val="20"/>
          <w:color w:val="auto"/>
        </w:rPr>
      </w:pPr>
      <w:r>
        <w:rPr>
          <w:rFonts w:ascii="Arial" w:cs="Arial" w:eastAsia="Arial" w:hAnsi="Arial"/>
          <w:sz w:val="14"/>
          <w:szCs w:val="14"/>
          <w:color w:val="auto"/>
        </w:rPr>
        <w:t>(877) 736-7727 (U.S. and Canada)</w:t>
      </w:r>
    </w:p>
    <w:p>
      <w:pPr>
        <w:spacing w:after="0" w:line="320" w:lineRule="exact"/>
        <w:rPr>
          <w:sz w:val="20"/>
          <w:szCs w:val="20"/>
          <w:color w:val="auto"/>
        </w:rPr>
      </w:pPr>
    </w:p>
    <w:p>
      <w:pPr>
        <w:ind w:left="940"/>
        <w:spacing w:after="0"/>
        <w:rPr>
          <w:sz w:val="20"/>
          <w:szCs w:val="20"/>
          <w:color w:val="auto"/>
        </w:rPr>
      </w:pPr>
      <w:r>
        <w:rPr>
          <w:rFonts w:ascii="Arial" w:cs="Arial" w:eastAsia="Arial" w:hAnsi="Arial"/>
          <w:sz w:val="14"/>
          <w:szCs w:val="14"/>
          <w:color w:val="auto"/>
        </w:rPr>
        <w:t>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339725" cy="2374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39725" cy="23749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4"/>
          <w:szCs w:val="14"/>
          <w:color w:val="auto"/>
        </w:rPr>
        <w:t>Attn: Shareholder Services</w:t>
      </w:r>
    </w:p>
    <w:p>
      <w:pPr>
        <w:ind w:left="940"/>
        <w:spacing w:after="0"/>
        <w:rPr>
          <w:sz w:val="20"/>
          <w:szCs w:val="20"/>
          <w:color w:val="auto"/>
        </w:rPr>
      </w:pPr>
      <w:r>
        <w:rPr>
          <w:rFonts w:ascii="Arial" w:cs="Arial" w:eastAsia="Arial" w:hAnsi="Arial"/>
          <w:sz w:val="14"/>
          <w:szCs w:val="14"/>
          <w:color w:val="auto"/>
        </w:rPr>
        <w:t>488 8th Avenue</w:t>
      </w:r>
    </w:p>
    <w:p>
      <w:pPr>
        <w:ind w:left="940"/>
        <w:spacing w:after="0"/>
        <w:rPr>
          <w:sz w:val="20"/>
          <w:szCs w:val="20"/>
          <w:color w:val="auto"/>
        </w:rPr>
      </w:pPr>
      <w:r>
        <w:rPr>
          <w:rFonts w:ascii="Arial" w:cs="Arial" w:eastAsia="Arial" w:hAnsi="Arial"/>
          <w:sz w:val="14"/>
          <w:szCs w:val="14"/>
          <w:color w:val="auto"/>
        </w:rPr>
        <w:t>San Diego, CA 92101</w:t>
      </w:r>
    </w:p>
    <w:p>
      <w:pPr>
        <w:spacing w:after="0" w:line="213" w:lineRule="exact"/>
        <w:rPr>
          <w:sz w:val="20"/>
          <w:szCs w:val="20"/>
          <w:color w:val="auto"/>
        </w:rPr>
      </w:pPr>
    </w:p>
    <w:p>
      <w:pPr>
        <w:ind w:left="160" w:right="60"/>
        <w:spacing w:after="0" w:line="281" w:lineRule="auto"/>
        <w:rPr>
          <w:sz w:val="20"/>
          <w:szCs w:val="20"/>
          <w:color w:val="auto"/>
        </w:rPr>
      </w:pPr>
      <w:r>
        <w:rPr>
          <w:rFonts w:ascii="Arial" w:cs="Arial" w:eastAsia="Arial" w:hAnsi="Arial"/>
          <w:sz w:val="14"/>
          <w:szCs w:val="14"/>
          <w:color w:val="auto"/>
        </w:rPr>
        <w:t>If you are a beneficial owner of shares held by a bank, broker or other nominee and you wish to receive a separate copy of these or our future proxy materials, or if you have received multiple copies of these proxy materials and you wish to receive only one copy in the future, please contact your bank, broker or other nominee directly.</w:t>
      </w:r>
    </w:p>
    <w:p>
      <w:pPr>
        <w:spacing w:after="0" w:line="166" w:lineRule="exact"/>
        <w:rPr>
          <w:sz w:val="20"/>
          <w:szCs w:val="20"/>
          <w:color w:val="auto"/>
        </w:rPr>
      </w:pPr>
    </w:p>
    <w:p>
      <w:pPr>
        <w:ind w:left="700" w:hanging="533"/>
        <w:spacing w:after="0"/>
        <w:tabs>
          <w:tab w:leader="none" w:pos="700" w:val="left"/>
        </w:tabs>
        <w:numPr>
          <w:ilvl w:val="0"/>
          <w:numId w:val="161"/>
        </w:numPr>
        <w:rPr>
          <w:rFonts w:ascii="Arial" w:cs="Arial" w:eastAsia="Arial" w:hAnsi="Arial"/>
          <w:sz w:val="21"/>
          <w:szCs w:val="21"/>
          <w:b w:val="1"/>
          <w:bCs w:val="1"/>
          <w:color w:val="005CB9"/>
        </w:rPr>
      </w:pPr>
      <w:r>
        <w:rPr>
          <w:rFonts w:ascii="Arial" w:cs="Arial" w:eastAsia="Arial" w:hAnsi="Arial"/>
          <w:sz w:val="21"/>
          <w:szCs w:val="21"/>
          <w:b w:val="1"/>
          <w:bCs w:val="1"/>
          <w:color w:val="005CB9"/>
        </w:rPr>
        <w:t>Who is making and paying for this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20"/>
        <w:spacing w:after="0" w:line="260" w:lineRule="auto"/>
        <w:rPr>
          <w:sz w:val="20"/>
          <w:szCs w:val="20"/>
          <w:color w:val="auto"/>
        </w:rPr>
      </w:pPr>
      <w:r>
        <w:rPr>
          <w:rFonts w:ascii="Arial" w:cs="Arial" w:eastAsia="Arial" w:hAnsi="Arial"/>
          <w:sz w:val="14"/>
          <w:szCs w:val="14"/>
          <w:color w:val="auto"/>
        </w:rPr>
        <w:t>Sempra is making this solicitation and will pay the entire cost of preparing, assembling, printing, mailing and distributing our proxy materials and soliciting proxies for the Annual Shareholders Meeting. We will reimburse brokerage houses and other custodians, nominees and fiduciaries for forwarding our proxy materials to beneficial owners of our shares.</w:t>
      </w:r>
    </w:p>
    <w:p>
      <w:pPr>
        <w:spacing w:after="0" w:line="65" w:lineRule="exact"/>
        <w:rPr>
          <w:sz w:val="20"/>
          <w:szCs w:val="20"/>
          <w:color w:val="auto"/>
        </w:rPr>
      </w:pPr>
    </w:p>
    <w:p>
      <w:pPr>
        <w:ind w:left="160"/>
        <w:spacing w:after="0" w:line="281" w:lineRule="auto"/>
        <w:rPr>
          <w:sz w:val="20"/>
          <w:szCs w:val="20"/>
          <w:color w:val="auto"/>
        </w:rPr>
      </w:pPr>
      <w:r>
        <w:rPr>
          <w:rFonts w:ascii="Arial" w:cs="Arial" w:eastAsia="Arial" w:hAnsi="Arial"/>
          <w:sz w:val="14"/>
          <w:szCs w:val="14"/>
          <w:color w:val="auto"/>
        </w:rPr>
        <w:t>Our directors, officers and employees may solicit proxies in person, by telephone or by electronic communication. They will not receive any additional compensation for these activities.</w:t>
      </w:r>
    </w:p>
    <w:p>
      <w:pPr>
        <w:spacing w:after="0" w:line="51" w:lineRule="exact"/>
        <w:rPr>
          <w:sz w:val="20"/>
          <w:szCs w:val="20"/>
          <w:color w:val="auto"/>
        </w:rPr>
      </w:pPr>
    </w:p>
    <w:p>
      <w:pPr>
        <w:ind w:left="160" w:right="460"/>
        <w:spacing w:after="0" w:line="281" w:lineRule="auto"/>
        <w:rPr>
          <w:sz w:val="20"/>
          <w:szCs w:val="20"/>
          <w:color w:val="auto"/>
        </w:rPr>
      </w:pPr>
      <w:r>
        <w:rPr>
          <w:rFonts w:ascii="Arial" w:cs="Arial" w:eastAsia="Arial" w:hAnsi="Arial"/>
          <w:sz w:val="14"/>
          <w:szCs w:val="14"/>
          <w:color w:val="auto"/>
        </w:rPr>
        <w:t>We also have engaged Sodali &amp; Co. to provide proxy solicitation services, including assisting us in distributing our proxy materials and soliciting proxies for the Annual Shareholders Meeting. We will pay a base fee of $27,500, plus customary costs and expenses, for these services.</w:t>
      </w:r>
    </w:p>
    <w:p>
      <w:pPr>
        <w:spacing w:after="0" w:line="166" w:lineRule="exact"/>
        <w:rPr>
          <w:sz w:val="20"/>
          <w:szCs w:val="20"/>
          <w:color w:val="auto"/>
        </w:rPr>
      </w:pPr>
    </w:p>
    <w:p>
      <w:pPr>
        <w:ind w:left="700" w:hanging="533"/>
        <w:spacing w:after="0"/>
        <w:tabs>
          <w:tab w:leader="none" w:pos="700" w:val="left"/>
        </w:tabs>
        <w:numPr>
          <w:ilvl w:val="0"/>
          <w:numId w:val="162"/>
        </w:numPr>
        <w:rPr>
          <w:rFonts w:ascii="Arial" w:cs="Arial" w:eastAsia="Arial" w:hAnsi="Arial"/>
          <w:sz w:val="21"/>
          <w:szCs w:val="21"/>
          <w:b w:val="1"/>
          <w:bCs w:val="1"/>
          <w:color w:val="005CB9"/>
        </w:rPr>
      </w:pPr>
      <w:r>
        <w:rPr>
          <w:rFonts w:ascii="Arial" w:cs="Arial" w:eastAsia="Arial" w:hAnsi="Arial"/>
          <w:sz w:val="21"/>
          <w:szCs w:val="21"/>
          <w:b w:val="1"/>
          <w:bCs w:val="1"/>
          <w:color w:val="005CB9"/>
        </w:rPr>
        <w:t>What is included in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Our proxy materials for the Annual Shareholders Meeting include:</w:t>
      </w:r>
    </w:p>
    <w:p>
      <w:pPr>
        <w:spacing w:after="0" w:line="120" w:lineRule="exact"/>
        <w:rPr>
          <w:sz w:val="20"/>
          <w:szCs w:val="20"/>
          <w:color w:val="auto"/>
        </w:rPr>
      </w:pPr>
    </w:p>
    <w:p>
      <w:pPr>
        <w:ind w:left="800" w:hanging="312"/>
        <w:spacing w:after="0"/>
        <w:tabs>
          <w:tab w:leader="none" w:pos="800" w:val="left"/>
        </w:tabs>
        <w:numPr>
          <w:ilvl w:val="0"/>
          <w:numId w:val="163"/>
        </w:numPr>
        <w:rPr>
          <w:rFonts w:ascii="Times New Roman" w:cs="Times New Roman" w:eastAsia="Times New Roman" w:hAnsi="Times New Roman"/>
          <w:sz w:val="14"/>
          <w:szCs w:val="14"/>
          <w:color w:val="005CB9"/>
        </w:rPr>
      </w:pPr>
      <w:r>
        <w:rPr>
          <w:rFonts w:ascii="Arial" w:cs="Arial" w:eastAsia="Arial" w:hAnsi="Arial"/>
          <w:sz w:val="14"/>
          <w:szCs w:val="14"/>
          <w:color w:val="auto"/>
        </w:rPr>
        <w:t>Our Notice of Annual Shareholders Meeting</w:t>
      </w:r>
    </w:p>
    <w:p>
      <w:pPr>
        <w:spacing w:after="0" w:line="119" w:lineRule="exact"/>
        <w:rPr>
          <w:rFonts w:ascii="Times New Roman" w:cs="Times New Roman" w:eastAsia="Times New Roman" w:hAnsi="Times New Roman"/>
          <w:sz w:val="14"/>
          <w:szCs w:val="14"/>
          <w:color w:val="005CB9"/>
        </w:rPr>
      </w:pPr>
    </w:p>
    <w:p>
      <w:pPr>
        <w:ind w:left="800" w:right="220" w:hanging="312"/>
        <w:spacing w:after="0" w:line="259" w:lineRule="auto"/>
        <w:tabs>
          <w:tab w:leader="none" w:pos="800" w:val="left"/>
        </w:tabs>
        <w:numPr>
          <w:ilvl w:val="0"/>
          <w:numId w:val="163"/>
        </w:numPr>
        <w:rPr>
          <w:rFonts w:ascii="Times New Roman" w:cs="Times New Roman" w:eastAsia="Times New Roman" w:hAnsi="Times New Roman"/>
          <w:sz w:val="14"/>
          <w:szCs w:val="14"/>
          <w:color w:val="005CB9"/>
        </w:rPr>
      </w:pPr>
      <w:r>
        <w:rPr>
          <w:rFonts w:ascii="Arial" w:cs="Arial" w:eastAsia="Arial" w:hAnsi="Arial"/>
          <w:sz w:val="14"/>
          <w:szCs w:val="14"/>
          <w:color w:val="auto"/>
        </w:rPr>
        <w:t>Our proxy statement for the Annual Shareholders Meeting, which contains descriptions of the proposals to be voted on at the Annual Shareholders Meeting, the voting process, our Board of Directors and board committees, our corporate governance practices, the compensation of our directors and certain executive officers, and other information</w:t>
      </w:r>
    </w:p>
    <w:p>
      <w:pPr>
        <w:spacing w:after="0" w:line="7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63"/>
        </w:numPr>
        <w:rPr>
          <w:rFonts w:ascii="Times New Roman" w:cs="Times New Roman" w:eastAsia="Times New Roman" w:hAnsi="Times New Roman"/>
          <w:sz w:val="14"/>
          <w:szCs w:val="14"/>
          <w:color w:val="005CB9"/>
        </w:rPr>
      </w:pPr>
      <w:r>
        <w:rPr>
          <w:rFonts w:ascii="Arial" w:cs="Arial" w:eastAsia="Arial" w:hAnsi="Arial"/>
          <w:sz w:val="14"/>
          <w:szCs w:val="14"/>
          <w:color w:val="auto"/>
        </w:rPr>
        <w:t>Our 2025 Annual Report to Shareholders, which includes our 2025 Form 10-K and certain additional information</w:t>
      </w:r>
    </w:p>
    <w:p>
      <w:pPr>
        <w:spacing w:after="0" w:line="106" w:lineRule="exact"/>
        <w:rPr>
          <w:sz w:val="20"/>
          <w:szCs w:val="20"/>
          <w:color w:val="auto"/>
        </w:rPr>
      </w:pPr>
    </w:p>
    <w:p>
      <w:pPr>
        <w:ind w:left="160" w:right="180"/>
        <w:spacing w:after="0" w:line="281" w:lineRule="auto"/>
        <w:rPr>
          <w:sz w:val="20"/>
          <w:szCs w:val="20"/>
          <w:color w:val="auto"/>
        </w:rPr>
      </w:pPr>
      <w:r>
        <w:rPr>
          <w:rFonts w:ascii="Arial" w:cs="Arial" w:eastAsia="Arial" w:hAnsi="Arial"/>
          <w:sz w:val="14"/>
          <w:szCs w:val="14"/>
          <w:color w:val="auto"/>
        </w:rPr>
        <w:t>If you received a paper copy of these materials by mail, our proxy materials also include a proxy card or voting instruction form. Otherwise, you received a notice about the Internet availability of our proxy materials, which includes instructions on how to access these materials on the Internet and submit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191135</wp:posOffset>
            </wp:positionV>
            <wp:extent cx="739140" cy="1530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97</w:t>
      </w:r>
    </w:p>
    <w:p>
      <w:pPr>
        <w:sectPr>
          <w:pgSz w:w="11900" w:h="16838" w:orient="portrait"/>
          <w:cols w:equalWidth="0" w:num="1">
            <w:col w:w="11080"/>
          </w:cols>
          <w:pgMar w:left="320" w:top="478"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About the Annual Shareholders Meeting and Voting</w:t>
      </w:r>
    </w:p>
    <w:p>
      <w:pPr>
        <w:spacing w:after="0" w:line="126" w:lineRule="exact"/>
        <w:rPr>
          <w:sz w:val="20"/>
          <w:szCs w:val="20"/>
          <w:color w:val="auto"/>
        </w:rPr>
      </w:pPr>
    </w:p>
    <w:p>
      <w:pPr>
        <w:ind w:left="700" w:hanging="533"/>
        <w:spacing w:after="0"/>
        <w:tabs>
          <w:tab w:leader="none" w:pos="700" w:val="left"/>
        </w:tabs>
        <w:numPr>
          <w:ilvl w:val="0"/>
          <w:numId w:val="164"/>
        </w:numPr>
        <w:rPr>
          <w:rFonts w:ascii="Arial" w:cs="Arial" w:eastAsia="Arial" w:hAnsi="Arial"/>
          <w:sz w:val="21"/>
          <w:szCs w:val="21"/>
          <w:b w:val="1"/>
          <w:bCs w:val="1"/>
          <w:color w:val="005CB9"/>
        </w:rPr>
      </w:pPr>
      <w:r>
        <w:rPr>
          <w:rFonts w:ascii="Arial" w:cs="Arial" w:eastAsia="Arial" w:hAnsi="Arial"/>
          <w:sz w:val="21"/>
          <w:szCs w:val="21"/>
          <w:b w:val="1"/>
          <w:bCs w:val="1"/>
          <w:color w:val="005CB9"/>
        </w:rPr>
        <w:t>How can I get copies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If you need a copy of our proxy materials for the Annual Shareholders Meeting, please contact our proxy solicitor by email, mail or phone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158750</wp:posOffset>
            </wp:positionV>
            <wp:extent cx="339725" cy="33972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381" w:lineRule="exact"/>
        <w:rPr>
          <w:sz w:val="20"/>
          <w:szCs w:val="20"/>
          <w:color w:val="auto"/>
        </w:rPr>
      </w:pPr>
    </w:p>
    <w:p>
      <w:pPr>
        <w:ind w:left="940"/>
        <w:spacing w:after="0"/>
        <w:rPr>
          <w:sz w:val="20"/>
          <w:szCs w:val="20"/>
          <w:color w:val="auto"/>
        </w:rPr>
      </w:pPr>
      <w:r>
        <w:rPr>
          <w:rFonts w:ascii="Arial" w:cs="Arial" w:eastAsia="Arial" w:hAnsi="Arial"/>
          <w:sz w:val="14"/>
          <w:szCs w:val="14"/>
          <w:color w:val="auto"/>
        </w:rPr>
        <w:t>SRE.info@investor.sodali.com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209550</wp:posOffset>
            </wp:positionV>
            <wp:extent cx="339725" cy="33972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394" w:lineRule="exact"/>
        <w:rPr>
          <w:sz w:val="20"/>
          <w:szCs w:val="20"/>
          <w:color w:val="auto"/>
        </w:rPr>
      </w:pPr>
    </w:p>
    <w:p>
      <w:pPr>
        <w:ind w:left="1320" w:hanging="377"/>
        <w:spacing w:after="0"/>
        <w:tabs>
          <w:tab w:leader="none" w:pos="13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662-5200 (U.S. and Canada)</w:t>
      </w:r>
    </w:p>
    <w:p>
      <w:pPr>
        <w:spacing w:after="0" w:line="13" w:lineRule="exact"/>
        <w:rPr>
          <w:rFonts w:ascii="Arial" w:cs="Arial" w:eastAsia="Arial" w:hAnsi="Arial"/>
          <w:sz w:val="14"/>
          <w:szCs w:val="14"/>
          <w:color w:val="auto"/>
        </w:rPr>
      </w:pPr>
    </w:p>
    <w:p>
      <w:pPr>
        <w:ind w:left="940"/>
        <w:spacing w:after="0"/>
        <w:rPr>
          <w:rFonts w:ascii="Arial" w:cs="Arial" w:eastAsia="Arial" w:hAnsi="Arial"/>
          <w:sz w:val="14"/>
          <w:szCs w:val="14"/>
          <w:color w:val="auto"/>
        </w:rPr>
      </w:pPr>
      <w:r>
        <w:rPr>
          <w:rFonts w:ascii="Arial" w:cs="Arial" w:eastAsia="Arial" w:hAnsi="Arial"/>
          <w:sz w:val="14"/>
          <w:szCs w:val="14"/>
          <w:color w:val="auto"/>
        </w:rPr>
        <w:t>+1 (203) 658-9400 (International)</w:t>
      </w:r>
    </w:p>
    <w:p>
      <w:pPr>
        <w:spacing w:after="0" w:line="213" w:lineRule="exact"/>
        <w:rPr>
          <w:sz w:val="20"/>
          <w:szCs w:val="20"/>
          <w:color w:val="auto"/>
        </w:rPr>
      </w:pPr>
    </w:p>
    <w:p>
      <w:pPr>
        <w:ind w:left="940"/>
        <w:spacing w:after="0"/>
        <w:rPr>
          <w:sz w:val="20"/>
          <w:szCs w:val="20"/>
          <w:color w:val="auto"/>
        </w:rPr>
      </w:pPr>
      <w:r>
        <w:rPr>
          <w:rFonts w:ascii="Arial" w:cs="Arial" w:eastAsia="Arial" w:hAnsi="Arial"/>
          <w:sz w:val="14"/>
          <w:szCs w:val="14"/>
          <w:color w:val="auto"/>
        </w:rPr>
        <w:t>Sodali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339725" cy="2374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39725" cy="23749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4"/>
          <w:szCs w:val="14"/>
          <w:color w:val="auto"/>
        </w:rPr>
        <w:t>333 Ludlow Street</w:t>
      </w:r>
    </w:p>
    <w:p>
      <w:pPr>
        <w:ind w:left="940"/>
        <w:spacing w:after="0"/>
        <w:rPr>
          <w:sz w:val="20"/>
          <w:szCs w:val="20"/>
          <w:color w:val="auto"/>
        </w:rPr>
      </w:pPr>
      <w:r>
        <w:rPr>
          <w:rFonts w:ascii="Arial" w:cs="Arial" w:eastAsia="Arial" w:hAnsi="Arial"/>
          <w:sz w:val="14"/>
          <w:szCs w:val="14"/>
          <w:color w:val="auto"/>
        </w:rPr>
        <w:t>5th Floor, South Tower</w:t>
      </w:r>
    </w:p>
    <w:p>
      <w:pPr>
        <w:ind w:left="940"/>
        <w:spacing w:after="0"/>
        <w:rPr>
          <w:sz w:val="20"/>
          <w:szCs w:val="20"/>
          <w:color w:val="auto"/>
        </w:rPr>
      </w:pPr>
      <w:r>
        <w:rPr>
          <w:rFonts w:ascii="Arial" w:cs="Arial" w:eastAsia="Arial" w:hAnsi="Arial"/>
          <w:sz w:val="14"/>
          <w:szCs w:val="14"/>
          <w:color w:val="auto"/>
        </w:rPr>
        <w:t>Stamford, CT 06902</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Shareholders also may write to or email us at the following addresses to request a copy of our proxy materials for the Annual Shareholders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158750</wp:posOffset>
            </wp:positionV>
            <wp:extent cx="339725" cy="33972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940"/>
        <w:spacing w:after="0"/>
        <w:rPr>
          <w:sz w:val="20"/>
          <w:szCs w:val="20"/>
          <w:color w:val="auto"/>
        </w:rPr>
      </w:pPr>
      <w:r>
        <w:rPr>
          <w:rFonts w:ascii="Arial" w:cs="Arial" w:eastAsia="Arial" w:hAnsi="Arial"/>
          <w:sz w:val="14"/>
          <w:szCs w:val="14"/>
          <w:color w:val="auto"/>
        </w:rPr>
        <w:t>Investor@sempra.com</w:t>
      </w:r>
    </w:p>
    <w:p>
      <w:pPr>
        <w:spacing w:after="0" w:line="294" w:lineRule="exact"/>
        <w:rPr>
          <w:sz w:val="20"/>
          <w:szCs w:val="20"/>
          <w:color w:val="auto"/>
        </w:rPr>
      </w:pPr>
    </w:p>
    <w:p>
      <w:pPr>
        <w:ind w:left="940"/>
        <w:spacing w:after="0"/>
        <w:rPr>
          <w:sz w:val="20"/>
          <w:szCs w:val="20"/>
          <w:color w:val="auto"/>
        </w:rPr>
      </w:pPr>
      <w:r>
        <w:rPr>
          <w:rFonts w:ascii="Arial" w:cs="Arial" w:eastAsia="Arial" w:hAnsi="Arial"/>
          <w:sz w:val="14"/>
          <w:szCs w:val="14"/>
          <w:color w:val="auto"/>
        </w:rPr>
        <w:t>Attn: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339725" cy="2374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39725" cy="23749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4"/>
          <w:szCs w:val="14"/>
          <w:color w:val="auto"/>
        </w:rPr>
        <w:t>Sempra</w:t>
      </w:r>
    </w:p>
    <w:p>
      <w:pPr>
        <w:ind w:left="940"/>
        <w:spacing w:after="0"/>
        <w:rPr>
          <w:sz w:val="20"/>
          <w:szCs w:val="20"/>
          <w:color w:val="auto"/>
        </w:rPr>
      </w:pPr>
      <w:r>
        <w:rPr>
          <w:rFonts w:ascii="Arial" w:cs="Arial" w:eastAsia="Arial" w:hAnsi="Arial"/>
          <w:sz w:val="14"/>
          <w:szCs w:val="14"/>
          <w:color w:val="auto"/>
        </w:rPr>
        <w:t>488 8th Avenue</w:t>
      </w:r>
    </w:p>
    <w:p>
      <w:pPr>
        <w:ind w:left="940"/>
        <w:spacing w:after="0"/>
        <w:rPr>
          <w:sz w:val="20"/>
          <w:szCs w:val="20"/>
          <w:color w:val="auto"/>
        </w:rPr>
      </w:pPr>
      <w:r>
        <w:rPr>
          <w:rFonts w:ascii="Arial" w:cs="Arial" w:eastAsia="Arial" w:hAnsi="Arial"/>
          <w:sz w:val="14"/>
          <w:szCs w:val="14"/>
          <w:color w:val="auto"/>
        </w:rPr>
        <w:t>San Diego, CA 92101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98               </w:t>
      </w:r>
      <w:r>
        <w:rPr>
          <w:sz w:val="1"/>
          <w:szCs w:val="1"/>
          <w:color w:val="auto"/>
        </w:rPr>
        <w:drawing>
          <wp:inline distT="0" distB="0" distL="0" distR="0">
            <wp:extent cx="739140" cy="153035"/>
            <wp:effectExtent l="0" t="0" r="0" b="0"/>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0139"/>
          </w:cols>
          <w:pgMar w:left="320" w:top="478"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right="760"/>
        <w:spacing w:after="0" w:line="269" w:lineRule="auto"/>
        <w:rPr>
          <w:sz w:val="20"/>
          <w:szCs w:val="20"/>
          <w:color w:val="auto"/>
        </w:rPr>
      </w:pPr>
      <w:r>
        <w:rPr>
          <w:rFonts w:ascii="Arial" w:cs="Arial" w:eastAsia="Arial" w:hAnsi="Arial"/>
          <w:sz w:val="45"/>
          <w:szCs w:val="45"/>
          <w:color w:val="001689"/>
        </w:rPr>
        <w:t>Information About 2027 Shareholder Proposals and Director Nominations</w:t>
      </w:r>
    </w:p>
    <w:p>
      <w:pPr>
        <w:spacing w:after="0" w:line="115" w:lineRule="exact"/>
        <w:rPr>
          <w:sz w:val="20"/>
          <w:szCs w:val="20"/>
          <w:color w:val="auto"/>
        </w:rPr>
      </w:pPr>
    </w:p>
    <w:p>
      <w:pPr>
        <w:ind w:left="700" w:right="940" w:hanging="533"/>
        <w:spacing w:after="0" w:line="293" w:lineRule="auto"/>
        <w:tabs>
          <w:tab w:leader="none" w:pos="700" w:val="left"/>
        </w:tabs>
        <w:numPr>
          <w:ilvl w:val="0"/>
          <w:numId w:val="166"/>
        </w:numPr>
        <w:rPr>
          <w:rFonts w:ascii="Arial" w:cs="Arial" w:eastAsia="Arial" w:hAnsi="Arial"/>
          <w:sz w:val="21"/>
          <w:szCs w:val="21"/>
          <w:b w:val="1"/>
          <w:bCs w:val="1"/>
          <w:color w:val="005CB9"/>
        </w:rPr>
      </w:pPr>
      <w:r>
        <w:rPr>
          <w:rFonts w:ascii="Arial" w:cs="Arial" w:eastAsia="Arial" w:hAnsi="Arial"/>
          <w:sz w:val="21"/>
          <w:szCs w:val="21"/>
          <w:b w:val="1"/>
          <w:bCs w:val="1"/>
          <w:color w:val="005CB9"/>
        </w:rPr>
        <w:t>How can shareholders submit proposals to be included in our proxy materials for our annual shareholders meeting in 2027? What is the deadline for submitting any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8890</wp:posOffset>
            </wp:positionV>
            <wp:extent cx="69297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5" w:lineRule="exact"/>
        <w:rPr>
          <w:sz w:val="20"/>
          <w:szCs w:val="20"/>
          <w:color w:val="auto"/>
        </w:rPr>
      </w:pPr>
    </w:p>
    <w:p>
      <w:pPr>
        <w:ind w:left="160" w:right="100"/>
        <w:spacing w:after="0" w:line="260" w:lineRule="auto"/>
        <w:rPr>
          <w:sz w:val="20"/>
          <w:szCs w:val="20"/>
          <w:color w:val="auto"/>
        </w:rPr>
      </w:pPr>
      <w:r>
        <w:rPr>
          <w:rFonts w:ascii="Arial" w:cs="Arial" w:eastAsia="Arial" w:hAnsi="Arial"/>
          <w:sz w:val="14"/>
          <w:szCs w:val="14"/>
          <w:color w:val="auto"/>
        </w:rPr>
        <w:t>Shareholders who desire to submit proposals to be included in our proxy materials for our annual shareholders meeting in 2027 must meet the eligibility requirements of the SEC’s shareholder proposal rule (Rule 14a-8 under the Exchange Act), and their proposals must comply with the requirements of this rule and the requirements and deadlines described below.</w:t>
      </w:r>
    </w:p>
    <w:p>
      <w:pPr>
        <w:spacing w:after="0" w:line="65" w:lineRule="exact"/>
        <w:rPr>
          <w:sz w:val="20"/>
          <w:szCs w:val="20"/>
          <w:color w:val="auto"/>
        </w:rPr>
      </w:pPr>
    </w:p>
    <w:p>
      <w:pPr>
        <w:ind w:left="160" w:right="120"/>
        <w:spacing w:after="0" w:line="281" w:lineRule="auto"/>
        <w:rPr>
          <w:sz w:val="20"/>
          <w:szCs w:val="20"/>
          <w:color w:val="auto"/>
        </w:rPr>
      </w:pPr>
      <w:r>
        <w:rPr>
          <w:rFonts w:ascii="Arial" w:cs="Arial" w:eastAsia="Arial" w:hAnsi="Arial"/>
          <w:sz w:val="14"/>
          <w:szCs w:val="14"/>
          <w:color w:val="auto"/>
        </w:rPr>
        <w:t>Shareholder proposals that are intended to be included in our proxy materials for our annual shareholders meeting in 2027 must be received by our Corporate Secretary no later than 5:00 p.m. Pacific Time on November 27, 2026, and must be submitted to the following address:</w:t>
      </w:r>
    </w:p>
    <w:p>
      <w:pPr>
        <w:spacing w:after="0" w:line="64" w:lineRule="exact"/>
        <w:rPr>
          <w:sz w:val="20"/>
          <w:szCs w:val="20"/>
          <w:color w:val="auto"/>
        </w:rPr>
      </w:pPr>
    </w:p>
    <w:p>
      <w:pPr>
        <w:ind w:left="940"/>
        <w:spacing w:after="0"/>
        <w:rPr>
          <w:sz w:val="20"/>
          <w:szCs w:val="20"/>
          <w:color w:val="auto"/>
        </w:rPr>
      </w:pPr>
      <w:r>
        <w:rPr>
          <w:rFonts w:ascii="Arial" w:cs="Arial" w:eastAsia="Arial" w:hAnsi="Arial"/>
          <w:sz w:val="14"/>
          <w:szCs w:val="14"/>
          <w:color w:val="auto"/>
        </w:rPr>
        <w:t>Attn: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339725" cy="2374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9725" cy="23749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4"/>
          <w:szCs w:val="14"/>
          <w:color w:val="auto"/>
        </w:rPr>
        <w:t>Sempra</w:t>
      </w:r>
    </w:p>
    <w:p>
      <w:pPr>
        <w:ind w:left="940"/>
        <w:spacing w:after="0"/>
        <w:rPr>
          <w:sz w:val="20"/>
          <w:szCs w:val="20"/>
          <w:color w:val="auto"/>
        </w:rPr>
      </w:pPr>
      <w:r>
        <w:rPr>
          <w:rFonts w:ascii="Arial" w:cs="Arial" w:eastAsia="Arial" w:hAnsi="Arial"/>
          <w:sz w:val="14"/>
          <w:szCs w:val="14"/>
          <w:color w:val="auto"/>
        </w:rPr>
        <w:t>488 8th Avenue</w:t>
      </w:r>
    </w:p>
    <w:p>
      <w:pPr>
        <w:ind w:left="940"/>
        <w:spacing w:after="0"/>
        <w:rPr>
          <w:sz w:val="20"/>
          <w:szCs w:val="20"/>
          <w:color w:val="auto"/>
        </w:rPr>
      </w:pPr>
      <w:r>
        <w:rPr>
          <w:rFonts w:ascii="Arial" w:cs="Arial" w:eastAsia="Arial" w:hAnsi="Arial"/>
          <w:sz w:val="14"/>
          <w:szCs w:val="14"/>
          <w:color w:val="auto"/>
        </w:rPr>
        <w:t>San Diego, CA 92101</w:t>
      </w:r>
    </w:p>
    <w:p>
      <w:pPr>
        <w:spacing w:after="0" w:line="106" w:lineRule="exact"/>
        <w:rPr>
          <w:sz w:val="20"/>
          <w:szCs w:val="20"/>
          <w:color w:val="auto"/>
        </w:rPr>
      </w:pPr>
    </w:p>
    <w:p>
      <w:pPr>
        <w:ind w:left="160" w:right="60"/>
        <w:spacing w:after="0" w:line="281" w:lineRule="auto"/>
        <w:rPr>
          <w:sz w:val="20"/>
          <w:szCs w:val="20"/>
          <w:color w:val="auto"/>
        </w:rPr>
      </w:pPr>
      <w:r>
        <w:rPr>
          <w:rFonts w:ascii="Arial" w:cs="Arial" w:eastAsia="Arial" w:hAnsi="Arial"/>
          <w:sz w:val="14"/>
          <w:szCs w:val="14"/>
          <w:color w:val="auto"/>
        </w:rPr>
        <w:t>Proposals that are not timely submitted or are submitted to the incorrect address or other than to the attention of our Corporate Secretary may, at our discretion, be excluded from our proxy materials.</w:t>
      </w:r>
    </w:p>
    <w:p>
      <w:pPr>
        <w:spacing w:after="0" w:line="51" w:lineRule="exact"/>
        <w:rPr>
          <w:sz w:val="20"/>
          <w:szCs w:val="20"/>
          <w:color w:val="auto"/>
        </w:rPr>
      </w:pPr>
    </w:p>
    <w:p>
      <w:pPr>
        <w:ind w:left="160" w:right="120"/>
        <w:spacing w:after="0" w:line="253" w:lineRule="auto"/>
        <w:rPr>
          <w:sz w:val="20"/>
          <w:szCs w:val="20"/>
          <w:color w:val="auto"/>
        </w:rPr>
      </w:pPr>
      <w:r>
        <w:rPr>
          <w:rFonts w:ascii="Arial" w:cs="Arial" w:eastAsia="Arial" w:hAnsi="Arial"/>
          <w:sz w:val="14"/>
          <w:szCs w:val="14"/>
          <w:color w:val="auto"/>
        </w:rPr>
        <w:t>Question 32 below describes the procedures set forth in our proxy access bylaw provisions by which shareholders may nominate and include director candidates in our proxy statement for our annual shareholders meeting in 2027, and the related deadlines for submission. Question 33 below describes the procedures set forth in our advance notice bylaw provisions by which shareholders may nominate director candidates or present other items of business directly at our annual shareholders meeting in 2027 (meaning that such matters would not be included in our proxy statement), and the related deadlines for submission.</w:t>
      </w:r>
    </w:p>
    <w:p>
      <w:pPr>
        <w:spacing w:after="0" w:line="185" w:lineRule="exact"/>
        <w:rPr>
          <w:sz w:val="20"/>
          <w:szCs w:val="20"/>
          <w:color w:val="auto"/>
        </w:rPr>
      </w:pPr>
    </w:p>
    <w:p>
      <w:pPr>
        <w:ind w:left="700" w:right="420" w:hanging="533"/>
        <w:spacing w:after="0" w:line="293" w:lineRule="auto"/>
        <w:tabs>
          <w:tab w:leader="none" w:pos="700" w:val="left"/>
        </w:tabs>
        <w:numPr>
          <w:ilvl w:val="0"/>
          <w:numId w:val="167"/>
        </w:numPr>
        <w:rPr>
          <w:rFonts w:ascii="Arial" w:cs="Arial" w:eastAsia="Arial" w:hAnsi="Arial"/>
          <w:sz w:val="21"/>
          <w:szCs w:val="21"/>
          <w:b w:val="1"/>
          <w:bCs w:val="1"/>
          <w:color w:val="005CB9"/>
        </w:rPr>
      </w:pPr>
      <w:r>
        <w:rPr>
          <w:rFonts w:ascii="Arial" w:cs="Arial" w:eastAsia="Arial" w:hAnsi="Arial"/>
          <w:sz w:val="21"/>
          <w:szCs w:val="21"/>
          <w:b w:val="1"/>
          <w:bCs w:val="1"/>
          <w:color w:val="005CB9"/>
        </w:rPr>
        <w:t>How may shareholders nominate and include director candidates in our proxy statement for our annual shareholders meeting in 2027? What is the deadline for submitting any such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wp:posOffset>
            </wp:positionV>
            <wp:extent cx="69297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8" w:lineRule="exact"/>
        <w:rPr>
          <w:sz w:val="20"/>
          <w:szCs w:val="20"/>
          <w:color w:val="auto"/>
        </w:rPr>
      </w:pPr>
    </w:p>
    <w:p>
      <w:pPr>
        <w:ind w:left="160" w:right="560"/>
        <w:spacing w:after="0" w:line="281" w:lineRule="auto"/>
        <w:rPr>
          <w:sz w:val="20"/>
          <w:szCs w:val="20"/>
          <w:color w:val="auto"/>
        </w:rPr>
      </w:pPr>
      <w:r>
        <w:rPr>
          <w:rFonts w:ascii="Arial" w:cs="Arial" w:eastAsia="Arial" w:hAnsi="Arial"/>
          <w:sz w:val="14"/>
          <w:szCs w:val="14"/>
          <w:color w:val="auto"/>
        </w:rPr>
        <w:t>Shareholders who wish to submit director nominees for inclusion in our proxy statement for our annual shareholders meeting in 2027 must give written notice of their intention to do so in accordance with the requirements and deadlines described below.</w:t>
      </w:r>
    </w:p>
    <w:p>
      <w:pPr>
        <w:spacing w:after="0" w:line="51" w:lineRule="exact"/>
        <w:rPr>
          <w:sz w:val="20"/>
          <w:szCs w:val="20"/>
          <w:color w:val="auto"/>
        </w:rPr>
      </w:pPr>
    </w:p>
    <w:p>
      <w:pPr>
        <w:ind w:left="160" w:right="100"/>
        <w:spacing w:after="0" w:line="243" w:lineRule="auto"/>
        <w:rPr>
          <w:sz w:val="20"/>
          <w:szCs w:val="20"/>
          <w:color w:val="auto"/>
        </w:rPr>
      </w:pPr>
      <w:r>
        <w:rPr>
          <w:rFonts w:ascii="Arial" w:cs="Arial" w:eastAsia="Arial" w:hAnsi="Arial"/>
          <w:sz w:val="14"/>
          <w:szCs w:val="14"/>
          <w:color w:val="auto"/>
        </w:rPr>
        <w:t>Our bylaws provide a shareholder, or a group of no more than 20 shareholders, who has continuously owned at least 3% of our outstanding shares entitled to vote in the election of directors for at least three years, the ability to nominate and include in our proxy statement up to the greater of two directors or 20% of the number of the company’s directors then in office, if the shareholder(s) and the nominee(s) satisfy the requirements specified in our bylaws. Notice of director nominees submitted under these proxy access provisions must be received at least 120 days but not more than 150 days before the first anniversary of the date the definitive proxy statement was first sent to shareholders in connection with our last annual shareholders meeting. The period for our receipt from shareholders of any such notice for our 2027 annual shareholders meeting will begin at 8:00 a.m. Pacific Time on October 28, 2026, and end at 5:00 p.m. Pacific Time on November 27, 2026. Any such notice must include the information required by our proxy access bylaw provisions (which may be obtained as provided in Question 35 below) and also must be updated and supplemented as required by these bylaw provisions. Any such notice must be timely delivered in writing to the attention of our Corporate Secretary at Sempra’s principal executive offices at 488 8th Avenue, San Diego, California 92101. We will not include any shareholder-submitted director nominees in our proxy statement for our annual shareholders meeting in 2027 that do not meet the requirements set forth in our bylaws.</w:t>
      </w:r>
    </w:p>
    <w:p>
      <w:pPr>
        <w:spacing w:after="0" w:line="82" w:lineRule="exact"/>
        <w:rPr>
          <w:sz w:val="20"/>
          <w:szCs w:val="20"/>
          <w:color w:val="auto"/>
        </w:rPr>
      </w:pPr>
    </w:p>
    <w:p>
      <w:pPr>
        <w:ind w:left="160" w:right="120"/>
        <w:spacing w:after="0" w:line="249" w:lineRule="auto"/>
        <w:rPr>
          <w:sz w:val="20"/>
          <w:szCs w:val="20"/>
          <w:color w:val="auto"/>
        </w:rPr>
      </w:pPr>
      <w:r>
        <w:rPr>
          <w:rFonts w:ascii="Arial" w:cs="Arial" w:eastAsia="Arial" w:hAnsi="Arial"/>
          <w:sz w:val="14"/>
          <w:szCs w:val="14"/>
          <w:color w:val="auto"/>
        </w:rPr>
        <w:t>These requirements applicable under our proxy access bylaw provisions do not apply to shareholder proposals intended for inclusion in our proxy materials for our annual shareholders meeting in 2027 under SEC Rule 14a-8. The requirements and the deadline for submitting those proposals are set forth in Question 31 above. In addition, the requirements applicable under our proxy access bylaw provisions do not apply to shareholder proposals or director nominations to be presented directly at our annual shareholders meeting in 2027 (meaning that such matters would not be included in our proxy statement), the procedures and deadlines for which are described in Question 33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197485</wp:posOffset>
            </wp:positionV>
            <wp:extent cx="739140" cy="1530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39140" cy="15303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99</w:t>
      </w:r>
    </w:p>
    <w:p>
      <w:pPr>
        <w:sectPr>
          <w:pgSz w:w="11900" w:h="16838" w:orient="portrait"/>
          <w:cols w:equalWidth="0" w:num="1">
            <w:col w:w="11080"/>
          </w:cols>
          <w:pgMar w:left="320" w:top="478"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7F7F7F"/>
        </w:rPr>
        <w:t>Information About 2027 Shareholder Proposals and Director Nominations</w:t>
      </w:r>
    </w:p>
    <w:p>
      <w:pPr>
        <w:spacing w:after="0" w:line="126" w:lineRule="exact"/>
        <w:rPr>
          <w:sz w:val="20"/>
          <w:szCs w:val="20"/>
          <w:color w:val="auto"/>
        </w:rPr>
      </w:pPr>
    </w:p>
    <w:p>
      <w:pPr>
        <w:ind w:left="700" w:hanging="533"/>
        <w:spacing w:after="0" w:line="266" w:lineRule="auto"/>
        <w:tabs>
          <w:tab w:leader="none" w:pos="700" w:val="left"/>
        </w:tabs>
        <w:numPr>
          <w:ilvl w:val="0"/>
          <w:numId w:val="168"/>
        </w:numPr>
        <w:rPr>
          <w:rFonts w:ascii="Arial" w:cs="Arial" w:eastAsia="Arial" w:hAnsi="Arial"/>
          <w:sz w:val="21"/>
          <w:szCs w:val="21"/>
          <w:b w:val="1"/>
          <w:bCs w:val="1"/>
          <w:color w:val="005CB9"/>
        </w:rPr>
      </w:pPr>
      <w:r>
        <w:rPr>
          <w:rFonts w:ascii="Arial" w:cs="Arial" w:eastAsia="Arial" w:hAnsi="Arial"/>
          <w:sz w:val="21"/>
          <w:szCs w:val="21"/>
          <w:b w:val="1"/>
          <w:bCs w:val="1"/>
          <w:color w:val="005CB9"/>
        </w:rPr>
        <w:t>How may shareholders present director candidates or other items of business for consideration at our annual shareholders meeting in 2027 (if they are not seeking to include such matters in our proxy statement for the meeting)? What is the deadline for submitting any such nominations or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32" w:lineRule="exact"/>
        <w:rPr>
          <w:sz w:val="20"/>
          <w:szCs w:val="20"/>
          <w:color w:val="auto"/>
        </w:rPr>
      </w:pPr>
    </w:p>
    <w:p>
      <w:pPr>
        <w:ind w:left="160" w:right="200"/>
        <w:spacing w:after="0" w:line="260" w:lineRule="auto"/>
        <w:rPr>
          <w:sz w:val="20"/>
          <w:szCs w:val="20"/>
          <w:color w:val="auto"/>
        </w:rPr>
      </w:pPr>
      <w:r>
        <w:rPr>
          <w:rFonts w:ascii="Arial" w:cs="Arial" w:eastAsia="Arial" w:hAnsi="Arial"/>
          <w:sz w:val="14"/>
          <w:szCs w:val="14"/>
          <w:color w:val="auto"/>
        </w:rPr>
        <w:t>Shareholders who wish to nominate director candidates (outside of our proxy access bylaw provisions) or present other items of business (outside of the SEC Rule 14a-8 process) directly at our annual shareholders meeting in 2027, meaning that such matters would not be included in our proxy statement, must give written notice of their intention to do so in accordance with the requirements and deadlines described below.</w:t>
      </w:r>
    </w:p>
    <w:p>
      <w:pPr>
        <w:spacing w:after="0" w:line="65" w:lineRule="exact"/>
        <w:rPr>
          <w:sz w:val="20"/>
          <w:szCs w:val="20"/>
          <w:color w:val="auto"/>
        </w:rPr>
      </w:pPr>
    </w:p>
    <w:p>
      <w:pPr>
        <w:ind w:left="160" w:right="180"/>
        <w:spacing w:after="0" w:line="245" w:lineRule="auto"/>
        <w:rPr>
          <w:sz w:val="20"/>
          <w:szCs w:val="20"/>
          <w:color w:val="auto"/>
        </w:rPr>
      </w:pPr>
      <w:r>
        <w:rPr>
          <w:rFonts w:ascii="Arial" w:cs="Arial" w:eastAsia="Arial" w:hAnsi="Arial"/>
          <w:sz w:val="14"/>
          <w:szCs w:val="14"/>
          <w:color w:val="auto"/>
        </w:rPr>
        <w:t>For any director nominations or proposed items of business that are submitted by shareholders and are not intended to be included in our proxy statement for our annual shareholders meeting in 2027, we must receive notice thereof at least 90 days but not more than 120 days before the first anniversary of the date of our last annual shareholders meeting. The period for our receipt from shareholders of any such notice for our 2027 annual shareholders meeting will begin at 8:00 a.m. Pacific Time on January 12, 2027, and end at 5:00 p.m. Pacific Time on February 11, 2027. Any such notice must include the information required by our advance notice bylaw provisions (which include the related universal proxy rule requirements of SEC Rule 14a-19 and may be obtained as provided in Question 35 below) and also must be updated and supplemented as required by these bylaw provisions. Any such notice must be timely delivered in writing to the attention of our Corporate Secretary at Sempra’s principal executive offices at 488 8th Avenue, San Diego, California 92101. We will not entertain any director nominations or other proposals from our shareholders at our annual shareholders meeting in 2027 that do not meet the requirements set forth in our bylaws.</w:t>
      </w:r>
    </w:p>
    <w:p>
      <w:pPr>
        <w:spacing w:after="0" w:line="76" w:lineRule="exact"/>
        <w:rPr>
          <w:sz w:val="20"/>
          <w:szCs w:val="20"/>
          <w:color w:val="auto"/>
        </w:rPr>
      </w:pPr>
    </w:p>
    <w:p>
      <w:pPr>
        <w:ind w:left="160" w:right="40"/>
        <w:spacing w:after="0" w:line="249" w:lineRule="auto"/>
        <w:rPr>
          <w:sz w:val="20"/>
          <w:szCs w:val="20"/>
          <w:color w:val="auto"/>
        </w:rPr>
      </w:pPr>
      <w:r>
        <w:rPr>
          <w:rFonts w:ascii="Arial" w:cs="Arial" w:eastAsia="Arial" w:hAnsi="Arial"/>
          <w:sz w:val="14"/>
          <w:szCs w:val="14"/>
          <w:color w:val="auto"/>
        </w:rPr>
        <w:t>These requirements in our advance notice bylaw provisions (which include the related universal proxy rule requirements) do not apply to shareholder proposals intended for inclusion in our proxy materials for our annual shareholders meeting in 2027 under SEC Rule 14a-8. The requirements and the deadline for submitting those proposals are set forth in Question 31 above. In addition, the requirements in our advance notice bylaw provisions (which include the related universal proxy rule requirements) do not apply to shareholder nominations of director candidates that are intended to be included in our proxy statement for our annual shareholders meeting in 2027 pursuant to our proxy access bylaw provisions, the procedures and deadlines for which are described in Question 32 above.</w:t>
      </w:r>
    </w:p>
    <w:p>
      <w:pPr>
        <w:spacing w:after="0" w:line="74" w:lineRule="exact"/>
        <w:rPr>
          <w:sz w:val="20"/>
          <w:szCs w:val="20"/>
          <w:color w:val="auto"/>
        </w:rPr>
      </w:pPr>
    </w:p>
    <w:p>
      <w:pPr>
        <w:ind w:left="160" w:right="280"/>
        <w:spacing w:after="0" w:line="281" w:lineRule="auto"/>
        <w:rPr>
          <w:sz w:val="20"/>
          <w:szCs w:val="20"/>
          <w:color w:val="auto"/>
        </w:rPr>
      </w:pPr>
      <w:r>
        <w:rPr>
          <w:rFonts w:ascii="Arial" w:cs="Arial" w:eastAsia="Arial" w:hAnsi="Arial"/>
          <w:sz w:val="14"/>
          <w:szCs w:val="14"/>
          <w:color w:val="auto"/>
        </w:rPr>
        <w:t>None of the advance notice requirements described in this Question 33 or in Questions 31 or 32 above apply to questions that a shareholder may wish to submit at or in advance of the Annual Shareholders Meeting, the procedure for which is described in Question 3 under “About the Annual Shareholders Meeting and Voting” above.</w:t>
      </w:r>
    </w:p>
    <w:p>
      <w:pPr>
        <w:spacing w:after="0" w:line="166" w:lineRule="exact"/>
        <w:rPr>
          <w:sz w:val="20"/>
          <w:szCs w:val="20"/>
          <w:color w:val="auto"/>
        </w:rPr>
      </w:pPr>
    </w:p>
    <w:p>
      <w:pPr>
        <w:ind w:left="700" w:right="220" w:hanging="533"/>
        <w:spacing w:after="0" w:line="293" w:lineRule="auto"/>
        <w:tabs>
          <w:tab w:leader="none" w:pos="700" w:val="left"/>
        </w:tabs>
        <w:numPr>
          <w:ilvl w:val="0"/>
          <w:numId w:val="169"/>
        </w:numPr>
        <w:rPr>
          <w:rFonts w:ascii="Arial" w:cs="Arial" w:eastAsia="Arial" w:hAnsi="Arial"/>
          <w:sz w:val="21"/>
          <w:szCs w:val="21"/>
          <w:b w:val="1"/>
          <w:bCs w:val="1"/>
          <w:color w:val="005CB9"/>
        </w:rPr>
      </w:pPr>
      <w:r>
        <w:rPr>
          <w:rFonts w:ascii="Arial" w:cs="Arial" w:eastAsia="Arial" w:hAnsi="Arial"/>
          <w:sz w:val="21"/>
          <w:szCs w:val="21"/>
          <w:b w:val="1"/>
          <w:bCs w:val="1"/>
          <w:color w:val="005CB9"/>
        </w:rPr>
        <w:t>May shareholders recommend director candidates to be considered for nomination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17145</wp:posOffset>
            </wp:positionV>
            <wp:extent cx="69297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18" w:lineRule="exact"/>
        <w:rPr>
          <w:sz w:val="20"/>
          <w:szCs w:val="20"/>
          <w:color w:val="auto"/>
        </w:rPr>
      </w:pPr>
    </w:p>
    <w:p>
      <w:pPr>
        <w:ind w:left="160" w:right="140"/>
        <w:spacing w:after="0" w:line="249" w:lineRule="auto"/>
        <w:rPr>
          <w:sz w:val="20"/>
          <w:szCs w:val="20"/>
          <w:color w:val="auto"/>
        </w:rPr>
      </w:pPr>
      <w:r>
        <w:rPr>
          <w:rFonts w:ascii="Arial" w:cs="Arial" w:eastAsia="Arial" w:hAnsi="Arial"/>
          <w:sz w:val="14"/>
          <w:szCs w:val="14"/>
          <w:color w:val="auto"/>
        </w:rPr>
        <w:t>Shareholders may recommend director candidates for consideration by the Corporate Governance Committee of our Board of Directors by writing to the attention of our Corporate Secretary at Sempra’s principal executive offices at 488 8th Avenue, San Diego, California 92101. Any such recommendation must be accompanied by a statement from the proposed candidate that he or she would give favorable consideration to serving on the board and should include sufficient biographical and other information about the proposed candidate and his or her qualifications and experience to permit the Corporate Governance Committee to make an informed decision as to whether further consideration of the candidate would be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69297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100                </w:t>
      </w:r>
      <w:r>
        <w:rPr>
          <w:sz w:val="1"/>
          <w:szCs w:val="1"/>
          <w:color w:val="auto"/>
        </w:rPr>
        <w:drawing>
          <wp:inline distT="0" distB="0" distL="0" distR="0">
            <wp:extent cx="739140" cy="153035"/>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39140" cy="15303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20"/>
          </w:cols>
          <w:pgMar w:left="320" w:top="478" w:right="5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Other Information</w:t>
      </w:r>
    </w:p>
    <w:p>
      <w:pPr>
        <w:spacing w:after="0" w:line="249" w:lineRule="exact"/>
        <w:rPr>
          <w:sz w:val="20"/>
          <w:szCs w:val="20"/>
          <w:color w:val="auto"/>
        </w:rPr>
      </w:pPr>
    </w:p>
    <w:p>
      <w:pPr>
        <w:ind w:left="700" w:hanging="533"/>
        <w:spacing w:after="0"/>
        <w:tabs>
          <w:tab w:leader="none" w:pos="700" w:val="left"/>
        </w:tabs>
        <w:numPr>
          <w:ilvl w:val="0"/>
          <w:numId w:val="170"/>
        </w:numPr>
        <w:rPr>
          <w:rFonts w:ascii="Arial" w:cs="Arial" w:eastAsia="Arial" w:hAnsi="Arial"/>
          <w:sz w:val="21"/>
          <w:szCs w:val="21"/>
          <w:b w:val="1"/>
          <w:bCs w:val="1"/>
          <w:color w:val="005CB9"/>
        </w:rPr>
      </w:pPr>
      <w:r>
        <w:rPr>
          <w:rFonts w:ascii="Arial" w:cs="Arial" w:eastAsia="Arial" w:hAnsi="Arial"/>
          <w:sz w:val="21"/>
          <w:szCs w:val="21"/>
          <w:b w:val="1"/>
          <w:bCs w:val="1"/>
          <w:color w:val="005CB9"/>
        </w:rPr>
        <w:t>Where can I find more information about 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76835</wp:posOffset>
            </wp:positionV>
            <wp:extent cx="692975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2" w:lineRule="exact"/>
        <w:rPr>
          <w:sz w:val="20"/>
          <w:szCs w:val="20"/>
          <w:color w:val="auto"/>
        </w:rPr>
      </w:pPr>
    </w:p>
    <w:p>
      <w:pPr>
        <w:ind w:left="160" w:right="180"/>
        <w:spacing w:after="0" w:line="249" w:lineRule="auto"/>
        <w:rPr>
          <w:sz w:val="20"/>
          <w:szCs w:val="20"/>
          <w:color w:val="auto"/>
        </w:rPr>
      </w:pPr>
      <w:r>
        <w:rPr>
          <w:rFonts w:ascii="Arial" w:cs="Arial" w:eastAsia="Arial" w:hAnsi="Arial"/>
          <w:sz w:val="14"/>
          <w:szCs w:val="14"/>
          <w:color w:val="auto"/>
        </w:rPr>
        <w:t xml:space="preserve">Our consolidated financial statements and additional information about the company are included in our 2025 Annual Report to Shareholders that accompanies this proxy statement, which includes our 2025 Form 10-K and certain additional information. We filed our 2025 Form 10-K with the SEC on February 26, 2026. These documents, as well as other documents we file with the SEC, can be viewed on the Internet on the SEC’s website at www.sec.gov and are available on our website at www.sempra.com under the “Financials and filings” tab of the “Investors” tab. </w:t>
      </w:r>
      <w:r>
        <w:rPr>
          <w:rFonts w:ascii="Arial" w:cs="Arial" w:eastAsia="Arial" w:hAnsi="Arial"/>
          <w:sz w:val="14"/>
          <w:szCs w:val="14"/>
          <w:b w:val="1"/>
          <w:bCs w:val="1"/>
          <w:color w:val="auto"/>
        </w:rPr>
        <w:t>We also will furnish a copy of our 2025 Form 10-K (excluding exhibits, except those that are specifically</w:t>
      </w:r>
      <w:r>
        <w:rPr>
          <w:rFonts w:ascii="Arial" w:cs="Arial" w:eastAsia="Arial" w:hAnsi="Arial"/>
          <w:sz w:val="14"/>
          <w:szCs w:val="14"/>
          <w:color w:val="auto"/>
        </w:rPr>
        <w:t xml:space="preserve"> </w:t>
      </w:r>
      <w:r>
        <w:rPr>
          <w:rFonts w:ascii="Arial" w:cs="Arial" w:eastAsia="Arial" w:hAnsi="Arial"/>
          <w:sz w:val="14"/>
          <w:szCs w:val="14"/>
          <w:b w:val="1"/>
          <w:bCs w:val="1"/>
          <w:color w:val="auto"/>
        </w:rPr>
        <w:t>requested) without charge to any shareholder who so requests by writing to the attention of our Corporate Secretary at Sempra’s principal executive offices at 488 8th Avenue, San Diego, California 92101.</w:t>
      </w:r>
    </w:p>
    <w:p>
      <w:pPr>
        <w:spacing w:after="0" w:line="68" w:lineRule="exact"/>
        <w:rPr>
          <w:sz w:val="20"/>
          <w:szCs w:val="20"/>
          <w:color w:val="auto"/>
        </w:rPr>
      </w:pPr>
    </w:p>
    <w:p>
      <w:pPr>
        <w:ind w:left="160" w:right="40"/>
        <w:spacing w:after="0" w:line="260" w:lineRule="auto"/>
        <w:rPr>
          <w:sz w:val="20"/>
          <w:szCs w:val="20"/>
          <w:color w:val="auto"/>
        </w:rPr>
      </w:pPr>
      <w:r>
        <w:rPr>
          <w:rFonts w:ascii="Arial" w:cs="Arial" w:eastAsia="Arial" w:hAnsi="Arial"/>
          <w:sz w:val="14"/>
          <w:szCs w:val="14"/>
          <w:color w:val="auto"/>
        </w:rPr>
        <w:t>By writing to us, shareholders also may obtain, without charge, copies of our restated articles of incorporation, bylaws, Corporate Governance Guidelines, codes of conduct and charters of our standing board committees. These materials also are available on the Internet on our website at www.sempra.com under the “Corporate governance” tab of the “Investors” tab.</w:t>
      </w:r>
    </w:p>
    <w:p>
      <w:pPr>
        <w:spacing w:after="0" w:line="65" w:lineRule="exact"/>
        <w:rPr>
          <w:sz w:val="20"/>
          <w:szCs w:val="20"/>
          <w:color w:val="auto"/>
        </w:rPr>
      </w:pPr>
    </w:p>
    <w:p>
      <w:pPr>
        <w:ind w:left="160" w:right="380"/>
        <w:spacing w:after="0" w:line="281" w:lineRule="auto"/>
        <w:rPr>
          <w:sz w:val="20"/>
          <w:szCs w:val="20"/>
          <w:color w:val="auto"/>
        </w:rPr>
      </w:pPr>
      <w:r>
        <w:rPr>
          <w:rFonts w:ascii="Arial" w:cs="Arial" w:eastAsia="Arial" w:hAnsi="Arial"/>
          <w:sz w:val="14"/>
          <w:szCs w:val="14"/>
          <w:color w:val="auto"/>
        </w:rPr>
        <w:t>Shareholders with questions or needing additional information also may contact our investor relations department at Investor@sempra.com or (619) 696-2901, which is responsible for managing communications with our shareholders.</w:t>
      </w:r>
    </w:p>
    <w:p>
      <w:pPr>
        <w:spacing w:after="0" w:line="166" w:lineRule="exact"/>
        <w:rPr>
          <w:sz w:val="20"/>
          <w:szCs w:val="20"/>
          <w:color w:val="auto"/>
        </w:rPr>
      </w:pPr>
    </w:p>
    <w:p>
      <w:pPr>
        <w:ind w:left="700" w:hanging="533"/>
        <w:spacing w:after="0"/>
        <w:tabs>
          <w:tab w:leader="none" w:pos="700" w:val="left"/>
        </w:tabs>
        <w:numPr>
          <w:ilvl w:val="0"/>
          <w:numId w:val="171"/>
        </w:numPr>
        <w:rPr>
          <w:rFonts w:ascii="Arial" w:cs="Arial" w:eastAsia="Arial" w:hAnsi="Arial"/>
          <w:sz w:val="21"/>
          <w:szCs w:val="21"/>
          <w:b w:val="1"/>
          <w:bCs w:val="1"/>
          <w:color w:val="005CB9"/>
        </w:rPr>
      </w:pPr>
      <w:r>
        <w:rPr>
          <w:rFonts w:ascii="Arial" w:cs="Arial" w:eastAsia="Arial" w:hAnsi="Arial"/>
          <w:sz w:val="21"/>
          <w:szCs w:val="21"/>
          <w:b w:val="1"/>
          <w:bCs w:val="1"/>
          <w:color w:val="005CB9"/>
        </w:rPr>
        <w:t>How do I contact Sempra’s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320"/>
        <w:spacing w:after="0" w:line="281" w:lineRule="auto"/>
        <w:rPr>
          <w:sz w:val="20"/>
          <w:szCs w:val="20"/>
          <w:color w:val="auto"/>
        </w:rPr>
      </w:pPr>
      <w:r>
        <w:rPr>
          <w:rFonts w:ascii="Arial" w:cs="Arial" w:eastAsia="Arial" w:hAnsi="Arial"/>
          <w:sz w:val="14"/>
          <w:szCs w:val="14"/>
          <w:color w:val="auto"/>
        </w:rPr>
        <w:t>If you are a shareholder of record and have questions concerning share certificates, dividend checks, ownership transfer or other matters relating to your share account, please call our transfer agent at (877) 773-6772 (U.S. and Canada) or call or write to our Shareholder Services Department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173990</wp:posOffset>
            </wp:positionV>
            <wp:extent cx="339725" cy="33972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352" w:lineRule="exact"/>
        <w:rPr>
          <w:sz w:val="20"/>
          <w:szCs w:val="20"/>
          <w:color w:val="auto"/>
        </w:rPr>
      </w:pPr>
    </w:p>
    <w:p>
      <w:pPr>
        <w:ind w:left="940"/>
        <w:spacing w:after="0"/>
        <w:rPr>
          <w:sz w:val="20"/>
          <w:szCs w:val="20"/>
          <w:color w:val="auto"/>
        </w:rPr>
      </w:pPr>
      <w:r>
        <w:rPr>
          <w:rFonts w:ascii="Arial" w:cs="Arial" w:eastAsia="Arial" w:hAnsi="Arial"/>
          <w:sz w:val="14"/>
          <w:szCs w:val="14"/>
          <w:color w:val="auto"/>
        </w:rPr>
        <w:t>(877) 736-7727 (U.S. and Canada)</w:t>
      </w:r>
    </w:p>
    <w:p>
      <w:pPr>
        <w:spacing w:after="0" w:line="387" w:lineRule="exact"/>
        <w:rPr>
          <w:sz w:val="20"/>
          <w:szCs w:val="20"/>
          <w:color w:val="auto"/>
        </w:rPr>
      </w:pPr>
    </w:p>
    <w:p>
      <w:pPr>
        <w:ind w:left="940"/>
        <w:spacing w:after="0"/>
        <w:rPr>
          <w:sz w:val="20"/>
          <w:szCs w:val="20"/>
          <w:color w:val="auto"/>
        </w:rPr>
      </w:pPr>
      <w:r>
        <w:rPr>
          <w:rFonts w:ascii="Arial" w:cs="Arial" w:eastAsia="Arial" w:hAnsi="Arial"/>
          <w:sz w:val="14"/>
          <w:szCs w:val="14"/>
          <w:color w:val="auto"/>
        </w:rPr>
        <w:t>Sempra</w:t>
      </w:r>
    </w:p>
    <w:p>
      <w:pPr>
        <w:spacing w:after="0" w:line="13" w:lineRule="exact"/>
        <w:rPr>
          <w:sz w:val="20"/>
          <w:szCs w:val="20"/>
          <w:color w:val="auto"/>
        </w:rPr>
      </w:pPr>
    </w:p>
    <w:p>
      <w:pPr>
        <w:ind w:left="940"/>
        <w:spacing w:after="0"/>
        <w:rPr>
          <w:sz w:val="20"/>
          <w:szCs w:val="20"/>
          <w:color w:val="auto"/>
        </w:rPr>
      </w:pPr>
      <w:r>
        <w:rPr>
          <w:rFonts w:ascii="Arial" w:cs="Arial" w:eastAsia="Arial" w:hAnsi="Arial"/>
          <w:sz w:val="14"/>
          <w:szCs w:val="14"/>
          <w:color w:val="auto"/>
        </w:rPr>
        <w:t>Attn: Shareholder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-86995</wp:posOffset>
            </wp:positionV>
            <wp:extent cx="339725" cy="2374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39725" cy="23749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4"/>
          <w:szCs w:val="14"/>
          <w:color w:val="auto"/>
        </w:rPr>
        <w:t>488 8th Avenue</w:t>
      </w:r>
    </w:p>
    <w:p>
      <w:pPr>
        <w:ind w:left="940"/>
        <w:spacing w:after="0"/>
        <w:rPr>
          <w:sz w:val="20"/>
          <w:szCs w:val="20"/>
          <w:color w:val="auto"/>
        </w:rPr>
      </w:pPr>
      <w:r>
        <w:rPr>
          <w:rFonts w:ascii="Arial" w:cs="Arial" w:eastAsia="Arial" w:hAnsi="Arial"/>
          <w:sz w:val="14"/>
          <w:szCs w:val="14"/>
          <w:color w:val="auto"/>
        </w:rPr>
        <w:t>San Diego, CA 92101</w:t>
      </w:r>
    </w:p>
    <w:p>
      <w:pPr>
        <w:spacing w:after="0" w:line="106" w:lineRule="exact"/>
        <w:rPr>
          <w:sz w:val="20"/>
          <w:szCs w:val="20"/>
          <w:color w:val="auto"/>
        </w:rPr>
      </w:pPr>
    </w:p>
    <w:p>
      <w:pPr>
        <w:jc w:val="both"/>
        <w:ind w:left="160" w:right="80"/>
        <w:spacing w:after="0" w:line="260" w:lineRule="auto"/>
        <w:rPr>
          <w:sz w:val="20"/>
          <w:szCs w:val="20"/>
          <w:color w:val="auto"/>
        </w:rPr>
      </w:pPr>
      <w:r>
        <w:rPr>
          <w:rFonts w:ascii="Arial" w:cs="Arial" w:eastAsia="Arial" w:hAnsi="Arial"/>
          <w:sz w:val="14"/>
          <w:szCs w:val="14"/>
          <w:color w:val="auto"/>
        </w:rPr>
        <w:t>Sempra provides a Direct Stock Purchase Plan as a way to invest in our common stock. The plan also allows shareholders to reinvest all or a portion of their cash dividends in our common stock. This plan is offered only by means of a prospectus. For information about this plan or to obtain a copy of the applicable prospectus, please contact the plan administrator or Sempra’s Shareholder Services Department at the phone number or address listed above.</w:t>
      </w:r>
    </w:p>
    <w:p>
      <w:pPr>
        <w:spacing w:after="0" w:line="180" w:lineRule="exact"/>
        <w:rPr>
          <w:sz w:val="20"/>
          <w:szCs w:val="20"/>
          <w:color w:val="auto"/>
        </w:rPr>
      </w:pPr>
    </w:p>
    <w:p>
      <w:pPr>
        <w:ind w:left="700" w:hanging="533"/>
        <w:spacing w:after="0"/>
        <w:tabs>
          <w:tab w:leader="none" w:pos="700" w:val="left"/>
        </w:tabs>
        <w:numPr>
          <w:ilvl w:val="0"/>
          <w:numId w:val="172"/>
        </w:numPr>
        <w:rPr>
          <w:rFonts w:ascii="Arial" w:cs="Arial" w:eastAsia="Arial" w:hAnsi="Arial"/>
          <w:sz w:val="21"/>
          <w:szCs w:val="21"/>
          <w:b w:val="1"/>
          <w:bCs w:val="1"/>
          <w:color w:val="005CB9"/>
        </w:rPr>
      </w:pPr>
      <w:r>
        <w:rPr>
          <w:rFonts w:ascii="Arial" w:cs="Arial" w:eastAsia="Arial" w:hAnsi="Arial"/>
          <w:sz w:val="21"/>
          <w:szCs w:val="21"/>
          <w:b w:val="1"/>
          <w:bCs w:val="1"/>
          <w:color w:val="005CB9"/>
        </w:rPr>
        <w:t>Who do I contact with any additional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69297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6" w:lineRule="exact"/>
        <w:rPr>
          <w:sz w:val="20"/>
          <w:szCs w:val="20"/>
          <w:color w:val="auto"/>
        </w:rPr>
      </w:pPr>
    </w:p>
    <w:p>
      <w:pPr>
        <w:ind w:left="160" w:right="120"/>
        <w:spacing w:after="0" w:line="281" w:lineRule="auto"/>
        <w:rPr>
          <w:sz w:val="20"/>
          <w:szCs w:val="20"/>
          <w:color w:val="auto"/>
        </w:rPr>
      </w:pPr>
      <w:r>
        <w:rPr>
          <w:rFonts w:ascii="Arial" w:cs="Arial" w:eastAsia="Arial" w:hAnsi="Arial"/>
          <w:sz w:val="14"/>
          <w:szCs w:val="14"/>
          <w:color w:val="auto"/>
        </w:rPr>
        <w:t>If you have any additional questions about the Annual Shareholders Meeting or how you may vote, or how to change or revoke your vote, please contact our proxy solicitor, Sodali &amp; Co., at the addresses or phone numbers set forth in Question 30 above.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This Notice of Annual Shareholders Meeting and proxy statement are sent by order of the Sempra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234950</wp:posOffset>
            </wp:positionV>
            <wp:extent cx="654050" cy="31432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54050"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Diana L. Day</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Corporate Secretary</w:t>
      </w:r>
    </w:p>
    <w:p>
      <w:pPr>
        <w:spacing w:after="0" w:line="9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Dated: 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217805</wp:posOffset>
            </wp:positionV>
            <wp:extent cx="739140" cy="144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101</w:t>
      </w:r>
    </w:p>
    <w:p>
      <w:pPr>
        <w:sectPr>
          <w:pgSz w:w="11900" w:h="16838" w:orient="portrait"/>
          <w:cols w:equalWidth="0" w:num="1">
            <w:col w:w="11080"/>
          </w:cols>
          <w:pgMar w:left="320" w:top="478"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Appendix A</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NON-GAAP FINANCIAL MEASURES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Reconciliation of Sempra Adjusted Earnings and Adjusted EPS to Sempra GAAP Earnings and GAAP EPS</w:t>
      </w:r>
      <w:r>
        <w:rPr>
          <w:rFonts w:ascii="Arial" w:cs="Arial" w:eastAsia="Arial" w:hAnsi="Arial"/>
          <w:sz w:val="21"/>
          <w:szCs w:val="21"/>
          <w:b w:val="1"/>
          <w:bCs w:val="1"/>
          <w:color w:val="auto"/>
          <w:vertAlign w:val="superscript"/>
        </w:rPr>
        <w:t>(1)</w:t>
      </w:r>
    </w:p>
    <w:p>
      <w:pPr>
        <w:spacing w:after="0" w:line="44" w:lineRule="exact"/>
        <w:rPr>
          <w:sz w:val="20"/>
          <w:szCs w:val="20"/>
          <w:color w:val="auto"/>
        </w:rPr>
      </w:pPr>
    </w:p>
    <w:p>
      <w:pPr>
        <w:ind w:left="160"/>
        <w:spacing w:after="0" w:line="242" w:lineRule="auto"/>
        <w:rPr>
          <w:sz w:val="20"/>
          <w:szCs w:val="20"/>
          <w:color w:val="auto"/>
        </w:rPr>
      </w:pPr>
      <w:r>
        <w:rPr>
          <w:rFonts w:ascii="Arial" w:cs="Arial" w:eastAsia="Arial" w:hAnsi="Arial"/>
          <w:sz w:val="14"/>
          <w:szCs w:val="14"/>
          <w:color w:val="auto"/>
        </w:rPr>
        <w:t>Sempra Adjusted Earnings and Adjusted earnings per common share (EPS) are non-GAAP financial measures (GAAP represents generally accepted accounting principles in the United States of America). These non-GAAP financial measures exclude significant items that are generally not related to our ongoing business activities and/or are infrequent in nature. These non-GAAP financial measures also exclude the impact from foreign currency and inflation on our monetary positions in Mexico and associated undesignated derivatives and net unrealized gains and losses on commodity and interest rate derivatives, which we expect to occur in future periods, and which can vary significantly from one period to the next. Exclusion of these items is useful to management and investors because it provides a meaningful comparison of the performance of Sempra’s business operations to prior and future periods. Non-GAAP financial measures are supplementary information that should be considered in addition to, but not as a substitute for, the information prepared in accordance with GAAP.</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Sempra Adjusted Earnings and Adjusted EPS exclude items (after the effects of income taxes and, if applicable, noncontrolling interests (NCI)) as follows: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2025:</w:t>
      </w:r>
    </w:p>
    <w:p>
      <w:pPr>
        <w:spacing w:after="0" w:line="120" w:lineRule="exact"/>
        <w:rPr>
          <w:sz w:val="20"/>
          <w:szCs w:val="20"/>
          <w:color w:val="auto"/>
        </w:rPr>
      </w:pPr>
    </w:p>
    <w:p>
      <w:pPr>
        <w:ind w:left="800" w:hanging="312"/>
        <w:spacing w:after="0"/>
        <w:tabs>
          <w:tab w:leader="none" w:pos="800" w:val="left"/>
        </w:tabs>
        <w:numPr>
          <w:ilvl w:val="0"/>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$(457) million impact from regulatory disallowances at Sempra California consisting of:</w:t>
      </w:r>
    </w:p>
    <w:p>
      <w:pPr>
        <w:spacing w:after="0" w:line="119" w:lineRule="exact"/>
        <w:rPr>
          <w:rFonts w:ascii="Times New Roman" w:cs="Times New Roman" w:eastAsia="Times New Roman" w:hAnsi="Times New Roman"/>
          <w:sz w:val="14"/>
          <w:szCs w:val="14"/>
          <w:color w:val="005CB9"/>
        </w:rPr>
      </w:pPr>
    </w:p>
    <w:p>
      <w:pPr>
        <w:ind w:left="1020" w:right="280" w:hanging="318"/>
        <w:spacing w:after="0" w:line="280" w:lineRule="auto"/>
        <w:tabs>
          <w:tab w:leader="none" w:pos="1020" w:val="left"/>
        </w:tabs>
        <w:numPr>
          <w:ilvl w:val="1"/>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$(432) million charge from regulatory disallowances related to 2019 through 2024 associated with the final decision in our 2024 General Rate Case Track 2 request</w:t>
      </w:r>
    </w:p>
    <w:p>
      <w:pPr>
        <w:spacing w:after="0" w:line="64" w:lineRule="exact"/>
        <w:rPr>
          <w:rFonts w:ascii="Times New Roman" w:cs="Times New Roman" w:eastAsia="Times New Roman" w:hAnsi="Times New Roman"/>
          <w:sz w:val="14"/>
          <w:szCs w:val="14"/>
          <w:color w:val="005CB9"/>
        </w:rPr>
      </w:pPr>
    </w:p>
    <w:p>
      <w:pPr>
        <w:ind w:left="1020" w:hanging="318"/>
        <w:spacing w:after="0"/>
        <w:tabs>
          <w:tab w:leader="none" w:pos="1020" w:val="left"/>
        </w:tabs>
        <w:numPr>
          <w:ilvl w:val="1"/>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$(25) million charge related to the recovery of coronavirus disease 2019 costs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$(180) million impact from foreign currency and inflation on our monetary positions in Mexico</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$(43) million net unrealized losses on commodity derivatives</w:t>
      </w:r>
    </w:p>
    <w:p>
      <w:pPr>
        <w:spacing w:after="0" w:line="119" w:lineRule="exact"/>
        <w:rPr>
          <w:rFonts w:ascii="Times New Roman" w:cs="Times New Roman" w:eastAsia="Times New Roman" w:hAnsi="Times New Roman"/>
          <w:sz w:val="14"/>
          <w:szCs w:val="14"/>
          <w:color w:val="005CB9"/>
        </w:rPr>
      </w:pPr>
    </w:p>
    <w:p>
      <w:pPr>
        <w:ind w:left="800" w:hanging="312"/>
        <w:spacing w:after="0" w:line="280" w:lineRule="auto"/>
        <w:tabs>
          <w:tab w:leader="none" w:pos="800" w:val="left"/>
        </w:tabs>
        <w:numPr>
          <w:ilvl w:val="0"/>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$(512) million net income tax expense as a result of management’s decision to classify Sempra Infrastructure Partners, LP (SI Partners) and Ecogas México, S. de R.L. de C.V. (Ecogas) as held for sale, which such amounts could change in future periods until the dates of sale:</w:t>
      </w:r>
    </w:p>
    <w:p>
      <w:pPr>
        <w:spacing w:after="0" w:line="64" w:lineRule="exact"/>
        <w:rPr>
          <w:rFonts w:ascii="Times New Roman" w:cs="Times New Roman" w:eastAsia="Times New Roman" w:hAnsi="Times New Roman"/>
          <w:sz w:val="14"/>
          <w:szCs w:val="14"/>
          <w:color w:val="005CB9"/>
        </w:rPr>
      </w:pPr>
    </w:p>
    <w:p>
      <w:pPr>
        <w:ind w:left="1020" w:hanging="318"/>
        <w:spacing w:after="0"/>
        <w:tabs>
          <w:tab w:leader="none" w:pos="1020" w:val="left"/>
        </w:tabs>
        <w:numPr>
          <w:ilvl w:val="1"/>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$(693) million income tax expense to adjust deferred income tax liabilities primarily related to the outside basis differences in our investment in SI Partners</w:t>
      </w:r>
    </w:p>
    <w:p>
      <w:pPr>
        <w:spacing w:after="0" w:line="119" w:lineRule="exact"/>
        <w:rPr>
          <w:rFonts w:ascii="Times New Roman" w:cs="Times New Roman" w:eastAsia="Times New Roman" w:hAnsi="Times New Roman"/>
          <w:sz w:val="14"/>
          <w:szCs w:val="14"/>
          <w:color w:val="005CB9"/>
        </w:rPr>
      </w:pPr>
    </w:p>
    <w:p>
      <w:pPr>
        <w:ind w:left="1020" w:hanging="318"/>
        <w:spacing w:after="0"/>
        <w:tabs>
          <w:tab w:leader="none" w:pos="1020" w:val="left"/>
        </w:tabs>
        <w:numPr>
          <w:ilvl w:val="1"/>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$(10) million income tax expense due to the recognition of a Mexican deferred tax liability on our outside basis difference in Ecogas</w:t>
      </w:r>
    </w:p>
    <w:p>
      <w:pPr>
        <w:spacing w:after="0" w:line="119" w:lineRule="exact"/>
        <w:rPr>
          <w:rFonts w:ascii="Times New Roman" w:cs="Times New Roman" w:eastAsia="Times New Roman" w:hAnsi="Times New Roman"/>
          <w:sz w:val="14"/>
          <w:szCs w:val="14"/>
          <w:color w:val="005CB9"/>
        </w:rPr>
      </w:pPr>
    </w:p>
    <w:p>
      <w:pPr>
        <w:ind w:left="1020" w:right="500" w:hanging="318"/>
        <w:spacing w:after="0" w:line="280" w:lineRule="auto"/>
        <w:tabs>
          <w:tab w:leader="none" w:pos="1020" w:val="left"/>
        </w:tabs>
        <w:numPr>
          <w:ilvl w:val="1"/>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$191 million net income tax benefit from changes to a valuation allowance against certain tax credit carryforwards offset by changes in state income tax apportionment</w:t>
      </w:r>
    </w:p>
    <w:p>
      <w:pPr>
        <w:spacing w:after="0" w:line="64" w:lineRule="exact"/>
        <w:rPr>
          <w:rFonts w:ascii="Times New Roman" w:cs="Times New Roman" w:eastAsia="Times New Roman" w:hAnsi="Times New Roman"/>
          <w:sz w:val="14"/>
          <w:szCs w:val="14"/>
          <w:color w:val="005CB9"/>
        </w:rPr>
      </w:pPr>
    </w:p>
    <w:p>
      <w:pPr>
        <w:ind w:left="800" w:right="200" w:hanging="312"/>
        <w:spacing w:after="0" w:line="280" w:lineRule="auto"/>
        <w:tabs>
          <w:tab w:leader="none" w:pos="800" w:val="left"/>
        </w:tabs>
        <w:numPr>
          <w:ilvl w:val="0"/>
          <w:numId w:val="173"/>
        </w:numPr>
        <w:rPr>
          <w:rFonts w:ascii="Times New Roman" w:cs="Times New Roman" w:eastAsia="Times New Roman" w:hAnsi="Times New Roman"/>
          <w:sz w:val="14"/>
          <w:szCs w:val="14"/>
          <w:color w:val="005CB9"/>
        </w:rPr>
      </w:pPr>
      <w:r>
        <w:rPr>
          <w:rFonts w:ascii="Arial" w:cs="Arial" w:eastAsia="Arial" w:hAnsi="Arial"/>
          <w:sz w:val="14"/>
          <w:szCs w:val="14"/>
          <w:color w:val="auto"/>
        </w:rPr>
        <w:t>$(78) million income tax expense from changes to a valuation allowance against foreign tax credits that were carried forward from the implementation of the Tax Cuts and Jobs Act of 2017 (TCJA)</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2020:</w:t>
      </w:r>
    </w:p>
    <w:p>
      <w:pPr>
        <w:spacing w:after="0" w:line="120" w:lineRule="exact"/>
        <w:rPr>
          <w:sz w:val="20"/>
          <w:szCs w:val="20"/>
          <w:color w:val="auto"/>
        </w:rPr>
      </w:pPr>
    </w:p>
    <w:p>
      <w:pPr>
        <w:ind w:left="800" w:hanging="312"/>
        <w:spacing w:after="0"/>
        <w:tabs>
          <w:tab w:leader="none" w:pos="800" w:val="left"/>
        </w:tabs>
        <w:numPr>
          <w:ilvl w:val="0"/>
          <w:numId w:val="174"/>
        </w:numPr>
        <w:rPr>
          <w:rFonts w:ascii="Times New Roman" w:cs="Times New Roman" w:eastAsia="Times New Roman" w:hAnsi="Times New Roman"/>
          <w:sz w:val="14"/>
          <w:szCs w:val="14"/>
          <w:color w:val="005CB9"/>
        </w:rPr>
      </w:pPr>
      <w:r>
        <w:rPr>
          <w:rFonts w:ascii="Arial" w:cs="Arial" w:eastAsia="Arial" w:hAnsi="Arial"/>
          <w:sz w:val="14"/>
          <w:szCs w:val="14"/>
          <w:color w:val="auto"/>
        </w:rPr>
        <w:t>$(233) million from impacts associated with Aliso Canyon natural gas storage facility litigation and regulatory matters at Sempra California</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4"/>
        </w:numPr>
        <w:rPr>
          <w:rFonts w:ascii="Times New Roman" w:cs="Times New Roman" w:eastAsia="Times New Roman" w:hAnsi="Times New Roman"/>
          <w:sz w:val="14"/>
          <w:szCs w:val="14"/>
          <w:color w:val="005CB9"/>
        </w:rPr>
      </w:pPr>
      <w:r>
        <w:rPr>
          <w:rFonts w:ascii="Arial" w:cs="Arial" w:eastAsia="Arial" w:hAnsi="Arial"/>
          <w:sz w:val="14"/>
          <w:szCs w:val="14"/>
          <w:color w:val="auto"/>
        </w:rPr>
        <w:t>$(1) million impact from foreign currency and inflation on our monetary positions in Mexico and associated undesignated derivatives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4"/>
        </w:numPr>
        <w:rPr>
          <w:rFonts w:ascii="Times New Roman" w:cs="Times New Roman" w:eastAsia="Times New Roman" w:hAnsi="Times New Roman"/>
          <w:sz w:val="14"/>
          <w:szCs w:val="14"/>
          <w:color w:val="005CB9"/>
        </w:rPr>
      </w:pPr>
      <w:r>
        <w:rPr>
          <w:rFonts w:ascii="Arial" w:cs="Arial" w:eastAsia="Arial" w:hAnsi="Arial"/>
          <w:sz w:val="14"/>
          <w:szCs w:val="14"/>
          <w:color w:val="auto"/>
        </w:rPr>
        <w:t>$9 million net unrealized gains on commodity derivatives</w:t>
      </w:r>
    </w:p>
    <w:p>
      <w:pPr>
        <w:spacing w:after="0" w:line="119" w:lineRule="exact"/>
        <w:rPr>
          <w:rFonts w:ascii="Times New Roman" w:cs="Times New Roman" w:eastAsia="Times New Roman" w:hAnsi="Times New Roman"/>
          <w:sz w:val="14"/>
          <w:szCs w:val="14"/>
          <w:color w:val="005CB9"/>
        </w:rPr>
      </w:pPr>
    </w:p>
    <w:p>
      <w:pPr>
        <w:ind w:left="800" w:right="380" w:hanging="312"/>
        <w:spacing w:after="0" w:line="280" w:lineRule="auto"/>
        <w:tabs>
          <w:tab w:leader="none" w:pos="800" w:val="left"/>
        </w:tabs>
        <w:numPr>
          <w:ilvl w:val="0"/>
          <w:numId w:val="174"/>
        </w:numPr>
        <w:rPr>
          <w:rFonts w:ascii="Times New Roman" w:cs="Times New Roman" w:eastAsia="Times New Roman" w:hAnsi="Times New Roman"/>
          <w:sz w:val="14"/>
          <w:szCs w:val="14"/>
          <w:color w:val="005CB9"/>
        </w:rPr>
      </w:pPr>
      <w:r>
        <w:rPr>
          <w:rFonts w:ascii="Arial" w:cs="Arial" w:eastAsia="Arial" w:hAnsi="Arial"/>
          <w:sz w:val="14"/>
          <w:szCs w:val="14"/>
          <w:color w:val="auto"/>
        </w:rPr>
        <w:t>$(100) million equity losses at RBS Sempra Commodities LLP, which represents an estimate of our obligations to settle pending value added tax matters and related legal costs at our equity method investment at Parent and Other</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4"/>
        </w:numPr>
        <w:rPr>
          <w:rFonts w:ascii="Times New Roman" w:cs="Times New Roman" w:eastAsia="Times New Roman" w:hAnsi="Times New Roman"/>
          <w:sz w:val="14"/>
          <w:szCs w:val="14"/>
          <w:color w:val="005CB9"/>
        </w:rPr>
      </w:pPr>
      <w:r>
        <w:rPr>
          <w:rFonts w:ascii="Arial" w:cs="Arial" w:eastAsia="Arial" w:hAnsi="Arial"/>
          <w:sz w:val="14"/>
          <w:szCs w:val="14"/>
          <w:color w:val="auto"/>
        </w:rPr>
        <w:t>$1,747 million gain on the sale of our South American businesses</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 2015:</w:t>
      </w:r>
    </w:p>
    <w:p>
      <w:pPr>
        <w:spacing w:after="0" w:line="120" w:lineRule="exact"/>
        <w:rPr>
          <w:sz w:val="20"/>
          <w:szCs w:val="20"/>
          <w:color w:val="auto"/>
        </w:rPr>
      </w:pPr>
    </w:p>
    <w:p>
      <w:pPr>
        <w:ind w:left="800" w:right="740" w:hanging="312"/>
        <w:spacing w:after="0" w:line="280" w:lineRule="auto"/>
        <w:tabs>
          <w:tab w:leader="none" w:pos="800" w:val="left"/>
        </w:tabs>
        <w:numPr>
          <w:ilvl w:val="1"/>
          <w:numId w:val="175"/>
        </w:numPr>
        <w:rPr>
          <w:rFonts w:ascii="Times New Roman" w:cs="Times New Roman" w:eastAsia="Times New Roman" w:hAnsi="Times New Roman"/>
          <w:sz w:val="14"/>
          <w:szCs w:val="14"/>
          <w:color w:val="005CB9"/>
        </w:rPr>
      </w:pPr>
      <w:r>
        <w:rPr>
          <w:rFonts w:ascii="Arial" w:cs="Arial" w:eastAsia="Arial" w:hAnsi="Arial"/>
          <w:sz w:val="14"/>
          <w:szCs w:val="14"/>
          <w:color w:val="auto"/>
        </w:rPr>
        <w:t>$15 million reduction in the plant closure loss related to the San Onofre Nuclear Generating Station (SONGS), primarily due to California Public Utilities Commission approval of Sempra California’s compliance filing for authorized recovery of its investment in SONGS</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1"/>
          <w:numId w:val="175"/>
        </w:numPr>
        <w:rPr>
          <w:rFonts w:ascii="Times New Roman" w:cs="Times New Roman" w:eastAsia="Times New Roman" w:hAnsi="Times New Roman"/>
          <w:sz w:val="14"/>
          <w:szCs w:val="14"/>
          <w:color w:val="005CB9"/>
        </w:rPr>
      </w:pPr>
      <w:r>
        <w:rPr>
          <w:rFonts w:ascii="Arial" w:cs="Arial" w:eastAsia="Arial" w:hAnsi="Arial"/>
          <w:sz w:val="14"/>
          <w:szCs w:val="14"/>
          <w:color w:val="auto"/>
        </w:rPr>
        <w:t>$36 million gain on the sale of the remaining block of the Mesquite Power plant</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1"/>
          <w:numId w:val="175"/>
        </w:numPr>
        <w:rPr>
          <w:rFonts w:ascii="Times New Roman" w:cs="Times New Roman" w:eastAsia="Times New Roman" w:hAnsi="Times New Roman"/>
          <w:sz w:val="14"/>
          <w:szCs w:val="14"/>
          <w:color w:val="005CB9"/>
        </w:rPr>
      </w:pPr>
      <w:r>
        <w:rPr>
          <w:rFonts w:ascii="Arial" w:cs="Arial" w:eastAsia="Arial" w:hAnsi="Arial"/>
          <w:sz w:val="14"/>
          <w:szCs w:val="14"/>
          <w:color w:val="auto"/>
        </w:rPr>
        <w:t>$29 million impact from foreign currency and inflation on our monetary positions in Mexico and associated undesignated derivatives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1"/>
          <w:numId w:val="175"/>
        </w:numPr>
        <w:rPr>
          <w:rFonts w:ascii="Times New Roman" w:cs="Times New Roman" w:eastAsia="Times New Roman" w:hAnsi="Times New Roman"/>
          <w:sz w:val="14"/>
          <w:szCs w:val="14"/>
          <w:color w:val="005CB9"/>
        </w:rPr>
      </w:pPr>
      <w:r>
        <w:rPr>
          <w:rFonts w:ascii="Arial" w:cs="Arial" w:eastAsia="Arial" w:hAnsi="Arial"/>
          <w:sz w:val="14"/>
          <w:szCs w:val="14"/>
          <w:color w:val="auto"/>
        </w:rPr>
        <w:t>$6 million net unrealized gains on commodity derivatives</w:t>
      </w:r>
    </w:p>
    <w:p>
      <w:pPr>
        <w:spacing w:after="0" w:line="200" w:lineRule="exact"/>
        <w:rPr>
          <w:rFonts w:ascii="Times New Roman" w:cs="Times New Roman" w:eastAsia="Times New Roman" w:hAnsi="Times New Roman"/>
          <w:sz w:val="14"/>
          <w:szCs w:val="14"/>
          <w:color w:val="005CB9"/>
        </w:rPr>
      </w:pPr>
    </w:p>
    <w:p>
      <w:pPr>
        <w:spacing w:after="0" w:line="271" w:lineRule="exact"/>
        <w:rPr>
          <w:rFonts w:ascii="Times New Roman" w:cs="Times New Roman" w:eastAsia="Times New Roman" w:hAnsi="Times New Roman"/>
          <w:sz w:val="14"/>
          <w:szCs w:val="14"/>
          <w:color w:val="005CB9"/>
        </w:rPr>
      </w:pPr>
    </w:p>
    <w:p>
      <w:pPr>
        <w:ind w:left="480" w:right="260" w:hanging="313"/>
        <w:spacing w:after="0" w:line="201" w:lineRule="auto"/>
        <w:tabs>
          <w:tab w:leader="none" w:pos="480" w:val="left"/>
        </w:tabs>
        <w:numPr>
          <w:ilvl w:val="0"/>
          <w:numId w:val="175"/>
        </w:numPr>
        <w:rPr>
          <w:rFonts w:ascii="Arial" w:cs="Arial" w:eastAsia="Arial" w:hAnsi="Arial"/>
          <w:sz w:val="19"/>
          <w:szCs w:val="19"/>
          <w:color w:val="auto"/>
          <w:vertAlign w:val="superscript"/>
        </w:rPr>
      </w:pPr>
      <w:r>
        <w:rPr>
          <w:rFonts w:ascii="Arial" w:cs="Arial" w:eastAsia="Arial" w:hAnsi="Arial"/>
          <w:sz w:val="12"/>
          <w:szCs w:val="12"/>
          <w:color w:val="auto"/>
        </w:rPr>
        <w:t>This description and reconciliation are different than the predefined adjustments to earnings for annual bonus plan purposes. Please see Appendix B to this proxy statement for information about those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69297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102                </w:t>
      </w:r>
      <w:r>
        <w:rPr>
          <w:sz w:val="1"/>
          <w:szCs w:val="1"/>
          <w:color w:val="auto"/>
        </w:rPr>
        <w:drawing>
          <wp:inline distT="0" distB="0" distL="0" distR="0">
            <wp:extent cx="739140" cy="144145"/>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39140" cy="144145"/>
                    </a:xfrm>
                    <a:prstGeom prst="rect">
                      <a:avLst/>
                    </a:prstGeom>
                    <a:noFill/>
                    <a:ln>
                      <a:noFill/>
                    </a:ln>
                  </pic:spPr>
                </pic:pic>
              </a:graphicData>
            </a:graphic>
          </wp:inline>
        </w:drawing>
      </w:r>
      <w:r>
        <w:rPr>
          <w:rFonts w:ascii="Arial" w:cs="Arial" w:eastAsia="Arial" w:hAnsi="Arial"/>
          <w:sz w:val="12"/>
          <w:szCs w:val="12"/>
          <w:color w:val="auto"/>
        </w:rPr>
        <w:t xml:space="preserve">          2026 Proxy Statement</w:t>
      </w:r>
    </w:p>
    <w:p>
      <w:pPr>
        <w:sectPr>
          <w:pgSz w:w="11900" w:h="16838" w:orient="portrait"/>
          <w:cols w:equalWidth="0" w:num="1">
            <w:col w:w="11060"/>
          </w:cols>
          <w:pgMar w:left="320" w:top="478" w:right="5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4" w:lineRule="exact"/>
        <w:rPr>
          <w:sz w:val="20"/>
          <w:szCs w:val="20"/>
          <w:color w:val="auto"/>
        </w:rPr>
      </w:pPr>
    </w:p>
    <w:p>
      <w:pPr>
        <w:ind w:left="10480"/>
        <w:spacing w:after="0"/>
        <w:rPr>
          <w:sz w:val="20"/>
          <w:szCs w:val="20"/>
          <w:color w:val="auto"/>
        </w:rPr>
      </w:pPr>
      <w:r>
        <w:rPr>
          <w:rFonts w:ascii="Arial" w:cs="Arial" w:eastAsia="Arial" w:hAnsi="Arial"/>
          <w:sz w:val="10"/>
          <w:szCs w:val="10"/>
          <w:b w:val="1"/>
          <w:bCs w:val="1"/>
          <w:color w:val="7F7F7F"/>
        </w:rPr>
        <w:t>Appendix A</w:t>
      </w:r>
    </w:p>
    <w:p>
      <w:pPr>
        <w:spacing w:after="0" w:line="156" w:lineRule="exact"/>
        <w:rPr>
          <w:sz w:val="20"/>
          <w:szCs w:val="20"/>
          <w:color w:val="auto"/>
        </w:rPr>
      </w:pPr>
    </w:p>
    <w:p>
      <w:pPr>
        <w:ind w:left="160" w:right="20"/>
        <w:spacing w:after="0" w:line="281" w:lineRule="auto"/>
        <w:rPr>
          <w:sz w:val="20"/>
          <w:szCs w:val="20"/>
          <w:color w:val="auto"/>
        </w:rPr>
      </w:pPr>
      <w:r>
        <w:rPr>
          <w:rFonts w:ascii="Arial" w:cs="Arial" w:eastAsia="Arial" w:hAnsi="Arial"/>
          <w:sz w:val="14"/>
          <w:szCs w:val="14"/>
          <w:color w:val="auto"/>
        </w:rPr>
        <w:t>The table below reconciles for historical periods Sempra Adjusted Earnings and Adjusted EPS to Sempra GAAP Earnings and GAAP EPS, which we consider to be the most directly comparable financial measures calculated in accordance with GAAP.</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218"/>
        </w:trPr>
        <w:tc>
          <w:tcPr>
            <w:tcW w:w="5580" w:type="dxa"/>
            <w:vAlign w:val="bottom"/>
            <w:vMerge w:val="restart"/>
            <w:shd w:val="clear" w:color="auto" w:fill="005CB9"/>
          </w:tcPr>
          <w:p>
            <w:pPr>
              <w:ind w:left="80"/>
              <w:spacing w:after="0"/>
              <w:rPr>
                <w:sz w:val="20"/>
                <w:szCs w:val="20"/>
                <w:color w:val="auto"/>
              </w:rPr>
            </w:pPr>
            <w:r>
              <w:rPr>
                <w:rFonts w:ascii="Arial" w:cs="Arial" w:eastAsia="Arial" w:hAnsi="Arial"/>
                <w:sz w:val="14"/>
                <w:szCs w:val="14"/>
                <w:b w:val="1"/>
                <w:bCs w:val="1"/>
                <w:color w:val="FFFFFF"/>
              </w:rPr>
              <w:t>RECONCILIATION OF ADJUSTED EARNINGS TO GAAP EARNINGS AND</w:t>
            </w:r>
          </w:p>
        </w:tc>
        <w:tc>
          <w:tcPr>
            <w:tcW w:w="300" w:type="dxa"/>
            <w:vAlign w:val="bottom"/>
            <w:shd w:val="clear" w:color="auto" w:fill="005CB9"/>
          </w:tcPr>
          <w:p>
            <w:pPr>
              <w:spacing w:after="0"/>
              <w:rPr>
                <w:sz w:val="18"/>
                <w:szCs w:val="18"/>
                <w:color w:val="auto"/>
              </w:rPr>
            </w:pPr>
          </w:p>
        </w:tc>
        <w:tc>
          <w:tcPr>
            <w:tcW w:w="620" w:type="dxa"/>
            <w:vAlign w:val="bottom"/>
            <w:shd w:val="clear" w:color="auto" w:fill="005CB9"/>
          </w:tcPr>
          <w:p>
            <w:pPr>
              <w:spacing w:after="0"/>
              <w:rPr>
                <w:sz w:val="18"/>
                <w:szCs w:val="18"/>
                <w:color w:val="auto"/>
              </w:rPr>
            </w:pPr>
          </w:p>
        </w:tc>
        <w:tc>
          <w:tcPr>
            <w:tcW w:w="1120" w:type="dxa"/>
            <w:vAlign w:val="bottom"/>
            <w:gridSpan w:val="2"/>
            <w:shd w:val="clear" w:color="auto" w:fill="005CB9"/>
          </w:tcPr>
          <w:p>
            <w:pPr>
              <w:ind w:left="180"/>
              <w:spacing w:after="0"/>
              <w:rPr>
                <w:sz w:val="20"/>
                <w:szCs w:val="20"/>
                <w:color w:val="auto"/>
              </w:rPr>
            </w:pPr>
            <w:r>
              <w:rPr>
                <w:rFonts w:ascii="Arial" w:cs="Arial" w:eastAsia="Arial" w:hAnsi="Arial"/>
                <w:sz w:val="14"/>
                <w:szCs w:val="14"/>
                <w:b w:val="1"/>
                <w:bCs w:val="1"/>
                <w:color w:val="FFFFFF"/>
              </w:rPr>
              <w:t>Income tax</w:t>
            </w:r>
          </w:p>
        </w:tc>
        <w:tc>
          <w:tcPr>
            <w:tcW w:w="240" w:type="dxa"/>
            <w:vAlign w:val="bottom"/>
            <w:shd w:val="clear" w:color="auto" w:fill="005CB9"/>
          </w:tcPr>
          <w:p>
            <w:pPr>
              <w:spacing w:after="0"/>
              <w:rPr>
                <w:sz w:val="18"/>
                <w:szCs w:val="18"/>
                <w:color w:val="auto"/>
              </w:rPr>
            </w:pPr>
          </w:p>
        </w:tc>
        <w:tc>
          <w:tcPr>
            <w:tcW w:w="860" w:type="dxa"/>
            <w:vAlign w:val="bottom"/>
            <w:shd w:val="clear" w:color="auto" w:fill="005CB9"/>
          </w:tcPr>
          <w:p>
            <w:pPr>
              <w:jc w:val="right"/>
              <w:ind w:right="329"/>
              <w:spacing w:after="0"/>
              <w:rPr>
                <w:sz w:val="20"/>
                <w:szCs w:val="20"/>
                <w:color w:val="auto"/>
              </w:rPr>
            </w:pPr>
            <w:r>
              <w:rPr>
                <w:rFonts w:ascii="Arial" w:cs="Arial" w:eastAsia="Arial" w:hAnsi="Arial"/>
                <w:sz w:val="14"/>
                <w:szCs w:val="14"/>
                <w:b w:val="1"/>
                <w:bCs w:val="1"/>
                <w:color w:val="FFFFFF"/>
              </w:rPr>
              <w:t>Non-</w:t>
            </w:r>
          </w:p>
        </w:tc>
        <w:tc>
          <w:tcPr>
            <w:tcW w:w="340" w:type="dxa"/>
            <w:vAlign w:val="bottom"/>
            <w:shd w:val="clear" w:color="auto" w:fill="005CB9"/>
          </w:tcPr>
          <w:p>
            <w:pPr>
              <w:spacing w:after="0"/>
              <w:rPr>
                <w:sz w:val="18"/>
                <w:szCs w:val="18"/>
                <w:color w:val="auto"/>
              </w:rPr>
            </w:pPr>
          </w:p>
        </w:tc>
        <w:tc>
          <w:tcPr>
            <w:tcW w:w="680" w:type="dxa"/>
            <w:vAlign w:val="bottom"/>
            <w:shd w:val="clear" w:color="auto" w:fill="005CB9"/>
          </w:tcPr>
          <w:p>
            <w:pPr>
              <w:spacing w:after="0"/>
              <w:rPr>
                <w:sz w:val="18"/>
                <w:szCs w:val="18"/>
                <w:color w:val="auto"/>
              </w:rPr>
            </w:pPr>
          </w:p>
        </w:tc>
        <w:tc>
          <w:tcPr>
            <w:tcW w:w="360" w:type="dxa"/>
            <w:vAlign w:val="bottom"/>
            <w:shd w:val="clear" w:color="auto" w:fill="005CB9"/>
          </w:tcPr>
          <w:p>
            <w:pPr>
              <w:spacing w:after="0"/>
              <w:rPr>
                <w:sz w:val="18"/>
                <w:szCs w:val="18"/>
                <w:color w:val="auto"/>
              </w:rPr>
            </w:pPr>
          </w:p>
        </w:tc>
        <w:tc>
          <w:tcPr>
            <w:tcW w:w="820" w:type="dxa"/>
            <w:vAlign w:val="bottom"/>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5580" w:type="dxa"/>
            <w:vAlign w:val="bottom"/>
            <w:vMerge w:val="continue"/>
            <w:shd w:val="clear" w:color="auto" w:fill="005CB9"/>
          </w:tcPr>
          <w:p>
            <w:pPr>
              <w:spacing w:after="0"/>
              <w:rPr>
                <w:sz w:val="12"/>
                <w:szCs w:val="12"/>
                <w:color w:val="auto"/>
              </w:rPr>
            </w:pPr>
          </w:p>
        </w:tc>
        <w:tc>
          <w:tcPr>
            <w:tcW w:w="920" w:type="dxa"/>
            <w:vAlign w:val="bottom"/>
            <w:gridSpan w:val="2"/>
            <w:shd w:val="clear" w:color="auto" w:fill="005CB9"/>
          </w:tcPr>
          <w:p>
            <w:pPr>
              <w:jc w:val="right"/>
              <w:ind w:right="169"/>
              <w:spacing w:after="0" w:line="147" w:lineRule="exact"/>
              <w:rPr>
                <w:sz w:val="20"/>
                <w:szCs w:val="20"/>
                <w:color w:val="auto"/>
              </w:rPr>
            </w:pPr>
            <w:r>
              <w:rPr>
                <w:rFonts w:ascii="Arial" w:cs="Arial" w:eastAsia="Arial" w:hAnsi="Arial"/>
                <w:sz w:val="14"/>
                <w:szCs w:val="14"/>
                <w:b w:val="1"/>
                <w:bCs w:val="1"/>
                <w:color w:val="FFFFFF"/>
              </w:rPr>
              <w:t>Pretax</w:t>
            </w:r>
          </w:p>
        </w:tc>
        <w:tc>
          <w:tcPr>
            <w:tcW w:w="260" w:type="dxa"/>
            <w:vAlign w:val="bottom"/>
            <w:shd w:val="clear" w:color="auto" w:fill="005CB9"/>
          </w:tcPr>
          <w:p>
            <w:pPr>
              <w:spacing w:after="0"/>
              <w:rPr>
                <w:sz w:val="12"/>
                <w:szCs w:val="12"/>
                <w:color w:val="auto"/>
              </w:rPr>
            </w:pPr>
          </w:p>
        </w:tc>
        <w:tc>
          <w:tcPr>
            <w:tcW w:w="860" w:type="dxa"/>
            <w:vAlign w:val="bottom"/>
            <w:shd w:val="clear" w:color="auto" w:fill="005CB9"/>
          </w:tcPr>
          <w:p>
            <w:pPr>
              <w:jc w:val="right"/>
              <w:ind w:right="229"/>
              <w:spacing w:after="0" w:line="147" w:lineRule="exact"/>
              <w:rPr>
                <w:sz w:val="20"/>
                <w:szCs w:val="20"/>
                <w:color w:val="auto"/>
              </w:rPr>
            </w:pPr>
            <w:r>
              <w:rPr>
                <w:rFonts w:ascii="Arial" w:cs="Arial" w:eastAsia="Arial" w:hAnsi="Arial"/>
                <w:sz w:val="14"/>
                <w:szCs w:val="14"/>
                <w:b w:val="1"/>
                <w:bCs w:val="1"/>
                <w:color w:val="FFFFFF"/>
                <w:w w:val="97"/>
              </w:rPr>
              <w:t>(benefit)</w:t>
            </w:r>
          </w:p>
        </w:tc>
        <w:tc>
          <w:tcPr>
            <w:tcW w:w="1100" w:type="dxa"/>
            <w:vAlign w:val="bottom"/>
            <w:gridSpan w:val="2"/>
            <w:shd w:val="clear" w:color="auto" w:fill="005CB9"/>
          </w:tcPr>
          <w:p>
            <w:pPr>
              <w:ind w:left="180"/>
              <w:spacing w:after="0" w:line="147" w:lineRule="exact"/>
              <w:rPr>
                <w:sz w:val="20"/>
                <w:szCs w:val="20"/>
                <w:color w:val="auto"/>
              </w:rPr>
            </w:pPr>
            <w:r>
              <w:rPr>
                <w:rFonts w:ascii="Arial" w:cs="Arial" w:eastAsia="Arial" w:hAnsi="Arial"/>
                <w:sz w:val="14"/>
                <w:szCs w:val="14"/>
                <w:b w:val="1"/>
                <w:bCs w:val="1"/>
                <w:color w:val="FFFFFF"/>
              </w:rPr>
              <w:t>controlling</w:t>
            </w:r>
          </w:p>
        </w:tc>
        <w:tc>
          <w:tcPr>
            <w:tcW w:w="340" w:type="dxa"/>
            <w:vAlign w:val="bottom"/>
            <w:shd w:val="clear" w:color="auto" w:fill="005CB9"/>
          </w:tcPr>
          <w:p>
            <w:pPr>
              <w:spacing w:after="0"/>
              <w:rPr>
                <w:sz w:val="12"/>
                <w:szCs w:val="12"/>
                <w:color w:val="auto"/>
              </w:rPr>
            </w:pPr>
          </w:p>
        </w:tc>
        <w:tc>
          <w:tcPr>
            <w:tcW w:w="680" w:type="dxa"/>
            <w:vAlign w:val="bottom"/>
            <w:shd w:val="clear" w:color="auto" w:fill="005CB9"/>
          </w:tcPr>
          <w:p>
            <w:pPr>
              <w:spacing w:after="0"/>
              <w:rPr>
                <w:sz w:val="12"/>
                <w:szCs w:val="12"/>
                <w:color w:val="auto"/>
              </w:rPr>
            </w:pPr>
          </w:p>
        </w:tc>
        <w:tc>
          <w:tcPr>
            <w:tcW w:w="36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580" w:type="dxa"/>
            <w:vAlign w:val="bottom"/>
            <w:shd w:val="clear" w:color="auto" w:fill="005CB9"/>
          </w:tcPr>
          <w:p>
            <w:pPr>
              <w:ind w:left="80"/>
              <w:spacing w:after="0"/>
              <w:rPr>
                <w:sz w:val="20"/>
                <w:szCs w:val="20"/>
                <w:color w:val="auto"/>
              </w:rPr>
            </w:pPr>
            <w:r>
              <w:rPr>
                <w:rFonts w:ascii="Arial" w:cs="Arial" w:eastAsia="Arial" w:hAnsi="Arial"/>
                <w:sz w:val="14"/>
                <w:szCs w:val="14"/>
                <w:b w:val="1"/>
                <w:bCs w:val="1"/>
                <w:color w:val="FFFFFF"/>
              </w:rPr>
              <w:t>ADJUSTED EPS TO GAAP EPS</w:t>
            </w:r>
          </w:p>
        </w:tc>
        <w:tc>
          <w:tcPr>
            <w:tcW w:w="920" w:type="dxa"/>
            <w:vAlign w:val="bottom"/>
            <w:gridSpan w:val="2"/>
            <w:shd w:val="clear" w:color="auto" w:fill="005CB9"/>
          </w:tcPr>
          <w:p>
            <w:pPr>
              <w:ind w:left="200"/>
              <w:spacing w:after="0"/>
              <w:rPr>
                <w:sz w:val="20"/>
                <w:szCs w:val="20"/>
                <w:color w:val="auto"/>
              </w:rPr>
            </w:pPr>
            <w:r>
              <w:rPr>
                <w:rFonts w:ascii="Arial" w:cs="Arial" w:eastAsia="Arial" w:hAnsi="Arial"/>
                <w:sz w:val="14"/>
                <w:szCs w:val="14"/>
                <w:b w:val="1"/>
                <w:bCs w:val="1"/>
                <w:color w:val="FFFFFF"/>
              </w:rPr>
              <w:t>amount</w:t>
            </w:r>
          </w:p>
        </w:tc>
        <w:tc>
          <w:tcPr>
            <w:tcW w:w="1120" w:type="dxa"/>
            <w:vAlign w:val="bottom"/>
            <w:gridSpan w:val="2"/>
            <w:shd w:val="clear" w:color="auto" w:fill="005CB9"/>
          </w:tcPr>
          <w:p>
            <w:pPr>
              <w:ind w:left="200"/>
              <w:spacing w:after="0" w:line="161" w:lineRule="exact"/>
              <w:rPr>
                <w:sz w:val="20"/>
                <w:szCs w:val="20"/>
                <w:color w:val="auto"/>
              </w:rPr>
            </w:pPr>
            <w:r>
              <w:rPr>
                <w:rFonts w:ascii="Arial" w:cs="Arial" w:eastAsia="Arial" w:hAnsi="Arial"/>
                <w:sz w:val="12"/>
                <w:szCs w:val="12"/>
                <w:b w:val="1"/>
                <w:bCs w:val="1"/>
                <w:color w:val="FFFFFF"/>
              </w:rPr>
              <w:t>expense</w:t>
            </w:r>
            <w:r>
              <w:rPr>
                <w:rFonts w:ascii="Arial" w:cs="Arial" w:eastAsia="Arial" w:hAnsi="Arial"/>
                <w:sz w:val="18"/>
                <w:szCs w:val="18"/>
                <w:b w:val="1"/>
                <w:bCs w:val="1"/>
                <w:color w:val="FFFFFF"/>
                <w:vertAlign w:val="superscript"/>
              </w:rPr>
              <w:t>(1)</w:t>
            </w:r>
          </w:p>
        </w:tc>
        <w:tc>
          <w:tcPr>
            <w:tcW w:w="240" w:type="dxa"/>
            <w:vAlign w:val="bottom"/>
            <w:shd w:val="clear" w:color="auto" w:fill="005CB9"/>
          </w:tcPr>
          <w:p>
            <w:pPr>
              <w:spacing w:after="0"/>
              <w:rPr>
                <w:sz w:val="13"/>
                <w:szCs w:val="13"/>
                <w:color w:val="auto"/>
              </w:rPr>
            </w:pPr>
          </w:p>
        </w:tc>
        <w:tc>
          <w:tcPr>
            <w:tcW w:w="860" w:type="dxa"/>
            <w:vAlign w:val="bottom"/>
            <w:shd w:val="clear" w:color="auto" w:fill="005CB9"/>
          </w:tcPr>
          <w:p>
            <w:pPr>
              <w:jc w:val="right"/>
              <w:ind w:right="189"/>
              <w:spacing w:after="0"/>
              <w:rPr>
                <w:sz w:val="20"/>
                <w:szCs w:val="20"/>
                <w:color w:val="auto"/>
              </w:rPr>
            </w:pPr>
            <w:r>
              <w:rPr>
                <w:rFonts w:ascii="Arial" w:cs="Arial" w:eastAsia="Arial" w:hAnsi="Arial"/>
                <w:sz w:val="14"/>
                <w:szCs w:val="14"/>
                <w:b w:val="1"/>
                <w:bCs w:val="1"/>
                <w:color w:val="FFFFFF"/>
                <w:w w:val="99"/>
              </w:rPr>
              <w:t>interests</w:t>
            </w:r>
          </w:p>
        </w:tc>
        <w:tc>
          <w:tcPr>
            <w:tcW w:w="1020" w:type="dxa"/>
            <w:vAlign w:val="bottom"/>
            <w:gridSpan w:val="2"/>
            <w:shd w:val="clear" w:color="auto" w:fill="005CB9"/>
          </w:tcPr>
          <w:p>
            <w:pPr>
              <w:ind w:left="200"/>
              <w:spacing w:after="0"/>
              <w:rPr>
                <w:sz w:val="20"/>
                <w:szCs w:val="20"/>
                <w:color w:val="auto"/>
              </w:rPr>
            </w:pPr>
            <w:r>
              <w:rPr>
                <w:rFonts w:ascii="Arial" w:cs="Arial" w:eastAsia="Arial" w:hAnsi="Arial"/>
                <w:sz w:val="14"/>
                <w:szCs w:val="14"/>
                <w:b w:val="1"/>
                <w:bCs w:val="1"/>
                <w:color w:val="FFFFFF"/>
              </w:rPr>
              <w:t>Earnings</w:t>
            </w:r>
          </w:p>
        </w:tc>
        <w:tc>
          <w:tcPr>
            <w:tcW w:w="1180" w:type="dxa"/>
            <w:vAlign w:val="bottom"/>
            <w:gridSpan w:val="2"/>
            <w:shd w:val="clear" w:color="auto" w:fill="005CB9"/>
          </w:tcPr>
          <w:p>
            <w:pPr>
              <w:ind w:left="160"/>
              <w:spacing w:after="0"/>
              <w:rPr>
                <w:sz w:val="20"/>
                <w:szCs w:val="20"/>
                <w:color w:val="auto"/>
              </w:rPr>
            </w:pPr>
            <w:r>
              <w:rPr>
                <w:rFonts w:ascii="Arial" w:cs="Arial" w:eastAsia="Arial" w:hAnsi="Arial"/>
                <w:sz w:val="14"/>
                <w:szCs w:val="14"/>
                <w:b w:val="1"/>
                <w:bCs w:val="1"/>
                <w:color w:val="FFFFFF"/>
              </w:rPr>
              <w:t>Diluted EPS</w:t>
            </w:r>
          </w:p>
        </w:tc>
        <w:tc>
          <w:tcPr>
            <w:tcW w:w="0" w:type="dxa"/>
            <w:vAlign w:val="bottom"/>
          </w:tcPr>
          <w:p>
            <w:pPr>
              <w:spacing w:after="0"/>
              <w:rPr>
                <w:sz w:val="1"/>
                <w:szCs w:val="1"/>
                <w:color w:val="auto"/>
              </w:rPr>
            </w:pPr>
          </w:p>
        </w:tc>
      </w:tr>
      <w:tr>
        <w:trPr>
          <w:trHeight w:val="243"/>
        </w:trPr>
        <w:tc>
          <w:tcPr>
            <w:tcW w:w="558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(Dollars in millions, except EPS; shares in thousands)</w:t>
            </w:r>
          </w:p>
        </w:tc>
        <w:tc>
          <w:tcPr>
            <w:tcW w:w="300" w:type="dxa"/>
            <w:vAlign w:val="bottom"/>
            <w:tcBorders>
              <w:bottom w:val="single" w:sz="8" w:color="005CB9"/>
            </w:tcBorders>
            <w:shd w:val="clear" w:color="auto" w:fill="005CB9"/>
          </w:tcPr>
          <w:p>
            <w:pPr>
              <w:spacing w:after="0"/>
              <w:rPr>
                <w:sz w:val="21"/>
                <w:szCs w:val="21"/>
                <w:color w:val="auto"/>
              </w:rPr>
            </w:pPr>
          </w:p>
        </w:tc>
        <w:tc>
          <w:tcPr>
            <w:tcW w:w="620" w:type="dxa"/>
            <w:vAlign w:val="bottom"/>
            <w:tcBorders>
              <w:bottom w:val="single" w:sz="8" w:color="005CB9"/>
            </w:tcBorders>
            <w:shd w:val="clear" w:color="auto" w:fill="005CB9"/>
          </w:tcPr>
          <w:p>
            <w:pPr>
              <w:spacing w:after="0"/>
              <w:rPr>
                <w:sz w:val="21"/>
                <w:szCs w:val="21"/>
                <w:color w:val="auto"/>
              </w:rPr>
            </w:pPr>
          </w:p>
        </w:tc>
        <w:tc>
          <w:tcPr>
            <w:tcW w:w="260" w:type="dxa"/>
            <w:vAlign w:val="bottom"/>
            <w:tcBorders>
              <w:bottom w:val="single" w:sz="8" w:color="005CB9"/>
            </w:tcBorders>
            <w:shd w:val="clear" w:color="auto" w:fill="005CB9"/>
          </w:tcPr>
          <w:p>
            <w:pPr>
              <w:spacing w:after="0"/>
              <w:rPr>
                <w:sz w:val="21"/>
                <w:szCs w:val="21"/>
                <w:color w:val="auto"/>
              </w:rPr>
            </w:pPr>
          </w:p>
        </w:tc>
        <w:tc>
          <w:tcPr>
            <w:tcW w:w="2980" w:type="dxa"/>
            <w:vAlign w:val="bottom"/>
            <w:tcBorders>
              <w:bottom w:val="single" w:sz="8" w:color="005CB9"/>
            </w:tcBorders>
            <w:gridSpan w:val="5"/>
            <w:shd w:val="clear" w:color="auto" w:fill="005CB9"/>
          </w:tcPr>
          <w:p>
            <w:pPr>
              <w:jc w:val="right"/>
              <w:ind w:right="389"/>
              <w:spacing w:after="0"/>
              <w:rPr>
                <w:sz w:val="20"/>
                <w:szCs w:val="20"/>
                <w:color w:val="auto"/>
              </w:rPr>
            </w:pPr>
            <w:r>
              <w:rPr>
                <w:rFonts w:ascii="Arial" w:cs="Arial" w:eastAsia="Arial" w:hAnsi="Arial"/>
                <w:sz w:val="14"/>
                <w:szCs w:val="14"/>
                <w:b w:val="1"/>
                <w:bCs w:val="1"/>
                <w:color w:val="FFFFFF"/>
              </w:rPr>
              <w:t>Year ended December 31, 2025</w:t>
            </w:r>
          </w:p>
        </w:tc>
        <w:tc>
          <w:tcPr>
            <w:tcW w:w="360" w:type="dxa"/>
            <w:vAlign w:val="bottom"/>
            <w:tcBorders>
              <w:bottom w:val="single" w:sz="8" w:color="005CB9"/>
            </w:tcBorders>
            <w:shd w:val="clear" w:color="auto" w:fill="005CB9"/>
          </w:tcPr>
          <w:p>
            <w:pPr>
              <w:spacing w:after="0"/>
              <w:rPr>
                <w:sz w:val="21"/>
                <w:szCs w:val="21"/>
                <w:color w:val="auto"/>
              </w:rPr>
            </w:pPr>
          </w:p>
        </w:tc>
        <w:tc>
          <w:tcPr>
            <w:tcW w:w="820" w:type="dxa"/>
            <w:vAlign w:val="bottom"/>
            <w:tcBorders>
              <w:bottom w:val="single" w:sz="8" w:color="005CB9"/>
            </w:tcBorders>
            <w:shd w:val="clear" w:color="auto" w:fill="005CB9"/>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580" w:type="dxa"/>
            <w:vAlign w:val="bottom"/>
          </w:tcPr>
          <w:p>
            <w:pPr>
              <w:ind w:left="80"/>
              <w:spacing w:after="0"/>
              <w:rPr>
                <w:sz w:val="20"/>
                <w:szCs w:val="20"/>
                <w:color w:val="auto"/>
              </w:rPr>
            </w:pPr>
            <w:r>
              <w:rPr>
                <w:rFonts w:ascii="Arial" w:cs="Arial" w:eastAsia="Arial" w:hAnsi="Arial"/>
                <w:sz w:val="14"/>
                <w:szCs w:val="14"/>
                <w:b w:val="1"/>
                <w:bCs w:val="1"/>
                <w:color w:val="auto"/>
              </w:rPr>
              <w:t>Sempra GAAP Earnings and GAAP EPS</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tcPr>
          <w:p>
            <w:pPr>
              <w:ind w:left="2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49"/>
              <w:spacing w:after="0"/>
              <w:rPr>
                <w:sz w:val="20"/>
                <w:szCs w:val="20"/>
                <w:color w:val="auto"/>
              </w:rPr>
            </w:pPr>
            <w:r>
              <w:rPr>
                <w:rFonts w:ascii="Arial" w:cs="Arial" w:eastAsia="Arial" w:hAnsi="Arial"/>
                <w:sz w:val="14"/>
                <w:szCs w:val="14"/>
                <w:color w:val="auto"/>
              </w:rPr>
              <w:t>1,796</w:t>
            </w: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42"/>
        </w:trPr>
        <w:tc>
          <w:tcPr>
            <w:tcW w:w="5580" w:type="dxa"/>
            <w:vAlign w:val="bottom"/>
            <w:tcBorders>
              <w:bottom w:val="single" w:sz="8" w:color="7F7F7F"/>
            </w:tcBorders>
          </w:tcPr>
          <w:p>
            <w:pPr>
              <w:spacing w:after="0"/>
              <w:rPr>
                <w:sz w:val="3"/>
                <w:szCs w:val="3"/>
                <w:color w:val="auto"/>
              </w:rPr>
            </w:pPr>
          </w:p>
        </w:tc>
        <w:tc>
          <w:tcPr>
            <w:tcW w:w="300" w:type="dxa"/>
            <w:vAlign w:val="bottom"/>
            <w:tcBorders>
              <w:bottom w:val="single" w:sz="8" w:color="7F7F7F"/>
            </w:tcBorders>
          </w:tcPr>
          <w:p>
            <w:pPr>
              <w:spacing w:after="0"/>
              <w:rPr>
                <w:sz w:val="3"/>
                <w:szCs w:val="3"/>
                <w:color w:val="auto"/>
              </w:rPr>
            </w:pPr>
          </w:p>
        </w:tc>
        <w:tc>
          <w:tcPr>
            <w:tcW w:w="620" w:type="dxa"/>
            <w:vAlign w:val="bottom"/>
            <w:tcBorders>
              <w:bottom w:val="single" w:sz="8" w:color="7F7F7F"/>
            </w:tcBorders>
          </w:tcPr>
          <w:p>
            <w:pPr>
              <w:spacing w:after="0"/>
              <w:rPr>
                <w:sz w:val="3"/>
                <w:szCs w:val="3"/>
                <w:color w:val="auto"/>
              </w:rPr>
            </w:pPr>
          </w:p>
        </w:tc>
        <w:tc>
          <w:tcPr>
            <w:tcW w:w="26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240" w:type="dxa"/>
            <w:vAlign w:val="bottom"/>
            <w:tcBorders>
              <w:bottom w:val="single" w:sz="8" w:color="7F7F7F"/>
            </w:tcBorders>
          </w:tcPr>
          <w:p>
            <w:pPr>
              <w:spacing w:after="0"/>
              <w:rPr>
                <w:sz w:val="3"/>
                <w:szCs w:val="3"/>
                <w:color w:val="auto"/>
              </w:rPr>
            </w:pPr>
          </w:p>
        </w:tc>
        <w:tc>
          <w:tcPr>
            <w:tcW w:w="860" w:type="dxa"/>
            <w:vAlign w:val="bottom"/>
            <w:tcBorders>
              <w:bottom w:val="single" w:sz="8" w:color="7F7F7F"/>
            </w:tcBorders>
          </w:tcPr>
          <w:p>
            <w:pPr>
              <w:spacing w:after="0"/>
              <w:rPr>
                <w:sz w:val="3"/>
                <w:szCs w:val="3"/>
                <w:color w:val="auto"/>
              </w:rPr>
            </w:pPr>
          </w:p>
        </w:tc>
        <w:tc>
          <w:tcPr>
            <w:tcW w:w="340" w:type="dxa"/>
            <w:vAlign w:val="bottom"/>
            <w:tcBorders>
              <w:bottom w:val="single" w:sz="8" w:color="7F7F7F"/>
            </w:tcBorders>
          </w:tcPr>
          <w:p>
            <w:pPr>
              <w:spacing w:after="0"/>
              <w:rPr>
                <w:sz w:val="3"/>
                <w:szCs w:val="3"/>
                <w:color w:val="auto"/>
              </w:rPr>
            </w:pPr>
          </w:p>
        </w:tc>
        <w:tc>
          <w:tcPr>
            <w:tcW w:w="680" w:type="dxa"/>
            <w:vAlign w:val="bottom"/>
            <w:tcBorders>
              <w:bottom w:val="single" w:sz="8" w:color="7F7F7F"/>
            </w:tcBorders>
          </w:tcPr>
          <w:p>
            <w:pPr>
              <w:spacing w:after="0"/>
              <w:rPr>
                <w:sz w:val="3"/>
                <w:szCs w:val="3"/>
                <w:color w:val="auto"/>
              </w:rPr>
            </w:pPr>
          </w:p>
        </w:tc>
        <w:tc>
          <w:tcPr>
            <w:tcW w:w="360" w:type="dxa"/>
            <w:vAlign w:val="bottom"/>
            <w:tcBorders>
              <w:bottom w:val="single" w:sz="8" w:color="7F7F7F"/>
            </w:tcBorders>
          </w:tcPr>
          <w:p>
            <w:pPr>
              <w:spacing w:after="0"/>
              <w:rPr>
                <w:sz w:val="3"/>
                <w:szCs w:val="3"/>
                <w:color w:val="auto"/>
              </w:rPr>
            </w:pPr>
          </w:p>
        </w:tc>
        <w:tc>
          <w:tcPr>
            <w:tcW w:w="82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Excluded items:</w:t>
            </w:r>
          </w:p>
        </w:tc>
        <w:tc>
          <w:tcPr>
            <w:tcW w:w="300" w:type="dxa"/>
            <w:vAlign w:val="bottom"/>
            <w:tcBorders>
              <w:bottom w:val="single" w:sz="8" w:color="F2F2F2"/>
            </w:tcBorders>
            <w:shd w:val="clear" w:color="auto" w:fill="F2F2F2"/>
          </w:tcPr>
          <w:p>
            <w:pPr>
              <w:spacing w:after="0"/>
              <w:rPr>
                <w:sz w:val="23"/>
                <w:szCs w:val="23"/>
                <w:color w:val="auto"/>
              </w:rPr>
            </w:pPr>
          </w:p>
        </w:tc>
        <w:tc>
          <w:tcPr>
            <w:tcW w:w="620" w:type="dxa"/>
            <w:vAlign w:val="bottom"/>
            <w:tcBorders>
              <w:bottom w:val="single" w:sz="8" w:color="F2F2F2"/>
            </w:tcBorders>
            <w:shd w:val="clear" w:color="auto" w:fill="F2F2F2"/>
          </w:tcPr>
          <w:p>
            <w:pPr>
              <w:spacing w:after="0"/>
              <w:rPr>
                <w:sz w:val="23"/>
                <w:szCs w:val="23"/>
                <w:color w:val="auto"/>
              </w:rPr>
            </w:pPr>
          </w:p>
        </w:tc>
        <w:tc>
          <w:tcPr>
            <w:tcW w:w="26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spacing w:after="0"/>
              <w:rPr>
                <w:sz w:val="23"/>
                <w:szCs w:val="23"/>
                <w:color w:val="auto"/>
              </w:rPr>
            </w:pPr>
          </w:p>
        </w:tc>
        <w:tc>
          <w:tcPr>
            <w:tcW w:w="24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spacing w:after="0"/>
              <w:rPr>
                <w:sz w:val="23"/>
                <w:szCs w:val="23"/>
                <w:color w:val="auto"/>
              </w:rPr>
            </w:pPr>
          </w:p>
        </w:tc>
        <w:tc>
          <w:tcPr>
            <w:tcW w:w="340" w:type="dxa"/>
            <w:vAlign w:val="bottom"/>
            <w:tcBorders>
              <w:bottom w:val="single" w:sz="8" w:color="F2F2F2"/>
            </w:tcBorders>
            <w:shd w:val="clear" w:color="auto" w:fill="F2F2F2"/>
          </w:tcPr>
          <w:p>
            <w:pPr>
              <w:spacing w:after="0"/>
              <w:rPr>
                <w:sz w:val="23"/>
                <w:szCs w:val="23"/>
                <w:color w:val="auto"/>
              </w:rPr>
            </w:pPr>
          </w:p>
        </w:tc>
        <w:tc>
          <w:tcPr>
            <w:tcW w:w="680" w:type="dxa"/>
            <w:vAlign w:val="bottom"/>
            <w:tcBorders>
              <w:bottom w:val="single" w:sz="8" w:color="F2F2F2"/>
            </w:tcBorders>
            <w:shd w:val="clear" w:color="auto" w:fill="F2F2F2"/>
          </w:tcPr>
          <w:p>
            <w:pPr>
              <w:spacing w:after="0"/>
              <w:rPr>
                <w:sz w:val="23"/>
                <w:szCs w:val="23"/>
                <w:color w:val="auto"/>
              </w:rPr>
            </w:pPr>
          </w:p>
        </w:tc>
        <w:tc>
          <w:tcPr>
            <w:tcW w:w="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58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Impact from regulatory disallowances</w:t>
            </w:r>
          </w:p>
        </w:tc>
        <w:tc>
          <w:tcPr>
            <w:tcW w:w="300" w:type="dxa"/>
            <w:vAlign w:val="bottom"/>
            <w:tcBorders>
              <w:top w:val="single" w:sz="8" w:color="7F7F7F"/>
            </w:tcBorders>
          </w:tcPr>
          <w:p>
            <w:pPr>
              <w:ind w:left="20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641</w:t>
            </w:r>
          </w:p>
        </w:tc>
        <w:tc>
          <w:tcPr>
            <w:tcW w:w="260" w:type="dxa"/>
            <w:vAlign w:val="bottom"/>
            <w:tcBorders>
              <w:top w:val="single" w:sz="8" w:color="7F7F7F"/>
            </w:tcBorders>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(184)</w:t>
            </w:r>
          </w:p>
        </w:tc>
        <w:tc>
          <w:tcPr>
            <w:tcW w:w="240" w:type="dxa"/>
            <w:vAlign w:val="bottom"/>
            <w:tcBorders>
              <w:top w:val="single" w:sz="8" w:color="7F7F7F"/>
            </w:tcBorders>
          </w:tcPr>
          <w:p>
            <w:pPr>
              <w:ind w:left="18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7F7F7F"/>
            </w:tcBorders>
          </w:tcPr>
          <w:p>
            <w:pPr>
              <w:spacing w:after="0"/>
              <w:rPr>
                <w:sz w:val="19"/>
                <w:szCs w:val="19"/>
                <w:color w:val="auto"/>
              </w:rPr>
            </w:pPr>
          </w:p>
        </w:tc>
        <w:tc>
          <w:tcPr>
            <w:tcW w:w="680" w:type="dxa"/>
            <w:vAlign w:val="bottom"/>
            <w:tcBorders>
              <w:top w:val="single" w:sz="8" w:color="7F7F7F"/>
            </w:tcBorders>
          </w:tcPr>
          <w:p>
            <w:pPr>
              <w:jc w:val="right"/>
              <w:ind w:right="149"/>
              <w:spacing w:after="0"/>
              <w:rPr>
                <w:sz w:val="20"/>
                <w:szCs w:val="20"/>
                <w:color w:val="auto"/>
              </w:rPr>
            </w:pPr>
            <w:r>
              <w:rPr>
                <w:rFonts w:ascii="Arial" w:cs="Arial" w:eastAsia="Arial" w:hAnsi="Arial"/>
                <w:sz w:val="14"/>
                <w:szCs w:val="14"/>
                <w:color w:val="auto"/>
              </w:rPr>
              <w:t>457</w:t>
            </w:r>
          </w:p>
        </w:tc>
        <w:tc>
          <w:tcPr>
            <w:tcW w:w="360" w:type="dxa"/>
            <w:vAlign w:val="bottom"/>
            <w:tcBorders>
              <w:top w:val="single" w:sz="8" w:color="7F7F7F"/>
            </w:tcBorders>
          </w:tcPr>
          <w:p>
            <w:pPr>
              <w:spacing w:after="0"/>
              <w:rPr>
                <w:sz w:val="19"/>
                <w:szCs w:val="19"/>
                <w:color w:val="auto"/>
              </w:rPr>
            </w:pPr>
          </w:p>
        </w:tc>
        <w:tc>
          <w:tcPr>
            <w:tcW w:w="8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0.70</w:t>
            </w: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Impact from foreign currency and inflation on monetary positions in Mexico</w:t>
            </w:r>
          </w:p>
        </w:tc>
        <w:tc>
          <w:tcPr>
            <w:tcW w:w="300" w:type="dxa"/>
            <w:vAlign w:val="bottom"/>
            <w:tcBorders>
              <w:bottom w:val="single" w:sz="8" w:color="F2F2F2"/>
            </w:tcBorders>
            <w:shd w:val="clear" w:color="auto" w:fill="F2F2F2"/>
          </w:tcPr>
          <w:p>
            <w:pPr>
              <w:spacing w:after="0"/>
              <w:rPr>
                <w:sz w:val="23"/>
                <w:szCs w:val="23"/>
                <w:color w:val="auto"/>
              </w:rPr>
            </w:pPr>
          </w:p>
        </w:tc>
        <w:tc>
          <w:tcPr>
            <w:tcW w:w="6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240</w:t>
            </w:r>
          </w:p>
        </w:tc>
        <w:tc>
          <w:tcPr>
            <w:tcW w:w="24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(90)</w:t>
            </w:r>
          </w:p>
        </w:tc>
        <w:tc>
          <w:tcPr>
            <w:tcW w:w="340" w:type="dxa"/>
            <w:vAlign w:val="bottom"/>
            <w:tcBorders>
              <w:bottom w:val="single" w:sz="8" w:color="F2F2F2"/>
            </w:tcBorders>
            <w:shd w:val="clear" w:color="auto" w:fill="F2F2F2"/>
          </w:tcPr>
          <w:p>
            <w:pPr>
              <w:spacing w:after="0"/>
              <w:rPr>
                <w:sz w:val="23"/>
                <w:szCs w:val="23"/>
                <w:color w:val="auto"/>
              </w:rPr>
            </w:pPr>
          </w:p>
        </w:tc>
        <w:tc>
          <w:tcPr>
            <w:tcW w:w="680" w:type="dxa"/>
            <w:vAlign w:val="bottom"/>
            <w:tcBorders>
              <w:bottom w:val="single" w:sz="8" w:color="F2F2F2"/>
            </w:tcBorders>
            <w:shd w:val="clear" w:color="auto" w:fill="F2F2F2"/>
          </w:tcPr>
          <w:p>
            <w:pPr>
              <w:jc w:val="right"/>
              <w:ind w:right="149"/>
              <w:spacing w:after="0"/>
              <w:rPr>
                <w:sz w:val="20"/>
                <w:szCs w:val="20"/>
                <w:color w:val="auto"/>
              </w:rPr>
            </w:pPr>
            <w:r>
              <w:rPr>
                <w:rFonts w:ascii="Arial" w:cs="Arial" w:eastAsia="Arial" w:hAnsi="Arial"/>
                <w:sz w:val="14"/>
                <w:szCs w:val="14"/>
                <w:color w:val="auto"/>
              </w:rPr>
              <w:t>180</w:t>
            </w:r>
          </w:p>
        </w:tc>
        <w:tc>
          <w:tcPr>
            <w:tcW w:w="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27"/>
        </w:trPr>
        <w:tc>
          <w:tcPr>
            <w:tcW w:w="558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Net unrealized losses on commodity derivatives</w:t>
            </w:r>
          </w:p>
        </w:tc>
        <w:tc>
          <w:tcPr>
            <w:tcW w:w="300" w:type="dxa"/>
            <w:vAlign w:val="bottom"/>
            <w:tcBorders>
              <w:top w:val="single" w:sz="8" w:color="7F7F7F"/>
            </w:tcBorders>
          </w:tcPr>
          <w:p>
            <w:pPr>
              <w:spacing w:after="0"/>
              <w:rPr>
                <w:sz w:val="19"/>
                <w:szCs w:val="19"/>
                <w:color w:val="auto"/>
              </w:rPr>
            </w:pPr>
          </w:p>
        </w:tc>
        <w:tc>
          <w:tcPr>
            <w:tcW w:w="6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85</w:t>
            </w:r>
          </w:p>
        </w:tc>
        <w:tc>
          <w:tcPr>
            <w:tcW w:w="26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(16)</w:t>
            </w:r>
          </w:p>
        </w:tc>
        <w:tc>
          <w:tcPr>
            <w:tcW w:w="24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(26)</w:t>
            </w:r>
          </w:p>
        </w:tc>
        <w:tc>
          <w:tcPr>
            <w:tcW w:w="340" w:type="dxa"/>
            <w:vAlign w:val="bottom"/>
            <w:tcBorders>
              <w:top w:val="single" w:sz="8" w:color="7F7F7F"/>
            </w:tcBorders>
          </w:tcPr>
          <w:p>
            <w:pPr>
              <w:spacing w:after="0"/>
              <w:rPr>
                <w:sz w:val="19"/>
                <w:szCs w:val="19"/>
                <w:color w:val="auto"/>
              </w:rPr>
            </w:pPr>
          </w:p>
        </w:tc>
        <w:tc>
          <w:tcPr>
            <w:tcW w:w="680" w:type="dxa"/>
            <w:vAlign w:val="bottom"/>
            <w:tcBorders>
              <w:top w:val="single" w:sz="8" w:color="7F7F7F"/>
            </w:tcBorders>
          </w:tcPr>
          <w:p>
            <w:pPr>
              <w:jc w:val="right"/>
              <w:ind w:right="149"/>
              <w:spacing w:after="0"/>
              <w:rPr>
                <w:sz w:val="20"/>
                <w:szCs w:val="20"/>
                <w:color w:val="auto"/>
              </w:rPr>
            </w:pPr>
            <w:r>
              <w:rPr>
                <w:rFonts w:ascii="Arial" w:cs="Arial" w:eastAsia="Arial" w:hAnsi="Arial"/>
                <w:sz w:val="14"/>
                <w:szCs w:val="14"/>
                <w:color w:val="auto"/>
              </w:rPr>
              <w:t>43</w:t>
            </w:r>
          </w:p>
        </w:tc>
        <w:tc>
          <w:tcPr>
            <w:tcW w:w="360" w:type="dxa"/>
            <w:vAlign w:val="bottom"/>
            <w:tcBorders>
              <w:top w:val="single" w:sz="8" w:color="7F7F7F"/>
            </w:tcBorders>
          </w:tcPr>
          <w:p>
            <w:pPr>
              <w:spacing w:after="0"/>
              <w:rPr>
                <w:sz w:val="19"/>
                <w:szCs w:val="19"/>
                <w:color w:val="auto"/>
              </w:rPr>
            </w:pPr>
          </w:p>
        </w:tc>
        <w:tc>
          <w:tcPr>
            <w:tcW w:w="8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580" w:type="dxa"/>
            <w:vAlign w:val="bottom"/>
            <w:shd w:val="clear" w:color="auto" w:fill="F2F2F2"/>
          </w:tcPr>
          <w:p>
            <w:pPr>
              <w:ind w:left="220"/>
              <w:spacing w:after="0"/>
              <w:rPr>
                <w:sz w:val="20"/>
                <w:szCs w:val="20"/>
                <w:color w:val="auto"/>
              </w:rPr>
            </w:pPr>
            <w:r>
              <w:rPr>
                <w:rFonts w:ascii="Arial" w:cs="Arial" w:eastAsia="Arial" w:hAnsi="Arial"/>
                <w:sz w:val="14"/>
                <w:szCs w:val="14"/>
                <w:color w:val="auto"/>
              </w:rPr>
              <w:t>Net unrealized losses on interest rate swaps related to the initial phase of Port Arthur</w:t>
            </w:r>
          </w:p>
        </w:tc>
        <w:tc>
          <w:tcPr>
            <w:tcW w:w="300" w:type="dxa"/>
            <w:vAlign w:val="bottom"/>
            <w:shd w:val="clear" w:color="auto" w:fill="F2F2F2"/>
          </w:tcPr>
          <w:p>
            <w:pPr>
              <w:spacing w:after="0"/>
              <w:rPr>
                <w:sz w:val="17"/>
                <w:szCs w:val="17"/>
                <w:color w:val="auto"/>
              </w:rPr>
            </w:pPr>
          </w:p>
        </w:tc>
        <w:tc>
          <w:tcPr>
            <w:tcW w:w="620" w:type="dxa"/>
            <w:vAlign w:val="bottom"/>
            <w:shd w:val="clear" w:color="auto" w:fill="F2F2F2"/>
          </w:tcPr>
          <w:p>
            <w:pPr>
              <w:spacing w:after="0"/>
              <w:rPr>
                <w:sz w:val="17"/>
                <w:szCs w:val="17"/>
                <w:color w:val="auto"/>
              </w:rPr>
            </w:pPr>
          </w:p>
        </w:tc>
        <w:tc>
          <w:tcPr>
            <w:tcW w:w="26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860" w:type="dxa"/>
            <w:vAlign w:val="bottom"/>
            <w:shd w:val="clear" w:color="auto" w:fill="F2F2F2"/>
          </w:tcPr>
          <w:p>
            <w:pPr>
              <w:spacing w:after="0"/>
              <w:rPr>
                <w:sz w:val="17"/>
                <w:szCs w:val="17"/>
                <w:color w:val="auto"/>
              </w:rPr>
            </w:pPr>
          </w:p>
        </w:tc>
        <w:tc>
          <w:tcPr>
            <w:tcW w:w="340" w:type="dxa"/>
            <w:vAlign w:val="bottom"/>
            <w:shd w:val="clear" w:color="auto" w:fill="F2F2F2"/>
          </w:tcPr>
          <w:p>
            <w:pPr>
              <w:spacing w:after="0"/>
              <w:rPr>
                <w:sz w:val="17"/>
                <w:szCs w:val="17"/>
                <w:color w:val="auto"/>
              </w:rPr>
            </w:pPr>
          </w:p>
        </w:tc>
        <w:tc>
          <w:tcPr>
            <w:tcW w:w="680" w:type="dxa"/>
            <w:vAlign w:val="bottom"/>
            <w:shd w:val="clear" w:color="auto" w:fill="F2F2F2"/>
          </w:tcPr>
          <w:p>
            <w:pPr>
              <w:spacing w:after="0"/>
              <w:rPr>
                <w:sz w:val="17"/>
                <w:szCs w:val="17"/>
                <w:color w:val="auto"/>
              </w:rPr>
            </w:pPr>
          </w:p>
        </w:tc>
        <w:tc>
          <w:tcPr>
            <w:tcW w:w="360" w:type="dxa"/>
            <w:vAlign w:val="bottom"/>
            <w:shd w:val="clear" w:color="auto" w:fill="F2F2F2"/>
          </w:tcPr>
          <w:p>
            <w:pPr>
              <w:spacing w:after="0"/>
              <w:rPr>
                <w:sz w:val="17"/>
                <w:szCs w:val="17"/>
                <w:color w:val="auto"/>
              </w:rPr>
            </w:pPr>
          </w:p>
        </w:tc>
        <w:tc>
          <w:tcPr>
            <w:tcW w:w="82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LNG liquefaction project</w:t>
            </w:r>
          </w:p>
        </w:tc>
        <w:tc>
          <w:tcPr>
            <w:tcW w:w="300" w:type="dxa"/>
            <w:vAlign w:val="bottom"/>
            <w:tcBorders>
              <w:bottom w:val="single" w:sz="8" w:color="F2F2F2"/>
            </w:tcBorders>
            <w:shd w:val="clear" w:color="auto" w:fill="F2F2F2"/>
          </w:tcPr>
          <w:p>
            <w:pPr>
              <w:spacing w:after="0"/>
              <w:rPr>
                <w:sz w:val="20"/>
                <w:szCs w:val="20"/>
                <w:color w:val="auto"/>
              </w:rPr>
            </w:pPr>
          </w:p>
        </w:tc>
        <w:tc>
          <w:tcPr>
            <w:tcW w:w="6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F2F2F2"/>
            </w:tcBorders>
            <w:shd w:val="clear" w:color="auto" w:fill="F2F2F2"/>
          </w:tcPr>
          <w:p>
            <w:pPr>
              <w:spacing w:after="0"/>
              <w:rPr>
                <w:sz w:val="20"/>
                <w:szCs w:val="20"/>
                <w:color w:val="auto"/>
              </w:rPr>
            </w:pPr>
          </w:p>
        </w:tc>
        <w:tc>
          <w:tcPr>
            <w:tcW w:w="86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F2F2F2"/>
            </w:tcBorders>
            <w:shd w:val="clear" w:color="auto" w:fill="F2F2F2"/>
          </w:tcPr>
          <w:p>
            <w:pPr>
              <w:spacing w:after="0"/>
              <w:rPr>
                <w:sz w:val="20"/>
                <w:szCs w:val="20"/>
                <w:color w:val="auto"/>
              </w:rPr>
            </w:pPr>
          </w:p>
        </w:tc>
        <w:tc>
          <w:tcPr>
            <w:tcW w:w="8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(3)</w:t>
            </w:r>
          </w:p>
        </w:tc>
        <w:tc>
          <w:tcPr>
            <w:tcW w:w="340" w:type="dxa"/>
            <w:vAlign w:val="bottom"/>
            <w:tcBorders>
              <w:bottom w:val="single" w:sz="8" w:color="F2F2F2"/>
            </w:tcBorders>
            <w:shd w:val="clear" w:color="auto" w:fill="F2F2F2"/>
          </w:tcPr>
          <w:p>
            <w:pPr>
              <w:spacing w:after="0"/>
              <w:rPr>
                <w:sz w:val="20"/>
                <w:szCs w:val="20"/>
                <w:color w:val="auto"/>
              </w:rPr>
            </w:pPr>
          </w:p>
        </w:tc>
        <w:tc>
          <w:tcPr>
            <w:tcW w:w="680" w:type="dxa"/>
            <w:vAlign w:val="bottom"/>
            <w:tcBorders>
              <w:bottom w:val="single" w:sz="8" w:color="F2F2F2"/>
            </w:tcBorders>
            <w:shd w:val="clear" w:color="auto" w:fill="F2F2F2"/>
          </w:tcPr>
          <w:p>
            <w:pPr>
              <w:jc w:val="right"/>
              <w:ind w:right="149"/>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F2F2F2"/>
            </w:tcBorders>
            <w:shd w:val="clear" w:color="auto" w:fill="F2F2F2"/>
          </w:tcPr>
          <w:p>
            <w:pPr>
              <w:spacing w:after="0"/>
              <w:rPr>
                <w:sz w:val="20"/>
                <w:szCs w:val="20"/>
                <w:color w:val="auto"/>
              </w:rPr>
            </w:pPr>
          </w:p>
        </w:tc>
        <w:tc>
          <w:tcPr>
            <w:tcW w:w="8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558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Tax items related to assets held for sale</w:t>
            </w:r>
          </w:p>
        </w:tc>
        <w:tc>
          <w:tcPr>
            <w:tcW w:w="300" w:type="dxa"/>
            <w:vAlign w:val="bottom"/>
            <w:tcBorders>
              <w:top w:val="single" w:sz="8" w:color="7F7F7F"/>
            </w:tcBorders>
          </w:tcPr>
          <w:p>
            <w:pPr>
              <w:spacing w:after="0"/>
              <w:rPr>
                <w:sz w:val="19"/>
                <w:szCs w:val="19"/>
                <w:color w:val="auto"/>
              </w:rPr>
            </w:pPr>
          </w:p>
        </w:tc>
        <w:tc>
          <w:tcPr>
            <w:tcW w:w="6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516</w:t>
            </w:r>
          </w:p>
        </w:tc>
        <w:tc>
          <w:tcPr>
            <w:tcW w:w="24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69"/>
              <w:spacing w:after="0"/>
              <w:rPr>
                <w:sz w:val="20"/>
                <w:szCs w:val="20"/>
                <w:color w:val="auto"/>
              </w:rPr>
            </w:pPr>
            <w:r>
              <w:rPr>
                <w:rFonts w:ascii="Arial" w:cs="Arial" w:eastAsia="Arial" w:hAnsi="Arial"/>
                <w:sz w:val="14"/>
                <w:szCs w:val="14"/>
                <w:color w:val="auto"/>
              </w:rPr>
              <w:t>(4)</w:t>
            </w:r>
          </w:p>
        </w:tc>
        <w:tc>
          <w:tcPr>
            <w:tcW w:w="340" w:type="dxa"/>
            <w:vAlign w:val="bottom"/>
            <w:tcBorders>
              <w:top w:val="single" w:sz="8" w:color="7F7F7F"/>
            </w:tcBorders>
          </w:tcPr>
          <w:p>
            <w:pPr>
              <w:spacing w:after="0"/>
              <w:rPr>
                <w:sz w:val="19"/>
                <w:szCs w:val="19"/>
                <w:color w:val="auto"/>
              </w:rPr>
            </w:pPr>
          </w:p>
        </w:tc>
        <w:tc>
          <w:tcPr>
            <w:tcW w:w="680" w:type="dxa"/>
            <w:vAlign w:val="bottom"/>
            <w:tcBorders>
              <w:top w:val="single" w:sz="8" w:color="7F7F7F"/>
            </w:tcBorders>
          </w:tcPr>
          <w:p>
            <w:pPr>
              <w:jc w:val="right"/>
              <w:ind w:right="149"/>
              <w:spacing w:after="0"/>
              <w:rPr>
                <w:sz w:val="20"/>
                <w:szCs w:val="20"/>
                <w:color w:val="auto"/>
              </w:rPr>
            </w:pPr>
            <w:r>
              <w:rPr>
                <w:rFonts w:ascii="Arial" w:cs="Arial" w:eastAsia="Arial" w:hAnsi="Arial"/>
                <w:sz w:val="14"/>
                <w:szCs w:val="14"/>
                <w:color w:val="auto"/>
              </w:rPr>
              <w:t>512</w:t>
            </w:r>
          </w:p>
        </w:tc>
        <w:tc>
          <w:tcPr>
            <w:tcW w:w="360" w:type="dxa"/>
            <w:vAlign w:val="bottom"/>
            <w:tcBorders>
              <w:top w:val="single" w:sz="8" w:color="7F7F7F"/>
            </w:tcBorders>
          </w:tcPr>
          <w:p>
            <w:pPr>
              <w:spacing w:after="0"/>
              <w:rPr>
                <w:sz w:val="19"/>
                <w:szCs w:val="19"/>
                <w:color w:val="auto"/>
              </w:rPr>
            </w:pPr>
          </w:p>
        </w:tc>
        <w:tc>
          <w:tcPr>
            <w:tcW w:w="8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Impact from foreign tax credit valuation allowance related to TCJA</w:t>
            </w:r>
          </w:p>
        </w:tc>
        <w:tc>
          <w:tcPr>
            <w:tcW w:w="300" w:type="dxa"/>
            <w:vAlign w:val="bottom"/>
            <w:tcBorders>
              <w:bottom w:val="single" w:sz="8" w:color="F2F2F2"/>
            </w:tcBorders>
            <w:shd w:val="clear" w:color="auto" w:fill="F2F2F2"/>
          </w:tcPr>
          <w:p>
            <w:pPr>
              <w:spacing w:after="0"/>
              <w:rPr>
                <w:sz w:val="23"/>
                <w:szCs w:val="23"/>
                <w:color w:val="auto"/>
              </w:rPr>
            </w:pPr>
          </w:p>
        </w:tc>
        <w:tc>
          <w:tcPr>
            <w:tcW w:w="6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78</w:t>
            </w:r>
          </w:p>
        </w:tc>
        <w:tc>
          <w:tcPr>
            <w:tcW w:w="24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F2F2F2"/>
            </w:tcBorders>
            <w:shd w:val="clear" w:color="auto" w:fill="F2F2F2"/>
          </w:tcPr>
          <w:p>
            <w:pPr>
              <w:spacing w:after="0"/>
              <w:rPr>
                <w:sz w:val="23"/>
                <w:szCs w:val="23"/>
                <w:color w:val="auto"/>
              </w:rPr>
            </w:pPr>
          </w:p>
        </w:tc>
        <w:tc>
          <w:tcPr>
            <w:tcW w:w="680" w:type="dxa"/>
            <w:vAlign w:val="bottom"/>
            <w:tcBorders>
              <w:bottom w:val="single" w:sz="8" w:color="F2F2F2"/>
            </w:tcBorders>
            <w:shd w:val="clear" w:color="auto" w:fill="F2F2F2"/>
          </w:tcPr>
          <w:p>
            <w:pPr>
              <w:jc w:val="right"/>
              <w:ind w:right="149"/>
              <w:spacing w:after="0"/>
              <w:rPr>
                <w:sz w:val="20"/>
                <w:szCs w:val="20"/>
                <w:color w:val="auto"/>
              </w:rPr>
            </w:pPr>
            <w:r>
              <w:rPr>
                <w:rFonts w:ascii="Arial" w:cs="Arial" w:eastAsia="Arial" w:hAnsi="Arial"/>
                <w:sz w:val="14"/>
                <w:szCs w:val="14"/>
                <w:color w:val="auto"/>
              </w:rPr>
              <w:t>78</w:t>
            </w:r>
          </w:p>
        </w:tc>
        <w:tc>
          <w:tcPr>
            <w:tcW w:w="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33"/>
        </w:trPr>
        <w:tc>
          <w:tcPr>
            <w:tcW w:w="5580" w:type="dxa"/>
            <w:vAlign w:val="bottom"/>
            <w:tcBorders>
              <w:top w:val="single" w:sz="8" w:color="7F7F7F"/>
            </w:tcBorders>
          </w:tcPr>
          <w:p>
            <w:pPr>
              <w:ind w:left="80"/>
              <w:spacing w:after="0"/>
              <w:rPr>
                <w:sz w:val="20"/>
                <w:szCs w:val="20"/>
                <w:color w:val="auto"/>
              </w:rPr>
            </w:pPr>
            <w:r>
              <w:rPr>
                <w:rFonts w:ascii="Arial" w:cs="Arial" w:eastAsia="Arial" w:hAnsi="Arial"/>
                <w:sz w:val="14"/>
                <w:szCs w:val="14"/>
                <w:b w:val="1"/>
                <w:bCs w:val="1"/>
                <w:color w:val="auto"/>
              </w:rPr>
              <w:t>Sempra Adjusted Earnings and Adjusted EPS</w:t>
            </w:r>
          </w:p>
        </w:tc>
        <w:tc>
          <w:tcPr>
            <w:tcW w:w="300" w:type="dxa"/>
            <w:vAlign w:val="bottom"/>
            <w:tcBorders>
              <w:top w:val="single" w:sz="8" w:color="7F7F7F"/>
            </w:tcBorders>
          </w:tcPr>
          <w:p>
            <w:pPr>
              <w:spacing w:after="0"/>
              <w:rPr>
                <w:sz w:val="20"/>
                <w:szCs w:val="20"/>
                <w:color w:val="auto"/>
              </w:rPr>
            </w:pPr>
          </w:p>
        </w:tc>
        <w:tc>
          <w:tcPr>
            <w:tcW w:w="620" w:type="dxa"/>
            <w:vAlign w:val="bottom"/>
            <w:tcBorders>
              <w:top w:val="single" w:sz="8" w:color="7F7F7F"/>
            </w:tcBorders>
          </w:tcPr>
          <w:p>
            <w:pPr>
              <w:spacing w:after="0"/>
              <w:rPr>
                <w:sz w:val="20"/>
                <w:szCs w:val="20"/>
                <w:color w:val="auto"/>
              </w:rPr>
            </w:pPr>
          </w:p>
        </w:tc>
        <w:tc>
          <w:tcPr>
            <w:tcW w:w="260" w:type="dxa"/>
            <w:vAlign w:val="bottom"/>
            <w:tcBorders>
              <w:top w:val="single" w:sz="8" w:color="7F7F7F"/>
            </w:tcBorders>
          </w:tcPr>
          <w:p>
            <w:pPr>
              <w:spacing w:after="0"/>
              <w:rPr>
                <w:sz w:val="20"/>
                <w:szCs w:val="20"/>
                <w:color w:val="auto"/>
              </w:rPr>
            </w:pPr>
          </w:p>
        </w:tc>
        <w:tc>
          <w:tcPr>
            <w:tcW w:w="860" w:type="dxa"/>
            <w:vAlign w:val="bottom"/>
            <w:tcBorders>
              <w:top w:val="single" w:sz="8" w:color="7F7F7F"/>
            </w:tcBorders>
          </w:tcPr>
          <w:p>
            <w:pPr>
              <w:spacing w:after="0"/>
              <w:rPr>
                <w:sz w:val="20"/>
                <w:szCs w:val="20"/>
                <w:color w:val="auto"/>
              </w:rPr>
            </w:pPr>
          </w:p>
        </w:tc>
        <w:tc>
          <w:tcPr>
            <w:tcW w:w="240" w:type="dxa"/>
            <w:vAlign w:val="bottom"/>
            <w:tcBorders>
              <w:top w:val="single" w:sz="8" w:color="7F7F7F"/>
            </w:tcBorders>
          </w:tcPr>
          <w:p>
            <w:pPr>
              <w:spacing w:after="0"/>
              <w:rPr>
                <w:sz w:val="20"/>
                <w:szCs w:val="20"/>
                <w:color w:val="auto"/>
              </w:rPr>
            </w:pPr>
          </w:p>
        </w:tc>
        <w:tc>
          <w:tcPr>
            <w:tcW w:w="860" w:type="dxa"/>
            <w:vAlign w:val="bottom"/>
            <w:tcBorders>
              <w:top w:val="single" w:sz="8" w:color="7F7F7F"/>
            </w:tcBorders>
          </w:tcPr>
          <w:p>
            <w:pPr>
              <w:spacing w:after="0"/>
              <w:rPr>
                <w:sz w:val="20"/>
                <w:szCs w:val="20"/>
                <w:color w:val="auto"/>
              </w:rPr>
            </w:pPr>
          </w:p>
        </w:tc>
        <w:tc>
          <w:tcPr>
            <w:tcW w:w="340" w:type="dxa"/>
            <w:vAlign w:val="bottom"/>
            <w:tcBorders>
              <w:top w:val="single" w:sz="8" w:color="auto"/>
            </w:tcBorders>
          </w:tcPr>
          <w:p>
            <w:pPr>
              <w:ind w:left="20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rPr>
              <w:t>3,066</w:t>
            </w:r>
          </w:p>
        </w:tc>
        <w:tc>
          <w:tcPr>
            <w:tcW w:w="36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87"/>
        </w:trPr>
        <w:tc>
          <w:tcPr>
            <w:tcW w:w="5580" w:type="dxa"/>
            <w:vAlign w:val="bottom"/>
            <w:tcBorders>
              <w:bottom w:val="single" w:sz="8" w:color="7F7F7F"/>
            </w:tcBorders>
          </w:tcPr>
          <w:p>
            <w:pPr>
              <w:spacing w:after="0"/>
              <w:rPr>
                <w:sz w:val="7"/>
                <w:szCs w:val="7"/>
                <w:color w:val="auto"/>
              </w:rPr>
            </w:pPr>
          </w:p>
        </w:tc>
        <w:tc>
          <w:tcPr>
            <w:tcW w:w="300" w:type="dxa"/>
            <w:vAlign w:val="bottom"/>
            <w:tcBorders>
              <w:bottom w:val="single" w:sz="8" w:color="7F7F7F"/>
            </w:tcBorders>
          </w:tcPr>
          <w:p>
            <w:pPr>
              <w:spacing w:after="0"/>
              <w:rPr>
                <w:sz w:val="7"/>
                <w:szCs w:val="7"/>
                <w:color w:val="auto"/>
              </w:rPr>
            </w:pPr>
          </w:p>
        </w:tc>
        <w:tc>
          <w:tcPr>
            <w:tcW w:w="620" w:type="dxa"/>
            <w:vAlign w:val="bottom"/>
            <w:tcBorders>
              <w:bottom w:val="single" w:sz="8" w:color="7F7F7F"/>
            </w:tcBorders>
          </w:tcPr>
          <w:p>
            <w:pPr>
              <w:spacing w:after="0"/>
              <w:rPr>
                <w:sz w:val="7"/>
                <w:szCs w:val="7"/>
                <w:color w:val="auto"/>
              </w:rPr>
            </w:pPr>
          </w:p>
        </w:tc>
        <w:tc>
          <w:tcPr>
            <w:tcW w:w="260" w:type="dxa"/>
            <w:vAlign w:val="bottom"/>
            <w:tcBorders>
              <w:bottom w:val="single" w:sz="8" w:color="7F7F7F"/>
            </w:tcBorders>
          </w:tcPr>
          <w:p>
            <w:pPr>
              <w:spacing w:after="0"/>
              <w:rPr>
                <w:sz w:val="7"/>
                <w:szCs w:val="7"/>
                <w:color w:val="auto"/>
              </w:rPr>
            </w:pPr>
          </w:p>
        </w:tc>
        <w:tc>
          <w:tcPr>
            <w:tcW w:w="860" w:type="dxa"/>
            <w:vAlign w:val="bottom"/>
            <w:tcBorders>
              <w:bottom w:val="single" w:sz="8" w:color="7F7F7F"/>
            </w:tcBorders>
          </w:tcPr>
          <w:p>
            <w:pPr>
              <w:spacing w:after="0"/>
              <w:rPr>
                <w:sz w:val="7"/>
                <w:szCs w:val="7"/>
                <w:color w:val="auto"/>
              </w:rPr>
            </w:pPr>
          </w:p>
        </w:tc>
        <w:tc>
          <w:tcPr>
            <w:tcW w:w="240" w:type="dxa"/>
            <w:vAlign w:val="bottom"/>
            <w:tcBorders>
              <w:bottom w:val="single" w:sz="8" w:color="7F7F7F"/>
            </w:tcBorders>
          </w:tcPr>
          <w:p>
            <w:pPr>
              <w:spacing w:after="0"/>
              <w:rPr>
                <w:sz w:val="7"/>
                <w:szCs w:val="7"/>
                <w:color w:val="auto"/>
              </w:rPr>
            </w:pPr>
          </w:p>
        </w:tc>
        <w:tc>
          <w:tcPr>
            <w:tcW w:w="860" w:type="dxa"/>
            <w:vAlign w:val="bottom"/>
            <w:tcBorders>
              <w:bottom w:val="single" w:sz="8" w:color="7F7F7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580" w:type="dxa"/>
            <w:vAlign w:val="bottom"/>
            <w:tcBorders>
              <w:top w:val="single" w:sz="8" w:color="F2F2F2"/>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Weighted-average common shares outstanding, diluted</w:t>
            </w:r>
          </w:p>
        </w:tc>
        <w:tc>
          <w:tcPr>
            <w:tcW w:w="300" w:type="dxa"/>
            <w:vAlign w:val="bottom"/>
            <w:tcBorders>
              <w:top w:val="single" w:sz="8" w:color="F2F2F2"/>
              <w:bottom w:val="single" w:sz="8" w:color="F2F2F2"/>
            </w:tcBorders>
            <w:shd w:val="clear" w:color="auto" w:fill="F2F2F2"/>
          </w:tcPr>
          <w:p>
            <w:pPr>
              <w:spacing w:after="0"/>
              <w:rPr>
                <w:sz w:val="20"/>
                <w:szCs w:val="20"/>
                <w:color w:val="auto"/>
              </w:rPr>
            </w:pPr>
          </w:p>
        </w:tc>
        <w:tc>
          <w:tcPr>
            <w:tcW w:w="620" w:type="dxa"/>
            <w:vAlign w:val="bottom"/>
            <w:tcBorders>
              <w:top w:val="single" w:sz="8" w:color="F2F2F2"/>
              <w:bottom w:val="single" w:sz="8" w:color="F2F2F2"/>
            </w:tcBorders>
            <w:shd w:val="clear" w:color="auto" w:fill="F2F2F2"/>
          </w:tcPr>
          <w:p>
            <w:pPr>
              <w:spacing w:after="0"/>
              <w:rPr>
                <w:sz w:val="20"/>
                <w:szCs w:val="20"/>
                <w:color w:val="auto"/>
              </w:rPr>
            </w:pPr>
          </w:p>
        </w:tc>
        <w:tc>
          <w:tcPr>
            <w:tcW w:w="260" w:type="dxa"/>
            <w:vAlign w:val="bottom"/>
            <w:tcBorders>
              <w:top w:val="single" w:sz="8" w:color="F2F2F2"/>
              <w:bottom w:val="single" w:sz="8" w:color="F2F2F2"/>
            </w:tcBorders>
            <w:shd w:val="clear" w:color="auto" w:fill="F2F2F2"/>
          </w:tcPr>
          <w:p>
            <w:pPr>
              <w:spacing w:after="0"/>
              <w:rPr>
                <w:sz w:val="20"/>
                <w:szCs w:val="20"/>
                <w:color w:val="auto"/>
              </w:rPr>
            </w:pPr>
          </w:p>
        </w:tc>
        <w:tc>
          <w:tcPr>
            <w:tcW w:w="860" w:type="dxa"/>
            <w:vAlign w:val="bottom"/>
            <w:tcBorders>
              <w:top w:val="single" w:sz="8" w:color="F2F2F2"/>
              <w:bottom w:val="single" w:sz="8" w:color="F2F2F2"/>
            </w:tcBorders>
            <w:shd w:val="clear" w:color="auto" w:fill="F2F2F2"/>
          </w:tcPr>
          <w:p>
            <w:pPr>
              <w:spacing w:after="0"/>
              <w:rPr>
                <w:sz w:val="20"/>
                <w:szCs w:val="20"/>
                <w:color w:val="auto"/>
              </w:rPr>
            </w:pPr>
          </w:p>
        </w:tc>
        <w:tc>
          <w:tcPr>
            <w:tcW w:w="240" w:type="dxa"/>
            <w:vAlign w:val="bottom"/>
            <w:tcBorders>
              <w:top w:val="single" w:sz="8" w:color="F2F2F2"/>
              <w:bottom w:val="single" w:sz="8" w:color="F2F2F2"/>
            </w:tcBorders>
            <w:shd w:val="clear" w:color="auto" w:fill="F2F2F2"/>
          </w:tcPr>
          <w:p>
            <w:pPr>
              <w:spacing w:after="0"/>
              <w:rPr>
                <w:sz w:val="20"/>
                <w:szCs w:val="20"/>
                <w:color w:val="auto"/>
              </w:rPr>
            </w:pPr>
          </w:p>
        </w:tc>
        <w:tc>
          <w:tcPr>
            <w:tcW w:w="860" w:type="dxa"/>
            <w:vAlign w:val="bottom"/>
            <w:tcBorders>
              <w:top w:val="single" w:sz="8" w:color="F2F2F2"/>
              <w:bottom w:val="single" w:sz="8" w:color="F2F2F2"/>
            </w:tcBorders>
            <w:shd w:val="clear" w:color="auto" w:fill="F2F2F2"/>
          </w:tcPr>
          <w:p>
            <w:pPr>
              <w:spacing w:after="0"/>
              <w:rPr>
                <w:sz w:val="20"/>
                <w:szCs w:val="20"/>
                <w:color w:val="auto"/>
              </w:rPr>
            </w:pPr>
          </w:p>
        </w:tc>
        <w:tc>
          <w:tcPr>
            <w:tcW w:w="340" w:type="dxa"/>
            <w:vAlign w:val="bottom"/>
            <w:tcBorders>
              <w:top w:val="single" w:sz="8" w:color="auto"/>
              <w:bottom w:val="single" w:sz="8" w:color="F2F2F2"/>
            </w:tcBorders>
            <w:shd w:val="clear" w:color="auto" w:fill="F2F2F2"/>
          </w:tcPr>
          <w:p>
            <w:pPr>
              <w:spacing w:after="0"/>
              <w:rPr>
                <w:sz w:val="20"/>
                <w:szCs w:val="20"/>
                <w:color w:val="auto"/>
              </w:rPr>
            </w:pPr>
          </w:p>
        </w:tc>
        <w:tc>
          <w:tcPr>
            <w:tcW w:w="680" w:type="dxa"/>
            <w:vAlign w:val="bottom"/>
            <w:tcBorders>
              <w:top w:val="single" w:sz="8" w:color="auto"/>
              <w:bottom w:val="single" w:sz="8" w:color="F2F2F2"/>
            </w:tcBorders>
            <w:shd w:val="clear" w:color="auto" w:fill="F2F2F2"/>
          </w:tcPr>
          <w:p>
            <w:pPr>
              <w:spacing w:after="0"/>
              <w:rPr>
                <w:sz w:val="20"/>
                <w:szCs w:val="20"/>
                <w:color w:val="auto"/>
              </w:rPr>
            </w:pPr>
          </w:p>
        </w:tc>
        <w:tc>
          <w:tcPr>
            <w:tcW w:w="360" w:type="dxa"/>
            <w:vAlign w:val="bottom"/>
            <w:tcBorders>
              <w:top w:val="single" w:sz="8" w:color="auto"/>
              <w:bottom w:val="single" w:sz="8" w:color="F2F2F2"/>
            </w:tcBorders>
            <w:shd w:val="clear" w:color="auto" w:fill="F2F2F2"/>
          </w:tcPr>
          <w:p>
            <w:pPr>
              <w:spacing w:after="0"/>
              <w:rPr>
                <w:sz w:val="20"/>
                <w:szCs w:val="20"/>
                <w:color w:val="auto"/>
              </w:rPr>
            </w:pPr>
          </w:p>
        </w:tc>
        <w:tc>
          <w:tcPr>
            <w:tcW w:w="820" w:type="dxa"/>
            <w:vAlign w:val="bottom"/>
            <w:tcBorders>
              <w:top w:val="single" w:sz="8" w:color="auto"/>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653,826</w:t>
            </w:r>
          </w:p>
        </w:tc>
        <w:tc>
          <w:tcPr>
            <w:tcW w:w="0" w:type="dxa"/>
            <w:vAlign w:val="bottom"/>
          </w:tcPr>
          <w:p>
            <w:pPr>
              <w:spacing w:after="0"/>
              <w:rPr>
                <w:sz w:val="1"/>
                <w:szCs w:val="1"/>
                <w:color w:val="auto"/>
              </w:rPr>
            </w:pPr>
          </w:p>
        </w:tc>
      </w:tr>
      <w:tr>
        <w:trPr>
          <w:trHeight w:val="274"/>
        </w:trPr>
        <w:tc>
          <w:tcPr>
            <w:tcW w:w="5580" w:type="dxa"/>
            <w:vAlign w:val="bottom"/>
            <w:tcBorders>
              <w:bottom w:val="single" w:sz="8" w:color="005CB9"/>
            </w:tcBorders>
            <w:shd w:val="clear" w:color="auto" w:fill="005CB9"/>
          </w:tcPr>
          <w:p>
            <w:pPr>
              <w:spacing w:after="0"/>
              <w:rPr>
                <w:sz w:val="23"/>
                <w:szCs w:val="23"/>
                <w:color w:val="auto"/>
              </w:rPr>
            </w:pPr>
          </w:p>
        </w:tc>
        <w:tc>
          <w:tcPr>
            <w:tcW w:w="300" w:type="dxa"/>
            <w:vAlign w:val="bottom"/>
            <w:tcBorders>
              <w:bottom w:val="single" w:sz="8" w:color="005CB9"/>
            </w:tcBorders>
            <w:shd w:val="clear" w:color="auto" w:fill="005CB9"/>
          </w:tcPr>
          <w:p>
            <w:pPr>
              <w:spacing w:after="0"/>
              <w:rPr>
                <w:sz w:val="23"/>
                <w:szCs w:val="23"/>
                <w:color w:val="auto"/>
              </w:rPr>
            </w:pPr>
          </w:p>
        </w:tc>
        <w:tc>
          <w:tcPr>
            <w:tcW w:w="620" w:type="dxa"/>
            <w:vAlign w:val="bottom"/>
            <w:tcBorders>
              <w:bottom w:val="single" w:sz="8" w:color="005CB9"/>
            </w:tcBorders>
            <w:shd w:val="clear" w:color="auto" w:fill="005CB9"/>
          </w:tcPr>
          <w:p>
            <w:pPr>
              <w:spacing w:after="0"/>
              <w:rPr>
                <w:sz w:val="23"/>
                <w:szCs w:val="23"/>
                <w:color w:val="auto"/>
              </w:rPr>
            </w:pPr>
          </w:p>
        </w:tc>
        <w:tc>
          <w:tcPr>
            <w:tcW w:w="260" w:type="dxa"/>
            <w:vAlign w:val="bottom"/>
            <w:tcBorders>
              <w:bottom w:val="single" w:sz="8" w:color="005CB9"/>
            </w:tcBorders>
            <w:shd w:val="clear" w:color="auto" w:fill="005CB9"/>
          </w:tcPr>
          <w:p>
            <w:pPr>
              <w:spacing w:after="0"/>
              <w:rPr>
                <w:sz w:val="23"/>
                <w:szCs w:val="23"/>
                <w:color w:val="auto"/>
              </w:rPr>
            </w:pPr>
          </w:p>
        </w:tc>
        <w:tc>
          <w:tcPr>
            <w:tcW w:w="2980" w:type="dxa"/>
            <w:vAlign w:val="bottom"/>
            <w:tcBorders>
              <w:bottom w:val="single" w:sz="8" w:color="005CB9"/>
            </w:tcBorders>
            <w:gridSpan w:val="5"/>
            <w:shd w:val="clear" w:color="auto" w:fill="005CB9"/>
          </w:tcPr>
          <w:p>
            <w:pPr>
              <w:jc w:val="right"/>
              <w:ind w:right="389"/>
              <w:spacing w:after="0"/>
              <w:rPr>
                <w:sz w:val="20"/>
                <w:szCs w:val="20"/>
                <w:color w:val="auto"/>
              </w:rPr>
            </w:pPr>
            <w:r>
              <w:rPr>
                <w:rFonts w:ascii="Arial" w:cs="Arial" w:eastAsia="Arial" w:hAnsi="Arial"/>
                <w:sz w:val="14"/>
                <w:szCs w:val="14"/>
                <w:b w:val="1"/>
                <w:bCs w:val="1"/>
                <w:color w:val="FFFFFF"/>
              </w:rPr>
              <w:t>Year ended December 31, 2020</w:t>
            </w:r>
          </w:p>
        </w:tc>
        <w:tc>
          <w:tcPr>
            <w:tcW w:w="360" w:type="dxa"/>
            <w:vAlign w:val="bottom"/>
            <w:tcBorders>
              <w:bottom w:val="single" w:sz="8" w:color="005CB9"/>
            </w:tcBorders>
            <w:shd w:val="clear" w:color="auto" w:fill="005CB9"/>
          </w:tcPr>
          <w:p>
            <w:pPr>
              <w:spacing w:after="0"/>
              <w:rPr>
                <w:sz w:val="23"/>
                <w:szCs w:val="23"/>
                <w:color w:val="auto"/>
              </w:rPr>
            </w:pPr>
          </w:p>
        </w:tc>
        <w:tc>
          <w:tcPr>
            <w:tcW w:w="820" w:type="dxa"/>
            <w:vAlign w:val="bottom"/>
            <w:tcBorders>
              <w:bottom w:val="single" w:sz="8" w:color="005CB9"/>
            </w:tcBorders>
            <w:shd w:val="clear" w:color="auto" w:fill="005CB9"/>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5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Sempra GAAP Earnings and GAAP EPS</w:t>
            </w:r>
          </w:p>
        </w:tc>
        <w:tc>
          <w:tcPr>
            <w:tcW w:w="300" w:type="dxa"/>
            <w:vAlign w:val="bottom"/>
            <w:tcBorders>
              <w:bottom w:val="single" w:sz="8" w:color="F2F2F2"/>
            </w:tcBorders>
            <w:shd w:val="clear" w:color="auto" w:fill="F2F2F2"/>
          </w:tcPr>
          <w:p>
            <w:pPr>
              <w:spacing w:after="0"/>
              <w:rPr>
                <w:sz w:val="24"/>
                <w:szCs w:val="24"/>
                <w:color w:val="auto"/>
              </w:rPr>
            </w:pPr>
          </w:p>
        </w:tc>
        <w:tc>
          <w:tcPr>
            <w:tcW w:w="620" w:type="dxa"/>
            <w:vAlign w:val="bottom"/>
            <w:tcBorders>
              <w:bottom w:val="single" w:sz="8" w:color="F2F2F2"/>
            </w:tcBorders>
            <w:shd w:val="clear" w:color="auto" w:fill="F2F2F2"/>
          </w:tcPr>
          <w:p>
            <w:pPr>
              <w:spacing w:after="0"/>
              <w:rPr>
                <w:sz w:val="24"/>
                <w:szCs w:val="24"/>
                <w:color w:val="auto"/>
              </w:rPr>
            </w:pPr>
          </w:p>
        </w:tc>
        <w:tc>
          <w:tcPr>
            <w:tcW w:w="260" w:type="dxa"/>
            <w:vAlign w:val="bottom"/>
            <w:tcBorders>
              <w:bottom w:val="single" w:sz="8" w:color="F2F2F2"/>
            </w:tcBorders>
            <w:shd w:val="clear" w:color="auto" w:fill="F2F2F2"/>
          </w:tcPr>
          <w:p>
            <w:pPr>
              <w:spacing w:after="0"/>
              <w:rPr>
                <w:sz w:val="24"/>
                <w:szCs w:val="24"/>
                <w:color w:val="auto"/>
              </w:rPr>
            </w:pPr>
          </w:p>
        </w:tc>
        <w:tc>
          <w:tcPr>
            <w:tcW w:w="860" w:type="dxa"/>
            <w:vAlign w:val="bottom"/>
            <w:tcBorders>
              <w:bottom w:val="single" w:sz="8" w:color="F2F2F2"/>
            </w:tcBorders>
            <w:shd w:val="clear" w:color="auto" w:fill="F2F2F2"/>
          </w:tcPr>
          <w:p>
            <w:pPr>
              <w:spacing w:after="0"/>
              <w:rPr>
                <w:sz w:val="24"/>
                <w:szCs w:val="24"/>
                <w:color w:val="auto"/>
              </w:rPr>
            </w:pPr>
          </w:p>
        </w:tc>
        <w:tc>
          <w:tcPr>
            <w:tcW w:w="240" w:type="dxa"/>
            <w:vAlign w:val="bottom"/>
            <w:tcBorders>
              <w:bottom w:val="single" w:sz="8" w:color="F2F2F2"/>
            </w:tcBorders>
            <w:shd w:val="clear" w:color="auto" w:fill="F2F2F2"/>
          </w:tcPr>
          <w:p>
            <w:pPr>
              <w:spacing w:after="0"/>
              <w:rPr>
                <w:sz w:val="24"/>
                <w:szCs w:val="24"/>
                <w:color w:val="auto"/>
              </w:rPr>
            </w:pPr>
          </w:p>
        </w:tc>
        <w:tc>
          <w:tcPr>
            <w:tcW w:w="860" w:type="dxa"/>
            <w:vAlign w:val="bottom"/>
            <w:tcBorders>
              <w:bottom w:val="single" w:sz="8" w:color="F2F2F2"/>
            </w:tcBorders>
            <w:shd w:val="clear" w:color="auto" w:fill="F2F2F2"/>
          </w:tcPr>
          <w:p>
            <w:pPr>
              <w:spacing w:after="0"/>
              <w:rPr>
                <w:sz w:val="24"/>
                <w:szCs w:val="24"/>
                <w:color w:val="auto"/>
              </w:rPr>
            </w:pPr>
          </w:p>
        </w:tc>
        <w:tc>
          <w:tcPr>
            <w:tcW w:w="34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2F2F2"/>
            </w:tcBorders>
            <w:shd w:val="clear" w:color="auto" w:fill="F2F2F2"/>
          </w:tcPr>
          <w:p>
            <w:pPr>
              <w:jc w:val="right"/>
              <w:ind w:right="149"/>
              <w:spacing w:after="0"/>
              <w:rPr>
                <w:sz w:val="20"/>
                <w:szCs w:val="20"/>
                <w:color w:val="auto"/>
              </w:rPr>
            </w:pPr>
            <w:r>
              <w:rPr>
                <w:rFonts w:ascii="Arial" w:cs="Arial" w:eastAsia="Arial" w:hAnsi="Arial"/>
                <w:sz w:val="14"/>
                <w:szCs w:val="14"/>
                <w:color w:val="auto"/>
              </w:rPr>
              <w:t>3,764</w:t>
            </w:r>
          </w:p>
        </w:tc>
        <w:tc>
          <w:tcPr>
            <w:tcW w:w="36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27"/>
        </w:trPr>
        <w:tc>
          <w:tcPr>
            <w:tcW w:w="55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Excluded items:</w:t>
            </w:r>
          </w:p>
        </w:tc>
        <w:tc>
          <w:tcPr>
            <w:tcW w:w="300" w:type="dxa"/>
            <w:vAlign w:val="bottom"/>
            <w:tcBorders>
              <w:top w:val="single" w:sz="8" w:color="7F7F7F"/>
            </w:tcBorders>
          </w:tcPr>
          <w:p>
            <w:pPr>
              <w:spacing w:after="0"/>
              <w:rPr>
                <w:sz w:val="19"/>
                <w:szCs w:val="19"/>
                <w:color w:val="auto"/>
              </w:rPr>
            </w:pPr>
          </w:p>
        </w:tc>
        <w:tc>
          <w:tcPr>
            <w:tcW w:w="620" w:type="dxa"/>
            <w:vAlign w:val="bottom"/>
            <w:tcBorders>
              <w:top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spacing w:after="0"/>
              <w:rPr>
                <w:sz w:val="19"/>
                <w:szCs w:val="19"/>
                <w:color w:val="auto"/>
              </w:rPr>
            </w:pPr>
          </w:p>
        </w:tc>
        <w:tc>
          <w:tcPr>
            <w:tcW w:w="24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spacing w:after="0"/>
              <w:rPr>
                <w:sz w:val="19"/>
                <w:szCs w:val="19"/>
                <w:color w:val="auto"/>
              </w:rPr>
            </w:pPr>
          </w:p>
        </w:tc>
        <w:tc>
          <w:tcPr>
            <w:tcW w:w="340" w:type="dxa"/>
            <w:vAlign w:val="bottom"/>
            <w:tcBorders>
              <w:top w:val="single" w:sz="8" w:color="7F7F7F"/>
            </w:tcBorders>
          </w:tcPr>
          <w:p>
            <w:pPr>
              <w:spacing w:after="0"/>
              <w:rPr>
                <w:sz w:val="19"/>
                <w:szCs w:val="19"/>
                <w:color w:val="auto"/>
              </w:rPr>
            </w:pPr>
          </w:p>
        </w:tc>
        <w:tc>
          <w:tcPr>
            <w:tcW w:w="680" w:type="dxa"/>
            <w:vAlign w:val="bottom"/>
            <w:tcBorders>
              <w:top w:val="single" w:sz="8" w:color="7F7F7F"/>
            </w:tcBorders>
          </w:tcPr>
          <w:p>
            <w:pPr>
              <w:spacing w:after="0"/>
              <w:rPr>
                <w:sz w:val="19"/>
                <w:szCs w:val="19"/>
                <w:color w:val="auto"/>
              </w:rPr>
            </w:pPr>
          </w:p>
        </w:tc>
        <w:tc>
          <w:tcPr>
            <w:tcW w:w="360" w:type="dxa"/>
            <w:vAlign w:val="bottom"/>
            <w:tcBorders>
              <w:top w:val="single" w:sz="8" w:color="7F7F7F"/>
            </w:tcBorders>
          </w:tcPr>
          <w:p>
            <w:pPr>
              <w:spacing w:after="0"/>
              <w:rPr>
                <w:sz w:val="19"/>
                <w:szCs w:val="19"/>
                <w:color w:val="auto"/>
              </w:rPr>
            </w:pPr>
          </w:p>
        </w:tc>
        <w:tc>
          <w:tcPr>
            <w:tcW w:w="820" w:type="dxa"/>
            <w:vAlign w:val="bottom"/>
            <w:tcBorders>
              <w:top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Impacts associated with Aliso Canyon litigation and regulatory matters</w:t>
            </w:r>
          </w:p>
        </w:tc>
        <w:tc>
          <w:tcPr>
            <w:tcW w:w="30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307</w:t>
            </w:r>
          </w:p>
        </w:tc>
        <w:tc>
          <w:tcPr>
            <w:tcW w:w="26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(74)</w:t>
            </w:r>
          </w:p>
        </w:tc>
        <w:tc>
          <w:tcPr>
            <w:tcW w:w="24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F2F2F2"/>
            </w:tcBorders>
            <w:shd w:val="clear" w:color="auto" w:fill="F2F2F2"/>
          </w:tcPr>
          <w:p>
            <w:pPr>
              <w:spacing w:after="0"/>
              <w:rPr>
                <w:sz w:val="23"/>
                <w:szCs w:val="23"/>
                <w:color w:val="auto"/>
              </w:rPr>
            </w:pPr>
          </w:p>
        </w:tc>
        <w:tc>
          <w:tcPr>
            <w:tcW w:w="680" w:type="dxa"/>
            <w:vAlign w:val="bottom"/>
            <w:tcBorders>
              <w:bottom w:val="single" w:sz="8" w:color="F2F2F2"/>
            </w:tcBorders>
            <w:shd w:val="clear" w:color="auto" w:fill="F2F2F2"/>
          </w:tcPr>
          <w:p>
            <w:pPr>
              <w:jc w:val="right"/>
              <w:ind w:right="149"/>
              <w:spacing w:after="0"/>
              <w:rPr>
                <w:sz w:val="20"/>
                <w:szCs w:val="20"/>
                <w:color w:val="auto"/>
              </w:rPr>
            </w:pPr>
            <w:r>
              <w:rPr>
                <w:rFonts w:ascii="Arial" w:cs="Arial" w:eastAsia="Arial" w:hAnsi="Arial"/>
                <w:sz w:val="14"/>
                <w:szCs w:val="14"/>
                <w:color w:val="auto"/>
              </w:rPr>
              <w:t>233</w:t>
            </w:r>
          </w:p>
        </w:tc>
        <w:tc>
          <w:tcPr>
            <w:tcW w:w="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27"/>
        </w:trPr>
        <w:tc>
          <w:tcPr>
            <w:tcW w:w="558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Impact from foreign currency and inflation and associated undesignated derivatives</w:t>
            </w:r>
          </w:p>
        </w:tc>
        <w:tc>
          <w:tcPr>
            <w:tcW w:w="300" w:type="dxa"/>
            <w:vAlign w:val="bottom"/>
            <w:tcBorders>
              <w:top w:val="single" w:sz="8" w:color="7F7F7F"/>
            </w:tcBorders>
          </w:tcPr>
          <w:p>
            <w:pPr>
              <w:spacing w:after="0"/>
              <w:rPr>
                <w:sz w:val="19"/>
                <w:szCs w:val="19"/>
                <w:color w:val="auto"/>
              </w:rPr>
            </w:pPr>
          </w:p>
        </w:tc>
        <w:tc>
          <w:tcPr>
            <w:tcW w:w="6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51</w:t>
            </w:r>
          </w:p>
        </w:tc>
        <w:tc>
          <w:tcPr>
            <w:tcW w:w="26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(74)</w:t>
            </w:r>
          </w:p>
        </w:tc>
        <w:tc>
          <w:tcPr>
            <w:tcW w:w="24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24</w:t>
            </w:r>
          </w:p>
        </w:tc>
        <w:tc>
          <w:tcPr>
            <w:tcW w:w="340" w:type="dxa"/>
            <w:vAlign w:val="bottom"/>
            <w:tcBorders>
              <w:top w:val="single" w:sz="8" w:color="7F7F7F"/>
            </w:tcBorders>
          </w:tcPr>
          <w:p>
            <w:pPr>
              <w:spacing w:after="0"/>
              <w:rPr>
                <w:sz w:val="19"/>
                <w:szCs w:val="19"/>
                <w:color w:val="auto"/>
              </w:rPr>
            </w:pPr>
          </w:p>
        </w:tc>
        <w:tc>
          <w:tcPr>
            <w:tcW w:w="680" w:type="dxa"/>
            <w:vAlign w:val="bottom"/>
            <w:tcBorders>
              <w:top w:val="single" w:sz="8" w:color="7F7F7F"/>
            </w:tcBorders>
          </w:tcPr>
          <w:p>
            <w:pPr>
              <w:jc w:val="right"/>
              <w:ind w:right="149"/>
              <w:spacing w:after="0"/>
              <w:rPr>
                <w:sz w:val="20"/>
                <w:szCs w:val="20"/>
                <w:color w:val="auto"/>
              </w:rPr>
            </w:pPr>
            <w:r>
              <w:rPr>
                <w:rFonts w:ascii="Arial" w:cs="Arial" w:eastAsia="Arial" w:hAnsi="Arial"/>
                <w:sz w:val="14"/>
                <w:szCs w:val="14"/>
                <w:color w:val="auto"/>
              </w:rPr>
              <w:t>1</w:t>
            </w:r>
          </w:p>
        </w:tc>
        <w:tc>
          <w:tcPr>
            <w:tcW w:w="360" w:type="dxa"/>
            <w:vAlign w:val="bottom"/>
            <w:tcBorders>
              <w:top w:val="single" w:sz="8" w:color="7F7F7F"/>
            </w:tcBorders>
          </w:tcPr>
          <w:p>
            <w:pPr>
              <w:spacing w:after="0"/>
              <w:rPr>
                <w:sz w:val="19"/>
                <w:szCs w:val="19"/>
                <w:color w:val="auto"/>
              </w:rPr>
            </w:pPr>
          </w:p>
        </w:tc>
        <w:tc>
          <w:tcPr>
            <w:tcW w:w="8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Net unrealized gains on commodity derivatives</w:t>
            </w:r>
          </w:p>
        </w:tc>
        <w:tc>
          <w:tcPr>
            <w:tcW w:w="300" w:type="dxa"/>
            <w:vAlign w:val="bottom"/>
            <w:tcBorders>
              <w:bottom w:val="single" w:sz="8" w:color="F2F2F2"/>
            </w:tcBorders>
            <w:shd w:val="clear" w:color="auto" w:fill="F2F2F2"/>
          </w:tcPr>
          <w:p>
            <w:pPr>
              <w:spacing w:after="0"/>
              <w:rPr>
                <w:sz w:val="23"/>
                <w:szCs w:val="23"/>
                <w:color w:val="auto"/>
              </w:rPr>
            </w:pPr>
          </w:p>
        </w:tc>
        <w:tc>
          <w:tcPr>
            <w:tcW w:w="62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69"/>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F2F2F2"/>
            </w:tcBorders>
            <w:shd w:val="clear" w:color="auto" w:fill="F2F2F2"/>
          </w:tcPr>
          <w:p>
            <w:pPr>
              <w:spacing w:after="0"/>
              <w:rPr>
                <w:sz w:val="23"/>
                <w:szCs w:val="23"/>
                <w:color w:val="auto"/>
              </w:rPr>
            </w:pPr>
          </w:p>
        </w:tc>
        <w:tc>
          <w:tcPr>
            <w:tcW w:w="68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27"/>
        </w:trPr>
        <w:tc>
          <w:tcPr>
            <w:tcW w:w="558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Losses from investment in RBS Sempra Commodities LLP</w:t>
            </w:r>
          </w:p>
        </w:tc>
        <w:tc>
          <w:tcPr>
            <w:tcW w:w="300" w:type="dxa"/>
            <w:vAlign w:val="bottom"/>
            <w:tcBorders>
              <w:top w:val="single" w:sz="8" w:color="7F7F7F"/>
            </w:tcBorders>
          </w:tcPr>
          <w:p>
            <w:pPr>
              <w:spacing w:after="0"/>
              <w:rPr>
                <w:sz w:val="19"/>
                <w:szCs w:val="19"/>
                <w:color w:val="auto"/>
              </w:rPr>
            </w:pPr>
          </w:p>
        </w:tc>
        <w:tc>
          <w:tcPr>
            <w:tcW w:w="6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100</w:t>
            </w:r>
          </w:p>
        </w:tc>
        <w:tc>
          <w:tcPr>
            <w:tcW w:w="26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7F7F7F"/>
            </w:tcBorders>
          </w:tcPr>
          <w:p>
            <w:pPr>
              <w:spacing w:after="0"/>
              <w:rPr>
                <w:sz w:val="19"/>
                <w:szCs w:val="19"/>
                <w:color w:val="auto"/>
              </w:rPr>
            </w:pPr>
          </w:p>
        </w:tc>
        <w:tc>
          <w:tcPr>
            <w:tcW w:w="680" w:type="dxa"/>
            <w:vAlign w:val="bottom"/>
            <w:tcBorders>
              <w:top w:val="single" w:sz="8" w:color="7F7F7F"/>
            </w:tcBorders>
          </w:tcPr>
          <w:p>
            <w:pPr>
              <w:jc w:val="right"/>
              <w:ind w:right="149"/>
              <w:spacing w:after="0"/>
              <w:rPr>
                <w:sz w:val="20"/>
                <w:szCs w:val="20"/>
                <w:color w:val="auto"/>
              </w:rPr>
            </w:pPr>
            <w:r>
              <w:rPr>
                <w:rFonts w:ascii="Arial" w:cs="Arial" w:eastAsia="Arial" w:hAnsi="Arial"/>
                <w:sz w:val="14"/>
                <w:szCs w:val="14"/>
                <w:color w:val="auto"/>
              </w:rPr>
              <w:t>100</w:t>
            </w:r>
          </w:p>
        </w:tc>
        <w:tc>
          <w:tcPr>
            <w:tcW w:w="360" w:type="dxa"/>
            <w:vAlign w:val="bottom"/>
            <w:tcBorders>
              <w:top w:val="single" w:sz="8" w:color="7F7F7F"/>
            </w:tcBorders>
          </w:tcPr>
          <w:p>
            <w:pPr>
              <w:spacing w:after="0"/>
              <w:rPr>
                <w:sz w:val="19"/>
                <w:szCs w:val="19"/>
                <w:color w:val="auto"/>
              </w:rPr>
            </w:pPr>
          </w:p>
        </w:tc>
        <w:tc>
          <w:tcPr>
            <w:tcW w:w="82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Gain on sale of South American businesses</w:t>
            </w:r>
          </w:p>
        </w:tc>
        <w:tc>
          <w:tcPr>
            <w:tcW w:w="300" w:type="dxa"/>
            <w:vAlign w:val="bottom"/>
            <w:tcBorders>
              <w:bottom w:val="single" w:sz="8" w:color="F2F2F2"/>
            </w:tcBorders>
            <w:shd w:val="clear" w:color="auto" w:fill="F2F2F2"/>
          </w:tcPr>
          <w:p>
            <w:pPr>
              <w:spacing w:after="0"/>
              <w:rPr>
                <w:sz w:val="23"/>
                <w:szCs w:val="23"/>
                <w:color w:val="auto"/>
              </w:rPr>
            </w:pPr>
          </w:p>
        </w:tc>
        <w:tc>
          <w:tcPr>
            <w:tcW w:w="62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w w:val="99"/>
              </w:rPr>
              <w:t>(2,899)</w:t>
            </w:r>
          </w:p>
        </w:tc>
        <w:tc>
          <w:tcPr>
            <w:tcW w:w="26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1,152</w:t>
            </w:r>
          </w:p>
        </w:tc>
        <w:tc>
          <w:tcPr>
            <w:tcW w:w="24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F2F2F2"/>
            </w:tcBorders>
            <w:shd w:val="clear" w:color="auto" w:fill="F2F2F2"/>
          </w:tcPr>
          <w:p>
            <w:pPr>
              <w:spacing w:after="0"/>
              <w:rPr>
                <w:sz w:val="23"/>
                <w:szCs w:val="23"/>
                <w:color w:val="auto"/>
              </w:rPr>
            </w:pPr>
          </w:p>
        </w:tc>
        <w:tc>
          <w:tcPr>
            <w:tcW w:w="68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(1,747)</w:t>
            </w:r>
          </w:p>
        </w:tc>
        <w:tc>
          <w:tcPr>
            <w:tcW w:w="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74"/>
        </w:trPr>
        <w:tc>
          <w:tcPr>
            <w:tcW w:w="5580" w:type="dxa"/>
            <w:vAlign w:val="bottom"/>
            <w:tcBorders>
              <w:top w:val="single" w:sz="8" w:color="7F7F7F"/>
              <w:bottom w:val="single" w:sz="8" w:color="7F7F7F"/>
            </w:tcBorders>
          </w:tcPr>
          <w:p>
            <w:pPr>
              <w:ind w:left="80"/>
              <w:spacing w:after="0"/>
              <w:rPr>
                <w:sz w:val="20"/>
                <w:szCs w:val="20"/>
                <w:color w:val="auto"/>
              </w:rPr>
            </w:pPr>
            <w:r>
              <w:rPr>
                <w:rFonts w:ascii="Arial" w:cs="Arial" w:eastAsia="Arial" w:hAnsi="Arial"/>
                <w:sz w:val="14"/>
                <w:szCs w:val="14"/>
                <w:b w:val="1"/>
                <w:bCs w:val="1"/>
                <w:color w:val="auto"/>
              </w:rPr>
              <w:t>Sempra Adjusted Earnings</w:t>
            </w:r>
            <w:r>
              <w:rPr>
                <w:rFonts w:ascii="Arial" w:cs="Arial" w:eastAsia="Arial" w:hAnsi="Arial"/>
                <w:sz w:val="21"/>
                <w:szCs w:val="21"/>
                <w:b w:val="1"/>
                <w:bCs w:val="1"/>
                <w:color w:val="auto"/>
                <w:vertAlign w:val="superscript"/>
              </w:rPr>
              <w:t>(2)</w:t>
            </w:r>
          </w:p>
        </w:tc>
        <w:tc>
          <w:tcPr>
            <w:tcW w:w="300" w:type="dxa"/>
            <w:vAlign w:val="bottom"/>
            <w:tcBorders>
              <w:top w:val="single" w:sz="8" w:color="7F7F7F"/>
              <w:bottom w:val="single" w:sz="8" w:color="7F7F7F"/>
            </w:tcBorders>
          </w:tcPr>
          <w:p>
            <w:pPr>
              <w:spacing w:after="0"/>
              <w:rPr>
                <w:sz w:val="23"/>
                <w:szCs w:val="23"/>
                <w:color w:val="auto"/>
              </w:rPr>
            </w:pPr>
          </w:p>
        </w:tc>
        <w:tc>
          <w:tcPr>
            <w:tcW w:w="620" w:type="dxa"/>
            <w:vAlign w:val="bottom"/>
            <w:tcBorders>
              <w:top w:val="single" w:sz="8" w:color="7F7F7F"/>
              <w:bottom w:val="single" w:sz="8" w:color="7F7F7F"/>
            </w:tcBorders>
          </w:tcPr>
          <w:p>
            <w:pPr>
              <w:spacing w:after="0"/>
              <w:rPr>
                <w:sz w:val="23"/>
                <w:szCs w:val="23"/>
                <w:color w:val="auto"/>
              </w:rPr>
            </w:pPr>
          </w:p>
        </w:tc>
        <w:tc>
          <w:tcPr>
            <w:tcW w:w="260" w:type="dxa"/>
            <w:vAlign w:val="bottom"/>
            <w:tcBorders>
              <w:top w:val="single" w:sz="8" w:color="7F7F7F"/>
              <w:bottom w:val="single" w:sz="8" w:color="7F7F7F"/>
            </w:tcBorders>
          </w:tcPr>
          <w:p>
            <w:pPr>
              <w:spacing w:after="0"/>
              <w:rPr>
                <w:sz w:val="23"/>
                <w:szCs w:val="23"/>
                <w:color w:val="auto"/>
              </w:rPr>
            </w:pPr>
          </w:p>
        </w:tc>
        <w:tc>
          <w:tcPr>
            <w:tcW w:w="860" w:type="dxa"/>
            <w:vAlign w:val="bottom"/>
            <w:tcBorders>
              <w:top w:val="single" w:sz="8" w:color="7F7F7F"/>
              <w:bottom w:val="single" w:sz="8" w:color="7F7F7F"/>
            </w:tcBorders>
          </w:tcPr>
          <w:p>
            <w:pPr>
              <w:spacing w:after="0"/>
              <w:rPr>
                <w:sz w:val="23"/>
                <w:szCs w:val="23"/>
                <w:color w:val="auto"/>
              </w:rPr>
            </w:pPr>
          </w:p>
        </w:tc>
        <w:tc>
          <w:tcPr>
            <w:tcW w:w="240" w:type="dxa"/>
            <w:vAlign w:val="bottom"/>
            <w:tcBorders>
              <w:top w:val="single" w:sz="8" w:color="7F7F7F"/>
              <w:bottom w:val="single" w:sz="8" w:color="7F7F7F"/>
            </w:tcBorders>
          </w:tcPr>
          <w:p>
            <w:pPr>
              <w:spacing w:after="0"/>
              <w:rPr>
                <w:sz w:val="23"/>
                <w:szCs w:val="23"/>
                <w:color w:val="auto"/>
              </w:rPr>
            </w:pPr>
          </w:p>
        </w:tc>
        <w:tc>
          <w:tcPr>
            <w:tcW w:w="860" w:type="dxa"/>
            <w:vAlign w:val="bottom"/>
            <w:tcBorders>
              <w:top w:val="single" w:sz="8" w:color="7F7F7F"/>
              <w:bottom w:val="single" w:sz="8" w:color="7F7F7F"/>
            </w:tcBorders>
          </w:tcPr>
          <w:p>
            <w:pPr>
              <w:spacing w:after="0"/>
              <w:rPr>
                <w:sz w:val="23"/>
                <w:szCs w:val="23"/>
                <w:color w:val="auto"/>
              </w:rPr>
            </w:pPr>
          </w:p>
        </w:tc>
        <w:tc>
          <w:tcPr>
            <w:tcW w:w="340" w:type="dxa"/>
            <w:vAlign w:val="bottom"/>
            <w:tcBorders>
              <w:top w:val="single" w:sz="8" w:color="7F7F7F"/>
              <w:bottom w:val="single" w:sz="8" w:color="7F7F7F"/>
            </w:tcBorders>
          </w:tcPr>
          <w:p>
            <w:pPr>
              <w:spacing w:after="0"/>
              <w:rPr>
                <w:sz w:val="23"/>
                <w:szCs w:val="23"/>
                <w:color w:val="auto"/>
              </w:rPr>
            </w:pPr>
          </w:p>
        </w:tc>
        <w:tc>
          <w:tcPr>
            <w:tcW w:w="680" w:type="dxa"/>
            <w:vAlign w:val="bottom"/>
            <w:tcBorders>
              <w:top w:val="single" w:sz="8" w:color="7F7F7F"/>
              <w:bottom w:val="single" w:sz="8" w:color="7F7F7F"/>
            </w:tcBorders>
          </w:tcPr>
          <w:p>
            <w:pPr>
              <w:jc w:val="right"/>
              <w:ind w:right="149"/>
              <w:spacing w:after="0"/>
              <w:rPr>
                <w:sz w:val="20"/>
                <w:szCs w:val="20"/>
                <w:color w:val="auto"/>
              </w:rPr>
            </w:pPr>
            <w:r>
              <w:rPr>
                <w:rFonts w:ascii="Arial" w:cs="Arial" w:eastAsia="Arial" w:hAnsi="Arial"/>
                <w:sz w:val="14"/>
                <w:szCs w:val="14"/>
                <w:color w:val="auto"/>
              </w:rPr>
              <w:t>2,342</w:t>
            </w:r>
          </w:p>
        </w:tc>
        <w:tc>
          <w:tcPr>
            <w:tcW w:w="360" w:type="dxa"/>
            <w:vAlign w:val="bottom"/>
            <w:tcBorders>
              <w:top w:val="single" w:sz="8" w:color="7F7F7F"/>
              <w:bottom w:val="single" w:sz="8" w:color="7F7F7F"/>
            </w:tcBorders>
          </w:tcPr>
          <w:p>
            <w:pPr>
              <w:spacing w:after="0"/>
              <w:rPr>
                <w:sz w:val="23"/>
                <w:szCs w:val="23"/>
                <w:color w:val="auto"/>
              </w:rPr>
            </w:pPr>
          </w:p>
        </w:tc>
        <w:tc>
          <w:tcPr>
            <w:tcW w:w="820" w:type="dxa"/>
            <w:vAlign w:val="bottom"/>
            <w:tcBorders>
              <w:top w:val="single" w:sz="8" w:color="7F7F7F"/>
              <w:bottom w:val="single" w:sz="8" w:color="7F7F7F"/>
            </w:tcBorders>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Add back dividends for dilutive series A preferred stock</w:t>
            </w:r>
          </w:p>
        </w:tc>
        <w:tc>
          <w:tcPr>
            <w:tcW w:w="300" w:type="dxa"/>
            <w:vAlign w:val="bottom"/>
            <w:tcBorders>
              <w:bottom w:val="single" w:sz="8" w:color="F2F2F2"/>
            </w:tcBorders>
            <w:shd w:val="clear" w:color="auto" w:fill="F2F2F2"/>
          </w:tcPr>
          <w:p>
            <w:pPr>
              <w:spacing w:after="0"/>
              <w:rPr>
                <w:sz w:val="23"/>
                <w:szCs w:val="23"/>
                <w:color w:val="auto"/>
              </w:rPr>
            </w:pPr>
          </w:p>
        </w:tc>
        <w:tc>
          <w:tcPr>
            <w:tcW w:w="620" w:type="dxa"/>
            <w:vAlign w:val="bottom"/>
            <w:tcBorders>
              <w:bottom w:val="single" w:sz="8" w:color="F2F2F2"/>
            </w:tcBorders>
            <w:shd w:val="clear" w:color="auto" w:fill="F2F2F2"/>
          </w:tcPr>
          <w:p>
            <w:pPr>
              <w:spacing w:after="0"/>
              <w:rPr>
                <w:sz w:val="23"/>
                <w:szCs w:val="23"/>
                <w:color w:val="auto"/>
              </w:rPr>
            </w:pPr>
          </w:p>
        </w:tc>
        <w:tc>
          <w:tcPr>
            <w:tcW w:w="26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spacing w:after="0"/>
              <w:rPr>
                <w:sz w:val="23"/>
                <w:szCs w:val="23"/>
                <w:color w:val="auto"/>
              </w:rPr>
            </w:pPr>
          </w:p>
        </w:tc>
        <w:tc>
          <w:tcPr>
            <w:tcW w:w="24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spacing w:after="0"/>
              <w:rPr>
                <w:sz w:val="23"/>
                <w:szCs w:val="23"/>
                <w:color w:val="auto"/>
              </w:rPr>
            </w:pPr>
          </w:p>
        </w:tc>
        <w:tc>
          <w:tcPr>
            <w:tcW w:w="340" w:type="dxa"/>
            <w:vAlign w:val="bottom"/>
            <w:tcBorders>
              <w:bottom w:val="single" w:sz="8" w:color="F2F2F2"/>
            </w:tcBorders>
            <w:shd w:val="clear" w:color="auto" w:fill="F2F2F2"/>
          </w:tcPr>
          <w:p>
            <w:pPr>
              <w:spacing w:after="0"/>
              <w:rPr>
                <w:sz w:val="23"/>
                <w:szCs w:val="23"/>
                <w:color w:val="auto"/>
              </w:rPr>
            </w:pPr>
          </w:p>
        </w:tc>
        <w:tc>
          <w:tcPr>
            <w:tcW w:w="680" w:type="dxa"/>
            <w:vAlign w:val="bottom"/>
            <w:tcBorders>
              <w:bottom w:val="single" w:sz="8" w:color="F2F2F2"/>
            </w:tcBorders>
            <w:shd w:val="clear" w:color="auto" w:fill="F2F2F2"/>
          </w:tcPr>
          <w:p>
            <w:pPr>
              <w:jc w:val="right"/>
              <w:ind w:right="149"/>
              <w:spacing w:after="0"/>
              <w:rPr>
                <w:sz w:val="20"/>
                <w:szCs w:val="20"/>
                <w:color w:val="auto"/>
              </w:rPr>
            </w:pPr>
            <w:r>
              <w:rPr>
                <w:rFonts w:ascii="Arial" w:cs="Arial" w:eastAsia="Arial" w:hAnsi="Arial"/>
                <w:sz w:val="14"/>
                <w:szCs w:val="14"/>
                <w:color w:val="auto"/>
              </w:rPr>
              <w:t>104</w:t>
            </w:r>
          </w:p>
        </w:tc>
        <w:tc>
          <w:tcPr>
            <w:tcW w:w="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98"/>
        </w:trPr>
        <w:tc>
          <w:tcPr>
            <w:tcW w:w="55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Adjusted EPS impact of higher diluted share count for adjusted diluted weighted-</w:t>
            </w:r>
          </w:p>
        </w:tc>
        <w:tc>
          <w:tcPr>
            <w:tcW w:w="300" w:type="dxa"/>
            <w:vAlign w:val="bottom"/>
            <w:tcBorders>
              <w:top w:val="single" w:sz="8" w:color="7F7F7F"/>
            </w:tcBorders>
          </w:tcPr>
          <w:p>
            <w:pPr>
              <w:spacing w:after="0"/>
              <w:rPr>
                <w:sz w:val="17"/>
                <w:szCs w:val="17"/>
                <w:color w:val="auto"/>
              </w:rPr>
            </w:pPr>
          </w:p>
        </w:tc>
        <w:tc>
          <w:tcPr>
            <w:tcW w:w="620" w:type="dxa"/>
            <w:vAlign w:val="bottom"/>
            <w:tcBorders>
              <w:top w:val="single" w:sz="8" w:color="7F7F7F"/>
            </w:tcBorders>
          </w:tcPr>
          <w:p>
            <w:pPr>
              <w:spacing w:after="0"/>
              <w:rPr>
                <w:sz w:val="17"/>
                <w:szCs w:val="17"/>
                <w:color w:val="auto"/>
              </w:rPr>
            </w:pPr>
          </w:p>
        </w:tc>
        <w:tc>
          <w:tcPr>
            <w:tcW w:w="260" w:type="dxa"/>
            <w:vAlign w:val="bottom"/>
            <w:tcBorders>
              <w:top w:val="single" w:sz="8" w:color="7F7F7F"/>
            </w:tcBorders>
          </w:tcPr>
          <w:p>
            <w:pPr>
              <w:spacing w:after="0"/>
              <w:rPr>
                <w:sz w:val="17"/>
                <w:szCs w:val="17"/>
                <w:color w:val="auto"/>
              </w:rPr>
            </w:pPr>
          </w:p>
        </w:tc>
        <w:tc>
          <w:tcPr>
            <w:tcW w:w="860" w:type="dxa"/>
            <w:vAlign w:val="bottom"/>
            <w:tcBorders>
              <w:top w:val="single" w:sz="8" w:color="7F7F7F"/>
            </w:tcBorders>
          </w:tcPr>
          <w:p>
            <w:pPr>
              <w:spacing w:after="0"/>
              <w:rPr>
                <w:sz w:val="17"/>
                <w:szCs w:val="17"/>
                <w:color w:val="auto"/>
              </w:rPr>
            </w:pPr>
          </w:p>
        </w:tc>
        <w:tc>
          <w:tcPr>
            <w:tcW w:w="240" w:type="dxa"/>
            <w:vAlign w:val="bottom"/>
            <w:tcBorders>
              <w:top w:val="single" w:sz="8" w:color="7F7F7F"/>
            </w:tcBorders>
          </w:tcPr>
          <w:p>
            <w:pPr>
              <w:spacing w:after="0"/>
              <w:rPr>
                <w:sz w:val="17"/>
                <w:szCs w:val="17"/>
                <w:color w:val="auto"/>
              </w:rPr>
            </w:pPr>
          </w:p>
        </w:tc>
        <w:tc>
          <w:tcPr>
            <w:tcW w:w="86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tcPr>
          <w:p>
            <w:pPr>
              <w:spacing w:after="0"/>
              <w:rPr>
                <w:sz w:val="17"/>
                <w:szCs w:val="17"/>
                <w:color w:val="auto"/>
              </w:rPr>
            </w:pPr>
          </w:p>
        </w:tc>
        <w:tc>
          <w:tcPr>
            <w:tcW w:w="680" w:type="dxa"/>
            <w:vAlign w:val="bottom"/>
            <w:tcBorders>
              <w:top w:val="single" w:sz="8" w:color="7F7F7F"/>
            </w:tcBorders>
          </w:tcPr>
          <w:p>
            <w:pPr>
              <w:spacing w:after="0"/>
              <w:rPr>
                <w:sz w:val="17"/>
                <w:szCs w:val="17"/>
                <w:color w:val="auto"/>
              </w:rPr>
            </w:pPr>
          </w:p>
        </w:tc>
        <w:tc>
          <w:tcPr>
            <w:tcW w:w="360" w:type="dxa"/>
            <w:vAlign w:val="bottom"/>
            <w:tcBorders>
              <w:top w:val="single" w:sz="8" w:color="7F7F7F"/>
            </w:tcBorders>
          </w:tcPr>
          <w:p>
            <w:pPr>
              <w:spacing w:after="0"/>
              <w:rPr>
                <w:sz w:val="17"/>
                <w:szCs w:val="17"/>
                <w:color w:val="auto"/>
              </w:rPr>
            </w:pPr>
          </w:p>
        </w:tc>
        <w:tc>
          <w:tcPr>
            <w:tcW w:w="820" w:type="dxa"/>
            <w:vAlign w:val="bottom"/>
            <w:tcBorders>
              <w:top w:val="single" w:sz="8" w:color="7F7F7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80" w:type="dxa"/>
            <w:vAlign w:val="bottom"/>
          </w:tcPr>
          <w:p>
            <w:pPr>
              <w:ind w:left="80"/>
              <w:spacing w:after="0"/>
              <w:rPr>
                <w:sz w:val="20"/>
                <w:szCs w:val="20"/>
                <w:color w:val="auto"/>
              </w:rPr>
            </w:pPr>
            <w:r>
              <w:rPr>
                <w:rFonts w:ascii="Arial" w:cs="Arial" w:eastAsia="Arial" w:hAnsi="Arial"/>
                <w:sz w:val="14"/>
                <w:szCs w:val="14"/>
                <w:color w:val="auto"/>
              </w:rPr>
              <w:t>average common shares outstanding</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558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Sempra Adjusted Earnings for Adjusted EPS and Adjusted EPS</w:t>
            </w:r>
            <w:r>
              <w:rPr>
                <w:rFonts w:ascii="Arial" w:cs="Arial" w:eastAsia="Arial" w:hAnsi="Arial"/>
                <w:sz w:val="21"/>
                <w:szCs w:val="21"/>
                <w:b w:val="1"/>
                <w:bCs w:val="1"/>
                <w:color w:val="auto"/>
                <w:vertAlign w:val="superscript"/>
              </w:rPr>
              <w:t>(2)</w:t>
            </w:r>
          </w:p>
        </w:tc>
        <w:tc>
          <w:tcPr>
            <w:tcW w:w="300" w:type="dxa"/>
            <w:vAlign w:val="bottom"/>
            <w:tcBorders>
              <w:bottom w:val="single" w:sz="8" w:color="7F7F7F"/>
            </w:tcBorders>
            <w:shd w:val="clear" w:color="auto" w:fill="F2F2F2"/>
          </w:tcPr>
          <w:p>
            <w:pPr>
              <w:spacing w:after="0"/>
              <w:rPr>
                <w:sz w:val="23"/>
                <w:szCs w:val="23"/>
                <w:color w:val="auto"/>
              </w:rPr>
            </w:pPr>
          </w:p>
        </w:tc>
        <w:tc>
          <w:tcPr>
            <w:tcW w:w="620" w:type="dxa"/>
            <w:vAlign w:val="bottom"/>
            <w:tcBorders>
              <w:bottom w:val="single" w:sz="8" w:color="7F7F7F"/>
            </w:tcBorders>
            <w:shd w:val="clear" w:color="auto" w:fill="F2F2F2"/>
          </w:tcPr>
          <w:p>
            <w:pPr>
              <w:spacing w:after="0"/>
              <w:rPr>
                <w:sz w:val="23"/>
                <w:szCs w:val="23"/>
                <w:color w:val="auto"/>
              </w:rPr>
            </w:pPr>
          </w:p>
        </w:tc>
        <w:tc>
          <w:tcPr>
            <w:tcW w:w="260" w:type="dxa"/>
            <w:vAlign w:val="bottom"/>
            <w:tcBorders>
              <w:bottom w:val="single" w:sz="8" w:color="7F7F7F"/>
            </w:tcBorders>
            <w:shd w:val="clear" w:color="auto" w:fill="F2F2F2"/>
          </w:tcPr>
          <w:p>
            <w:pPr>
              <w:spacing w:after="0"/>
              <w:rPr>
                <w:sz w:val="23"/>
                <w:szCs w:val="23"/>
                <w:color w:val="auto"/>
              </w:rPr>
            </w:pPr>
          </w:p>
        </w:tc>
        <w:tc>
          <w:tcPr>
            <w:tcW w:w="860" w:type="dxa"/>
            <w:vAlign w:val="bottom"/>
            <w:tcBorders>
              <w:bottom w:val="single" w:sz="8" w:color="7F7F7F"/>
            </w:tcBorders>
            <w:shd w:val="clear" w:color="auto" w:fill="F2F2F2"/>
          </w:tcPr>
          <w:p>
            <w:pPr>
              <w:spacing w:after="0"/>
              <w:rPr>
                <w:sz w:val="23"/>
                <w:szCs w:val="23"/>
                <w:color w:val="auto"/>
              </w:rPr>
            </w:pPr>
          </w:p>
        </w:tc>
        <w:tc>
          <w:tcPr>
            <w:tcW w:w="240" w:type="dxa"/>
            <w:vAlign w:val="bottom"/>
            <w:tcBorders>
              <w:bottom w:val="single" w:sz="8" w:color="7F7F7F"/>
            </w:tcBorders>
            <w:shd w:val="clear" w:color="auto" w:fill="F2F2F2"/>
          </w:tcPr>
          <w:p>
            <w:pPr>
              <w:spacing w:after="0"/>
              <w:rPr>
                <w:sz w:val="23"/>
                <w:szCs w:val="23"/>
                <w:color w:val="auto"/>
              </w:rPr>
            </w:pPr>
          </w:p>
        </w:tc>
        <w:tc>
          <w:tcPr>
            <w:tcW w:w="860" w:type="dxa"/>
            <w:vAlign w:val="bottom"/>
            <w:tcBorders>
              <w:bottom w:val="single" w:sz="8" w:color="7F7F7F"/>
            </w:tcBorders>
            <w:shd w:val="clear" w:color="auto" w:fill="F2F2F2"/>
          </w:tcPr>
          <w:p>
            <w:pPr>
              <w:spacing w:after="0"/>
              <w:rPr>
                <w:sz w:val="23"/>
                <w:szCs w:val="23"/>
                <w:color w:val="auto"/>
              </w:rPr>
            </w:pPr>
          </w:p>
        </w:tc>
        <w:tc>
          <w:tcPr>
            <w:tcW w:w="340" w:type="dxa"/>
            <w:vAlign w:val="bottom"/>
            <w:tcBorders>
              <w:bottom w:val="single" w:sz="8" w:color="auto"/>
            </w:tcBorders>
            <w:shd w:val="clear" w:color="auto" w:fill="F2F2F2"/>
          </w:tcPr>
          <w:p>
            <w:pPr>
              <w:ind w:left="2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F2F2F2"/>
          </w:tcPr>
          <w:p>
            <w:pPr>
              <w:jc w:val="right"/>
              <w:ind w:right="149"/>
              <w:spacing w:after="0"/>
              <w:rPr>
                <w:sz w:val="20"/>
                <w:szCs w:val="20"/>
                <w:color w:val="auto"/>
              </w:rPr>
            </w:pPr>
            <w:r>
              <w:rPr>
                <w:rFonts w:ascii="Arial" w:cs="Arial" w:eastAsia="Arial" w:hAnsi="Arial"/>
                <w:sz w:val="14"/>
                <w:szCs w:val="14"/>
                <w:color w:val="auto"/>
              </w:rPr>
              <w:t>2,446</w:t>
            </w:r>
          </w:p>
        </w:tc>
        <w:tc>
          <w:tcPr>
            <w:tcW w:w="360" w:type="dxa"/>
            <w:vAlign w:val="bottom"/>
            <w:tcBorders>
              <w:bottom w:val="single" w:sz="8" w:color="auto"/>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2F2F2"/>
          </w:tcPr>
          <w:p>
            <w:pPr>
              <w:jc w:val="right"/>
              <w:ind w:right="129"/>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80" w:type="dxa"/>
            <w:vAlign w:val="bottom"/>
          </w:tcPr>
          <w:p>
            <w:pPr>
              <w:ind w:left="80"/>
              <w:spacing w:after="0"/>
              <w:rPr>
                <w:sz w:val="20"/>
                <w:szCs w:val="20"/>
                <w:color w:val="auto"/>
              </w:rPr>
            </w:pPr>
            <w:r>
              <w:rPr>
                <w:rFonts w:ascii="Arial" w:cs="Arial" w:eastAsia="Arial" w:hAnsi="Arial"/>
                <w:sz w:val="14"/>
                <w:szCs w:val="14"/>
                <w:color w:val="auto"/>
              </w:rPr>
              <w:t>Weighted-average common shares outstanding, diluted – GAAP</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584,503</w:t>
            </w: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5580" w:type="dxa"/>
            <w:vAlign w:val="bottom"/>
            <w:shd w:val="clear" w:color="auto" w:fill="F2F2F2"/>
          </w:tcPr>
          <w:p>
            <w:pPr>
              <w:ind w:left="80"/>
              <w:spacing w:after="0"/>
              <w:rPr>
                <w:sz w:val="20"/>
                <w:szCs w:val="20"/>
                <w:color w:val="auto"/>
              </w:rPr>
            </w:pPr>
            <w:r>
              <w:rPr>
                <w:rFonts w:ascii="Arial" w:cs="Arial" w:eastAsia="Arial" w:hAnsi="Arial"/>
                <w:sz w:val="14"/>
                <w:szCs w:val="14"/>
                <w:color w:val="auto"/>
              </w:rPr>
              <w:t>Weighted-average common shares outstanding, diluted – Adjusted</w:t>
            </w:r>
            <w:r>
              <w:rPr>
                <w:rFonts w:ascii="Arial" w:cs="Arial" w:eastAsia="Arial" w:hAnsi="Arial"/>
                <w:sz w:val="21"/>
                <w:szCs w:val="21"/>
                <w:color w:val="auto"/>
                <w:vertAlign w:val="superscript"/>
              </w:rPr>
              <w:t>(3)</w:t>
            </w:r>
          </w:p>
        </w:tc>
        <w:tc>
          <w:tcPr>
            <w:tcW w:w="300" w:type="dxa"/>
            <w:vAlign w:val="bottom"/>
            <w:shd w:val="clear" w:color="auto" w:fill="F2F2F2"/>
          </w:tcPr>
          <w:p>
            <w:pPr>
              <w:spacing w:after="0"/>
              <w:rPr>
                <w:sz w:val="23"/>
                <w:szCs w:val="23"/>
                <w:color w:val="auto"/>
              </w:rPr>
            </w:pPr>
          </w:p>
        </w:tc>
        <w:tc>
          <w:tcPr>
            <w:tcW w:w="620" w:type="dxa"/>
            <w:vAlign w:val="bottom"/>
            <w:shd w:val="clear" w:color="auto" w:fill="F2F2F2"/>
          </w:tcPr>
          <w:p>
            <w:pPr>
              <w:spacing w:after="0"/>
              <w:rPr>
                <w:sz w:val="23"/>
                <w:szCs w:val="23"/>
                <w:color w:val="auto"/>
              </w:rPr>
            </w:pPr>
          </w:p>
        </w:tc>
        <w:tc>
          <w:tcPr>
            <w:tcW w:w="260" w:type="dxa"/>
            <w:vAlign w:val="bottom"/>
            <w:shd w:val="clear" w:color="auto" w:fill="F2F2F2"/>
          </w:tcPr>
          <w:p>
            <w:pPr>
              <w:spacing w:after="0"/>
              <w:rPr>
                <w:sz w:val="23"/>
                <w:szCs w:val="23"/>
                <w:color w:val="auto"/>
              </w:rPr>
            </w:pPr>
          </w:p>
        </w:tc>
        <w:tc>
          <w:tcPr>
            <w:tcW w:w="860" w:type="dxa"/>
            <w:vAlign w:val="bottom"/>
            <w:shd w:val="clear" w:color="auto" w:fill="F2F2F2"/>
          </w:tcPr>
          <w:p>
            <w:pPr>
              <w:spacing w:after="0"/>
              <w:rPr>
                <w:sz w:val="23"/>
                <w:szCs w:val="23"/>
                <w:color w:val="auto"/>
              </w:rPr>
            </w:pPr>
          </w:p>
        </w:tc>
        <w:tc>
          <w:tcPr>
            <w:tcW w:w="240" w:type="dxa"/>
            <w:vAlign w:val="bottom"/>
            <w:shd w:val="clear" w:color="auto" w:fill="F2F2F2"/>
          </w:tcPr>
          <w:p>
            <w:pPr>
              <w:spacing w:after="0"/>
              <w:rPr>
                <w:sz w:val="23"/>
                <w:szCs w:val="23"/>
                <w:color w:val="auto"/>
              </w:rPr>
            </w:pPr>
          </w:p>
        </w:tc>
        <w:tc>
          <w:tcPr>
            <w:tcW w:w="860" w:type="dxa"/>
            <w:vAlign w:val="bottom"/>
            <w:shd w:val="clear" w:color="auto" w:fill="F2F2F2"/>
          </w:tcPr>
          <w:p>
            <w:pPr>
              <w:spacing w:after="0"/>
              <w:rPr>
                <w:sz w:val="23"/>
                <w:szCs w:val="23"/>
                <w:color w:val="auto"/>
              </w:rPr>
            </w:pPr>
          </w:p>
        </w:tc>
        <w:tc>
          <w:tcPr>
            <w:tcW w:w="340" w:type="dxa"/>
            <w:vAlign w:val="bottom"/>
            <w:shd w:val="clear" w:color="auto" w:fill="F2F2F2"/>
          </w:tcPr>
          <w:p>
            <w:pPr>
              <w:spacing w:after="0"/>
              <w:rPr>
                <w:sz w:val="23"/>
                <w:szCs w:val="23"/>
                <w:color w:val="auto"/>
              </w:rPr>
            </w:pPr>
          </w:p>
        </w:tc>
        <w:tc>
          <w:tcPr>
            <w:tcW w:w="680" w:type="dxa"/>
            <w:vAlign w:val="bottom"/>
            <w:shd w:val="clear" w:color="auto" w:fill="F2F2F2"/>
          </w:tcPr>
          <w:p>
            <w:pPr>
              <w:spacing w:after="0"/>
              <w:rPr>
                <w:sz w:val="23"/>
                <w:szCs w:val="23"/>
                <w:color w:val="auto"/>
              </w:rPr>
            </w:pPr>
          </w:p>
        </w:tc>
        <w:tc>
          <w:tcPr>
            <w:tcW w:w="360" w:type="dxa"/>
            <w:vAlign w:val="bottom"/>
            <w:shd w:val="clear" w:color="auto" w:fill="F2F2F2"/>
          </w:tcPr>
          <w:p>
            <w:pPr>
              <w:spacing w:after="0"/>
              <w:rPr>
                <w:sz w:val="23"/>
                <w:szCs w:val="23"/>
                <w:color w:val="auto"/>
              </w:rPr>
            </w:pPr>
          </w:p>
        </w:tc>
        <w:tc>
          <w:tcPr>
            <w:tcW w:w="820" w:type="dxa"/>
            <w:vAlign w:val="bottom"/>
            <w:shd w:val="clear" w:color="auto" w:fill="F2F2F2"/>
          </w:tcPr>
          <w:p>
            <w:pPr>
              <w:jc w:val="right"/>
              <w:ind w:right="129"/>
              <w:spacing w:after="0"/>
              <w:rPr>
                <w:sz w:val="20"/>
                <w:szCs w:val="20"/>
                <w:color w:val="auto"/>
              </w:rPr>
            </w:pPr>
            <w:r>
              <w:rPr>
                <w:rFonts w:ascii="Arial" w:cs="Arial" w:eastAsia="Arial" w:hAnsi="Arial"/>
                <w:sz w:val="14"/>
                <w:szCs w:val="14"/>
                <w:color w:val="auto"/>
              </w:rPr>
              <w:t>611,338</w:t>
            </w:r>
          </w:p>
        </w:tc>
        <w:tc>
          <w:tcPr>
            <w:tcW w:w="0" w:type="dxa"/>
            <w:vAlign w:val="bottom"/>
          </w:tcPr>
          <w:p>
            <w:pPr>
              <w:spacing w:after="0"/>
              <w:rPr>
                <w:sz w:val="1"/>
                <w:szCs w:val="1"/>
                <w:color w:val="auto"/>
              </w:rPr>
            </w:pPr>
          </w:p>
        </w:tc>
      </w:tr>
      <w:tr>
        <w:trPr>
          <w:trHeight w:val="274"/>
        </w:trPr>
        <w:tc>
          <w:tcPr>
            <w:tcW w:w="5580" w:type="dxa"/>
            <w:vAlign w:val="bottom"/>
            <w:tcBorders>
              <w:bottom w:val="single" w:sz="8" w:color="005CB9"/>
            </w:tcBorders>
            <w:shd w:val="clear" w:color="auto" w:fill="005CB9"/>
          </w:tcPr>
          <w:p>
            <w:pPr>
              <w:spacing w:after="0"/>
              <w:rPr>
                <w:sz w:val="23"/>
                <w:szCs w:val="23"/>
                <w:color w:val="auto"/>
              </w:rPr>
            </w:pPr>
          </w:p>
        </w:tc>
        <w:tc>
          <w:tcPr>
            <w:tcW w:w="300" w:type="dxa"/>
            <w:vAlign w:val="bottom"/>
            <w:tcBorders>
              <w:bottom w:val="single" w:sz="8" w:color="005CB9"/>
            </w:tcBorders>
            <w:shd w:val="clear" w:color="auto" w:fill="005CB9"/>
          </w:tcPr>
          <w:p>
            <w:pPr>
              <w:spacing w:after="0"/>
              <w:rPr>
                <w:sz w:val="23"/>
                <w:szCs w:val="23"/>
                <w:color w:val="auto"/>
              </w:rPr>
            </w:pPr>
          </w:p>
        </w:tc>
        <w:tc>
          <w:tcPr>
            <w:tcW w:w="620" w:type="dxa"/>
            <w:vAlign w:val="bottom"/>
            <w:tcBorders>
              <w:bottom w:val="single" w:sz="8" w:color="005CB9"/>
            </w:tcBorders>
            <w:shd w:val="clear" w:color="auto" w:fill="005CB9"/>
          </w:tcPr>
          <w:p>
            <w:pPr>
              <w:spacing w:after="0"/>
              <w:rPr>
                <w:sz w:val="23"/>
                <w:szCs w:val="23"/>
                <w:color w:val="auto"/>
              </w:rPr>
            </w:pPr>
          </w:p>
        </w:tc>
        <w:tc>
          <w:tcPr>
            <w:tcW w:w="260" w:type="dxa"/>
            <w:vAlign w:val="bottom"/>
            <w:tcBorders>
              <w:bottom w:val="single" w:sz="8" w:color="005CB9"/>
            </w:tcBorders>
            <w:shd w:val="clear" w:color="auto" w:fill="005CB9"/>
          </w:tcPr>
          <w:p>
            <w:pPr>
              <w:spacing w:after="0"/>
              <w:rPr>
                <w:sz w:val="23"/>
                <w:szCs w:val="23"/>
                <w:color w:val="auto"/>
              </w:rPr>
            </w:pPr>
          </w:p>
        </w:tc>
        <w:tc>
          <w:tcPr>
            <w:tcW w:w="2980" w:type="dxa"/>
            <w:vAlign w:val="bottom"/>
            <w:tcBorders>
              <w:bottom w:val="single" w:sz="8" w:color="005CB9"/>
            </w:tcBorders>
            <w:gridSpan w:val="5"/>
            <w:shd w:val="clear" w:color="auto" w:fill="005CB9"/>
          </w:tcPr>
          <w:p>
            <w:pPr>
              <w:jc w:val="right"/>
              <w:ind w:right="389"/>
              <w:spacing w:after="0"/>
              <w:rPr>
                <w:sz w:val="20"/>
                <w:szCs w:val="20"/>
                <w:color w:val="auto"/>
              </w:rPr>
            </w:pPr>
            <w:r>
              <w:rPr>
                <w:rFonts w:ascii="Arial" w:cs="Arial" w:eastAsia="Arial" w:hAnsi="Arial"/>
                <w:sz w:val="14"/>
                <w:szCs w:val="14"/>
                <w:b w:val="1"/>
                <w:bCs w:val="1"/>
                <w:color w:val="FFFFFF"/>
              </w:rPr>
              <w:t>Year ended December 31, 2015</w:t>
            </w:r>
          </w:p>
        </w:tc>
        <w:tc>
          <w:tcPr>
            <w:tcW w:w="360" w:type="dxa"/>
            <w:vAlign w:val="bottom"/>
            <w:tcBorders>
              <w:bottom w:val="single" w:sz="8" w:color="005CB9"/>
            </w:tcBorders>
            <w:shd w:val="clear" w:color="auto" w:fill="005CB9"/>
          </w:tcPr>
          <w:p>
            <w:pPr>
              <w:spacing w:after="0"/>
              <w:rPr>
                <w:sz w:val="23"/>
                <w:szCs w:val="23"/>
                <w:color w:val="auto"/>
              </w:rPr>
            </w:pPr>
          </w:p>
        </w:tc>
        <w:tc>
          <w:tcPr>
            <w:tcW w:w="820" w:type="dxa"/>
            <w:vAlign w:val="bottom"/>
            <w:tcBorders>
              <w:bottom w:val="single" w:sz="8" w:color="005CB9"/>
            </w:tcBorders>
            <w:shd w:val="clear" w:color="auto" w:fill="005CB9"/>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55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Sempra GAAP Earnings and GAAP EPS</w:t>
            </w:r>
          </w:p>
        </w:tc>
        <w:tc>
          <w:tcPr>
            <w:tcW w:w="300" w:type="dxa"/>
            <w:vAlign w:val="bottom"/>
            <w:tcBorders>
              <w:bottom w:val="single" w:sz="8" w:color="F2F2F2"/>
            </w:tcBorders>
            <w:shd w:val="clear" w:color="auto" w:fill="F2F2F2"/>
          </w:tcPr>
          <w:p>
            <w:pPr>
              <w:spacing w:after="0"/>
              <w:rPr>
                <w:sz w:val="24"/>
                <w:szCs w:val="24"/>
                <w:color w:val="auto"/>
              </w:rPr>
            </w:pPr>
          </w:p>
        </w:tc>
        <w:tc>
          <w:tcPr>
            <w:tcW w:w="620" w:type="dxa"/>
            <w:vAlign w:val="bottom"/>
            <w:tcBorders>
              <w:bottom w:val="single" w:sz="8" w:color="F2F2F2"/>
            </w:tcBorders>
            <w:shd w:val="clear" w:color="auto" w:fill="F2F2F2"/>
          </w:tcPr>
          <w:p>
            <w:pPr>
              <w:spacing w:after="0"/>
              <w:rPr>
                <w:sz w:val="24"/>
                <w:szCs w:val="24"/>
                <w:color w:val="auto"/>
              </w:rPr>
            </w:pPr>
          </w:p>
        </w:tc>
        <w:tc>
          <w:tcPr>
            <w:tcW w:w="260" w:type="dxa"/>
            <w:vAlign w:val="bottom"/>
            <w:tcBorders>
              <w:bottom w:val="single" w:sz="8" w:color="F2F2F2"/>
            </w:tcBorders>
            <w:shd w:val="clear" w:color="auto" w:fill="F2F2F2"/>
          </w:tcPr>
          <w:p>
            <w:pPr>
              <w:spacing w:after="0"/>
              <w:rPr>
                <w:sz w:val="24"/>
                <w:szCs w:val="24"/>
                <w:color w:val="auto"/>
              </w:rPr>
            </w:pPr>
          </w:p>
        </w:tc>
        <w:tc>
          <w:tcPr>
            <w:tcW w:w="860" w:type="dxa"/>
            <w:vAlign w:val="bottom"/>
            <w:tcBorders>
              <w:bottom w:val="single" w:sz="8" w:color="F2F2F2"/>
            </w:tcBorders>
            <w:shd w:val="clear" w:color="auto" w:fill="F2F2F2"/>
          </w:tcPr>
          <w:p>
            <w:pPr>
              <w:spacing w:after="0"/>
              <w:rPr>
                <w:sz w:val="24"/>
                <w:szCs w:val="24"/>
                <w:color w:val="auto"/>
              </w:rPr>
            </w:pPr>
          </w:p>
        </w:tc>
        <w:tc>
          <w:tcPr>
            <w:tcW w:w="240" w:type="dxa"/>
            <w:vAlign w:val="bottom"/>
            <w:tcBorders>
              <w:bottom w:val="single" w:sz="8" w:color="F2F2F2"/>
            </w:tcBorders>
            <w:shd w:val="clear" w:color="auto" w:fill="F2F2F2"/>
          </w:tcPr>
          <w:p>
            <w:pPr>
              <w:spacing w:after="0"/>
              <w:rPr>
                <w:sz w:val="24"/>
                <w:szCs w:val="24"/>
                <w:color w:val="auto"/>
              </w:rPr>
            </w:pPr>
          </w:p>
        </w:tc>
        <w:tc>
          <w:tcPr>
            <w:tcW w:w="860" w:type="dxa"/>
            <w:vAlign w:val="bottom"/>
            <w:tcBorders>
              <w:bottom w:val="single" w:sz="8" w:color="F2F2F2"/>
            </w:tcBorders>
            <w:shd w:val="clear" w:color="auto" w:fill="F2F2F2"/>
          </w:tcPr>
          <w:p>
            <w:pPr>
              <w:spacing w:after="0"/>
              <w:rPr>
                <w:sz w:val="24"/>
                <w:szCs w:val="24"/>
                <w:color w:val="auto"/>
              </w:rPr>
            </w:pPr>
          </w:p>
        </w:tc>
        <w:tc>
          <w:tcPr>
            <w:tcW w:w="34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F2F2F2"/>
            </w:tcBorders>
            <w:shd w:val="clear" w:color="auto" w:fill="F2F2F2"/>
          </w:tcPr>
          <w:p>
            <w:pPr>
              <w:jc w:val="right"/>
              <w:ind w:right="149"/>
              <w:spacing w:after="0"/>
              <w:rPr>
                <w:sz w:val="20"/>
                <w:szCs w:val="20"/>
                <w:color w:val="auto"/>
              </w:rPr>
            </w:pPr>
            <w:r>
              <w:rPr>
                <w:rFonts w:ascii="Arial" w:cs="Arial" w:eastAsia="Arial" w:hAnsi="Arial"/>
                <w:sz w:val="14"/>
                <w:szCs w:val="14"/>
                <w:color w:val="auto"/>
              </w:rPr>
              <w:t>1,349</w:t>
            </w:r>
          </w:p>
        </w:tc>
        <w:tc>
          <w:tcPr>
            <w:tcW w:w="36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27"/>
        </w:trPr>
        <w:tc>
          <w:tcPr>
            <w:tcW w:w="55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Excluded items:</w:t>
            </w:r>
          </w:p>
        </w:tc>
        <w:tc>
          <w:tcPr>
            <w:tcW w:w="300" w:type="dxa"/>
            <w:vAlign w:val="bottom"/>
            <w:tcBorders>
              <w:top w:val="single" w:sz="8" w:color="7F7F7F"/>
            </w:tcBorders>
          </w:tcPr>
          <w:p>
            <w:pPr>
              <w:spacing w:after="0"/>
              <w:rPr>
                <w:sz w:val="19"/>
                <w:szCs w:val="19"/>
                <w:color w:val="auto"/>
              </w:rPr>
            </w:pPr>
          </w:p>
        </w:tc>
        <w:tc>
          <w:tcPr>
            <w:tcW w:w="620" w:type="dxa"/>
            <w:vAlign w:val="bottom"/>
            <w:tcBorders>
              <w:top w:val="single" w:sz="8" w:color="7F7F7F"/>
            </w:tcBorders>
          </w:tcPr>
          <w:p>
            <w:pPr>
              <w:spacing w:after="0"/>
              <w:rPr>
                <w:sz w:val="19"/>
                <w:szCs w:val="19"/>
                <w:color w:val="auto"/>
              </w:rPr>
            </w:pPr>
          </w:p>
        </w:tc>
        <w:tc>
          <w:tcPr>
            <w:tcW w:w="26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spacing w:after="0"/>
              <w:rPr>
                <w:sz w:val="19"/>
                <w:szCs w:val="19"/>
                <w:color w:val="auto"/>
              </w:rPr>
            </w:pPr>
          </w:p>
        </w:tc>
        <w:tc>
          <w:tcPr>
            <w:tcW w:w="24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spacing w:after="0"/>
              <w:rPr>
                <w:sz w:val="19"/>
                <w:szCs w:val="19"/>
                <w:color w:val="auto"/>
              </w:rPr>
            </w:pPr>
          </w:p>
        </w:tc>
        <w:tc>
          <w:tcPr>
            <w:tcW w:w="340" w:type="dxa"/>
            <w:vAlign w:val="bottom"/>
            <w:tcBorders>
              <w:top w:val="single" w:sz="8" w:color="7F7F7F"/>
            </w:tcBorders>
          </w:tcPr>
          <w:p>
            <w:pPr>
              <w:spacing w:after="0"/>
              <w:rPr>
                <w:sz w:val="19"/>
                <w:szCs w:val="19"/>
                <w:color w:val="auto"/>
              </w:rPr>
            </w:pPr>
          </w:p>
        </w:tc>
        <w:tc>
          <w:tcPr>
            <w:tcW w:w="680" w:type="dxa"/>
            <w:vAlign w:val="bottom"/>
            <w:tcBorders>
              <w:top w:val="single" w:sz="8" w:color="7F7F7F"/>
            </w:tcBorders>
          </w:tcPr>
          <w:p>
            <w:pPr>
              <w:spacing w:after="0"/>
              <w:rPr>
                <w:sz w:val="19"/>
                <w:szCs w:val="19"/>
                <w:color w:val="auto"/>
              </w:rPr>
            </w:pPr>
          </w:p>
        </w:tc>
        <w:tc>
          <w:tcPr>
            <w:tcW w:w="360" w:type="dxa"/>
            <w:vAlign w:val="bottom"/>
            <w:tcBorders>
              <w:top w:val="single" w:sz="8" w:color="7F7F7F"/>
            </w:tcBorders>
          </w:tcPr>
          <w:p>
            <w:pPr>
              <w:spacing w:after="0"/>
              <w:rPr>
                <w:sz w:val="19"/>
                <w:szCs w:val="19"/>
                <w:color w:val="auto"/>
              </w:rPr>
            </w:pPr>
          </w:p>
        </w:tc>
        <w:tc>
          <w:tcPr>
            <w:tcW w:w="820" w:type="dxa"/>
            <w:vAlign w:val="bottom"/>
            <w:tcBorders>
              <w:top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SONGS plant closure adjustment</w:t>
            </w:r>
          </w:p>
        </w:tc>
        <w:tc>
          <w:tcPr>
            <w:tcW w:w="300" w:type="dxa"/>
            <w:vAlign w:val="bottom"/>
            <w:tcBorders>
              <w:bottom w:val="single" w:sz="8" w:color="F2F2F2"/>
            </w:tcBorders>
            <w:shd w:val="clear" w:color="auto" w:fill="F2F2F2"/>
          </w:tcPr>
          <w:p>
            <w:pPr>
              <w:ind w:left="2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(26)</w:t>
            </w:r>
          </w:p>
        </w:tc>
        <w:tc>
          <w:tcPr>
            <w:tcW w:w="260" w:type="dxa"/>
            <w:vAlign w:val="bottom"/>
            <w:tcBorders>
              <w:bottom w:val="single" w:sz="8" w:color="F2F2F2"/>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F2F2F2"/>
            </w:tcBorders>
            <w:shd w:val="clear" w:color="auto" w:fill="F2F2F2"/>
          </w:tcPr>
          <w:p>
            <w:pPr>
              <w:ind w:left="18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F2F2F2"/>
            </w:tcBorders>
            <w:shd w:val="clear" w:color="auto" w:fill="F2F2F2"/>
          </w:tcPr>
          <w:p>
            <w:pPr>
              <w:spacing w:after="0"/>
              <w:rPr>
                <w:sz w:val="23"/>
                <w:szCs w:val="23"/>
                <w:color w:val="auto"/>
              </w:rPr>
            </w:pPr>
          </w:p>
        </w:tc>
        <w:tc>
          <w:tcPr>
            <w:tcW w:w="68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27"/>
        </w:trPr>
        <w:tc>
          <w:tcPr>
            <w:tcW w:w="558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Gain on sale of Mesquite Power block 2</w:t>
            </w:r>
          </w:p>
        </w:tc>
        <w:tc>
          <w:tcPr>
            <w:tcW w:w="300" w:type="dxa"/>
            <w:vAlign w:val="bottom"/>
            <w:tcBorders>
              <w:top w:val="single" w:sz="8" w:color="7F7F7F"/>
            </w:tcBorders>
          </w:tcPr>
          <w:p>
            <w:pPr>
              <w:spacing w:after="0"/>
              <w:rPr>
                <w:sz w:val="19"/>
                <w:szCs w:val="19"/>
                <w:color w:val="auto"/>
              </w:rPr>
            </w:pPr>
          </w:p>
        </w:tc>
        <w:tc>
          <w:tcPr>
            <w:tcW w:w="62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(61)</w:t>
            </w:r>
          </w:p>
        </w:tc>
        <w:tc>
          <w:tcPr>
            <w:tcW w:w="26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25</w:t>
            </w:r>
          </w:p>
        </w:tc>
        <w:tc>
          <w:tcPr>
            <w:tcW w:w="24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7F7F7F"/>
            </w:tcBorders>
          </w:tcPr>
          <w:p>
            <w:pPr>
              <w:spacing w:after="0"/>
              <w:rPr>
                <w:sz w:val="19"/>
                <w:szCs w:val="19"/>
                <w:color w:val="auto"/>
              </w:rPr>
            </w:pPr>
          </w:p>
        </w:tc>
        <w:tc>
          <w:tcPr>
            <w:tcW w:w="68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(36)</w:t>
            </w:r>
          </w:p>
        </w:tc>
        <w:tc>
          <w:tcPr>
            <w:tcW w:w="360" w:type="dxa"/>
            <w:vAlign w:val="bottom"/>
            <w:tcBorders>
              <w:top w:val="single" w:sz="8" w:color="7F7F7F"/>
            </w:tcBorders>
          </w:tcPr>
          <w:p>
            <w:pPr>
              <w:spacing w:after="0"/>
              <w:rPr>
                <w:sz w:val="19"/>
                <w:szCs w:val="19"/>
                <w:color w:val="auto"/>
              </w:rPr>
            </w:pPr>
          </w:p>
        </w:tc>
        <w:tc>
          <w:tcPr>
            <w:tcW w:w="82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7F7F7F"/>
            </w:tcBorders>
          </w:tcPr>
          <w:p>
            <w:pPr>
              <w:spacing w:after="0"/>
              <w:rPr>
                <w:sz w:val="4"/>
                <w:szCs w:val="4"/>
                <w:color w:val="auto"/>
              </w:rPr>
            </w:pPr>
          </w:p>
        </w:tc>
        <w:tc>
          <w:tcPr>
            <w:tcW w:w="680" w:type="dxa"/>
            <w:vAlign w:val="bottom"/>
            <w:tcBorders>
              <w:bottom w:val="single" w:sz="8" w:color="7F7F7F"/>
            </w:tcBorders>
          </w:tcPr>
          <w:p>
            <w:pPr>
              <w:spacing w:after="0"/>
              <w:rPr>
                <w:sz w:val="4"/>
                <w:szCs w:val="4"/>
                <w:color w:val="auto"/>
              </w:rPr>
            </w:pPr>
          </w:p>
        </w:tc>
        <w:tc>
          <w:tcPr>
            <w:tcW w:w="360" w:type="dxa"/>
            <w:vAlign w:val="bottom"/>
            <w:tcBorders>
              <w:bottom w:val="single" w:sz="8" w:color="7F7F7F"/>
            </w:tcBorders>
          </w:tcPr>
          <w:p>
            <w:pPr>
              <w:spacing w:after="0"/>
              <w:rPr>
                <w:sz w:val="4"/>
                <w:szCs w:val="4"/>
                <w:color w:val="auto"/>
              </w:rPr>
            </w:pPr>
          </w:p>
        </w:tc>
        <w:tc>
          <w:tcPr>
            <w:tcW w:w="820" w:type="dxa"/>
            <w:vAlign w:val="bottom"/>
            <w:tcBorders>
              <w:bottom w:val="single" w:sz="8" w:color="7F7F7F"/>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5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4"/>
                <w:szCs w:val="14"/>
                <w:color w:val="auto"/>
              </w:rPr>
              <w:t>Impact from foreign currency and inflation and associated undesignated derivatives</w:t>
            </w:r>
          </w:p>
        </w:tc>
        <w:tc>
          <w:tcPr>
            <w:tcW w:w="300" w:type="dxa"/>
            <w:vAlign w:val="bottom"/>
            <w:tcBorders>
              <w:bottom w:val="single" w:sz="8" w:color="F2F2F2"/>
            </w:tcBorders>
            <w:shd w:val="clear" w:color="auto" w:fill="F2F2F2"/>
          </w:tcPr>
          <w:p>
            <w:pPr>
              <w:spacing w:after="0"/>
              <w:rPr>
                <w:sz w:val="23"/>
                <w:szCs w:val="23"/>
                <w:color w:val="auto"/>
              </w:rPr>
            </w:pPr>
          </w:p>
        </w:tc>
        <w:tc>
          <w:tcPr>
            <w:tcW w:w="620" w:type="dxa"/>
            <w:vAlign w:val="bottom"/>
            <w:tcBorders>
              <w:bottom w:val="single" w:sz="8" w:color="F2F2F2"/>
            </w:tcBorders>
            <w:shd w:val="clear" w:color="auto" w:fill="F2F2F2"/>
          </w:tcPr>
          <w:p>
            <w:pPr>
              <w:jc w:val="right"/>
              <w:ind w:right="129"/>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(40)</w:t>
            </w:r>
          </w:p>
        </w:tc>
        <w:tc>
          <w:tcPr>
            <w:tcW w:w="240" w:type="dxa"/>
            <w:vAlign w:val="bottom"/>
            <w:tcBorders>
              <w:bottom w:val="single" w:sz="8" w:color="F2F2F2"/>
            </w:tcBorders>
            <w:shd w:val="clear" w:color="auto" w:fill="F2F2F2"/>
          </w:tcPr>
          <w:p>
            <w:pPr>
              <w:spacing w:after="0"/>
              <w:rPr>
                <w:sz w:val="23"/>
                <w:szCs w:val="23"/>
                <w:color w:val="auto"/>
              </w:rPr>
            </w:pPr>
          </w:p>
        </w:tc>
        <w:tc>
          <w:tcPr>
            <w:tcW w:w="860" w:type="dxa"/>
            <w:vAlign w:val="bottom"/>
            <w:tcBorders>
              <w:bottom w:val="single" w:sz="8" w:color="F2F2F2"/>
            </w:tcBorders>
            <w:shd w:val="clear" w:color="auto" w:fill="F2F2F2"/>
          </w:tcPr>
          <w:p>
            <w:pPr>
              <w:jc w:val="right"/>
              <w:ind w:right="109"/>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F2F2F2"/>
            </w:tcBorders>
            <w:shd w:val="clear" w:color="auto" w:fill="F2F2F2"/>
          </w:tcPr>
          <w:p>
            <w:pPr>
              <w:spacing w:after="0"/>
              <w:rPr>
                <w:sz w:val="23"/>
                <w:szCs w:val="23"/>
                <w:color w:val="auto"/>
              </w:rPr>
            </w:pPr>
          </w:p>
        </w:tc>
        <w:tc>
          <w:tcPr>
            <w:tcW w:w="68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(29)</w:t>
            </w:r>
          </w:p>
        </w:tc>
        <w:tc>
          <w:tcPr>
            <w:tcW w:w="360" w:type="dxa"/>
            <w:vAlign w:val="bottom"/>
            <w:tcBorders>
              <w:bottom w:val="single" w:sz="8" w:color="F2F2F2"/>
            </w:tcBorders>
            <w:shd w:val="clear" w:color="auto" w:fill="F2F2F2"/>
          </w:tcPr>
          <w:p>
            <w:pPr>
              <w:spacing w:after="0"/>
              <w:rPr>
                <w:sz w:val="23"/>
                <w:szCs w:val="23"/>
                <w:color w:val="auto"/>
              </w:rPr>
            </w:pPr>
          </w:p>
        </w:tc>
        <w:tc>
          <w:tcPr>
            <w:tcW w:w="820" w:type="dxa"/>
            <w:vAlign w:val="bottom"/>
            <w:tcBorders>
              <w:bottom w:val="single" w:sz="8" w:color="F2F2F2"/>
            </w:tcBorders>
            <w:shd w:val="clear" w:color="auto" w:fill="F2F2F2"/>
          </w:tcPr>
          <w:p>
            <w:pPr>
              <w:jc w:val="right"/>
              <w:ind w:right="89"/>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27"/>
        </w:trPr>
        <w:tc>
          <w:tcPr>
            <w:tcW w:w="558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Net unrealized gains on commodity derivatives</w:t>
            </w:r>
          </w:p>
        </w:tc>
        <w:tc>
          <w:tcPr>
            <w:tcW w:w="300" w:type="dxa"/>
            <w:vAlign w:val="bottom"/>
            <w:tcBorders>
              <w:top w:val="single" w:sz="8" w:color="7F7F7F"/>
            </w:tcBorders>
          </w:tcPr>
          <w:p>
            <w:pPr>
              <w:spacing w:after="0"/>
              <w:rPr>
                <w:sz w:val="19"/>
                <w:szCs w:val="19"/>
                <w:color w:val="auto"/>
              </w:rPr>
            </w:pPr>
          </w:p>
        </w:tc>
        <w:tc>
          <w:tcPr>
            <w:tcW w:w="62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(10)</w:t>
            </w:r>
          </w:p>
        </w:tc>
        <w:tc>
          <w:tcPr>
            <w:tcW w:w="26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129"/>
              <w:spacing w:after="0"/>
              <w:rPr>
                <w:sz w:val="20"/>
                <w:szCs w:val="20"/>
                <w:color w:val="auto"/>
              </w:rPr>
            </w:pPr>
            <w:r>
              <w:rPr>
                <w:rFonts w:ascii="Arial" w:cs="Arial" w:eastAsia="Arial" w:hAnsi="Arial"/>
                <w:sz w:val="14"/>
                <w:szCs w:val="14"/>
                <w:color w:val="auto"/>
              </w:rPr>
              <w:t>4</w:t>
            </w:r>
          </w:p>
        </w:tc>
        <w:tc>
          <w:tcPr>
            <w:tcW w:w="240" w:type="dxa"/>
            <w:vAlign w:val="bottom"/>
            <w:tcBorders>
              <w:top w:val="single" w:sz="8" w:color="7F7F7F"/>
            </w:tcBorders>
          </w:tcPr>
          <w:p>
            <w:pPr>
              <w:spacing w:after="0"/>
              <w:rPr>
                <w:sz w:val="19"/>
                <w:szCs w:val="19"/>
                <w:color w:val="auto"/>
              </w:rPr>
            </w:pPr>
          </w:p>
        </w:tc>
        <w:tc>
          <w:tcPr>
            <w:tcW w:w="860" w:type="dxa"/>
            <w:vAlign w:val="bottom"/>
            <w:tcBorders>
              <w:top w:val="single" w:sz="8" w:color="7F7F7F"/>
            </w:tcBorders>
          </w:tcPr>
          <w:p>
            <w:pPr>
              <w:jc w:val="right"/>
              <w:ind w:right="109"/>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7F7F7F"/>
            </w:tcBorders>
          </w:tcPr>
          <w:p>
            <w:pPr>
              <w:spacing w:after="0"/>
              <w:rPr>
                <w:sz w:val="19"/>
                <w:szCs w:val="19"/>
                <w:color w:val="auto"/>
              </w:rPr>
            </w:pPr>
          </w:p>
        </w:tc>
        <w:tc>
          <w:tcPr>
            <w:tcW w:w="68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(6)</w:t>
            </w:r>
          </w:p>
        </w:tc>
        <w:tc>
          <w:tcPr>
            <w:tcW w:w="360" w:type="dxa"/>
            <w:vAlign w:val="bottom"/>
            <w:tcBorders>
              <w:top w:val="single" w:sz="8" w:color="7F7F7F"/>
            </w:tcBorders>
          </w:tcPr>
          <w:p>
            <w:pPr>
              <w:spacing w:after="0"/>
              <w:rPr>
                <w:sz w:val="19"/>
                <w:szCs w:val="19"/>
                <w:color w:val="auto"/>
              </w:rPr>
            </w:pPr>
          </w:p>
        </w:tc>
        <w:tc>
          <w:tcPr>
            <w:tcW w:w="820" w:type="dxa"/>
            <w:vAlign w:val="bottom"/>
            <w:tcBorders>
              <w:top w:val="single" w:sz="8" w:color="7F7F7F"/>
            </w:tcBorders>
          </w:tcPr>
          <w:p>
            <w:pPr>
              <w:jc w:val="right"/>
              <w:ind w:right="89"/>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48"/>
        </w:trPr>
        <w:tc>
          <w:tcPr>
            <w:tcW w:w="5580" w:type="dxa"/>
            <w:vAlign w:val="bottom"/>
            <w:tcBorders>
              <w:bottom w:val="single" w:sz="8" w:color="7F7F7F"/>
            </w:tcBorders>
          </w:tcPr>
          <w:p>
            <w:pPr>
              <w:spacing w:after="0"/>
              <w:rPr>
                <w:sz w:val="4"/>
                <w:szCs w:val="4"/>
                <w:color w:val="auto"/>
              </w:rPr>
            </w:pPr>
          </w:p>
        </w:tc>
        <w:tc>
          <w:tcPr>
            <w:tcW w:w="300" w:type="dxa"/>
            <w:vAlign w:val="bottom"/>
            <w:tcBorders>
              <w:bottom w:val="single" w:sz="8" w:color="7F7F7F"/>
            </w:tcBorders>
          </w:tcPr>
          <w:p>
            <w:pPr>
              <w:spacing w:after="0"/>
              <w:rPr>
                <w:sz w:val="4"/>
                <w:szCs w:val="4"/>
                <w:color w:val="auto"/>
              </w:rPr>
            </w:pPr>
          </w:p>
        </w:tc>
        <w:tc>
          <w:tcPr>
            <w:tcW w:w="620" w:type="dxa"/>
            <w:vAlign w:val="bottom"/>
            <w:tcBorders>
              <w:bottom w:val="single" w:sz="8" w:color="7F7F7F"/>
            </w:tcBorders>
          </w:tcPr>
          <w:p>
            <w:pPr>
              <w:spacing w:after="0"/>
              <w:rPr>
                <w:sz w:val="4"/>
                <w:szCs w:val="4"/>
                <w:color w:val="auto"/>
              </w:rPr>
            </w:pPr>
          </w:p>
        </w:tc>
        <w:tc>
          <w:tcPr>
            <w:tcW w:w="26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240" w:type="dxa"/>
            <w:vAlign w:val="bottom"/>
            <w:tcBorders>
              <w:bottom w:val="single" w:sz="8" w:color="7F7F7F"/>
            </w:tcBorders>
          </w:tcPr>
          <w:p>
            <w:pPr>
              <w:spacing w:after="0"/>
              <w:rPr>
                <w:sz w:val="4"/>
                <w:szCs w:val="4"/>
                <w:color w:val="auto"/>
              </w:rPr>
            </w:pPr>
          </w:p>
        </w:tc>
        <w:tc>
          <w:tcPr>
            <w:tcW w:w="860" w:type="dxa"/>
            <w:vAlign w:val="bottom"/>
            <w:tcBorders>
              <w:bottom w:val="single" w:sz="8" w:color="7F7F7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5580" w:type="dxa"/>
            <w:vAlign w:val="bottom"/>
            <w:tcBorders>
              <w:bottom w:val="single" w:sz="8" w:color="7F7F7F"/>
            </w:tcBorders>
            <w:shd w:val="clear" w:color="auto" w:fill="F2F2F2"/>
          </w:tcPr>
          <w:p>
            <w:pPr>
              <w:ind w:left="80"/>
              <w:spacing w:after="0"/>
              <w:rPr>
                <w:sz w:val="20"/>
                <w:szCs w:val="20"/>
                <w:color w:val="auto"/>
              </w:rPr>
            </w:pPr>
            <w:r>
              <w:rPr>
                <w:rFonts w:ascii="Arial" w:cs="Arial" w:eastAsia="Arial" w:hAnsi="Arial"/>
                <w:sz w:val="14"/>
                <w:szCs w:val="14"/>
                <w:b w:val="1"/>
                <w:bCs w:val="1"/>
                <w:color w:val="auto"/>
              </w:rPr>
              <w:t>Sempra Adjusted Earnings and Adjusted EPS</w:t>
            </w:r>
            <w:r>
              <w:rPr>
                <w:rFonts w:ascii="Arial" w:cs="Arial" w:eastAsia="Arial" w:hAnsi="Arial"/>
                <w:sz w:val="21"/>
                <w:szCs w:val="21"/>
                <w:b w:val="1"/>
                <w:bCs w:val="1"/>
                <w:color w:val="auto"/>
                <w:vertAlign w:val="superscript"/>
              </w:rPr>
              <w:t>(2)</w:t>
            </w:r>
          </w:p>
        </w:tc>
        <w:tc>
          <w:tcPr>
            <w:tcW w:w="300" w:type="dxa"/>
            <w:vAlign w:val="bottom"/>
            <w:tcBorders>
              <w:bottom w:val="single" w:sz="8" w:color="7F7F7F"/>
            </w:tcBorders>
            <w:shd w:val="clear" w:color="auto" w:fill="F2F2F2"/>
          </w:tcPr>
          <w:p>
            <w:pPr>
              <w:spacing w:after="0"/>
              <w:rPr>
                <w:sz w:val="23"/>
                <w:szCs w:val="23"/>
                <w:color w:val="auto"/>
              </w:rPr>
            </w:pPr>
          </w:p>
        </w:tc>
        <w:tc>
          <w:tcPr>
            <w:tcW w:w="620" w:type="dxa"/>
            <w:vAlign w:val="bottom"/>
            <w:tcBorders>
              <w:bottom w:val="single" w:sz="8" w:color="7F7F7F"/>
            </w:tcBorders>
            <w:shd w:val="clear" w:color="auto" w:fill="F2F2F2"/>
          </w:tcPr>
          <w:p>
            <w:pPr>
              <w:spacing w:after="0"/>
              <w:rPr>
                <w:sz w:val="23"/>
                <w:szCs w:val="23"/>
                <w:color w:val="auto"/>
              </w:rPr>
            </w:pPr>
          </w:p>
        </w:tc>
        <w:tc>
          <w:tcPr>
            <w:tcW w:w="260" w:type="dxa"/>
            <w:vAlign w:val="bottom"/>
            <w:tcBorders>
              <w:bottom w:val="single" w:sz="8" w:color="7F7F7F"/>
            </w:tcBorders>
            <w:shd w:val="clear" w:color="auto" w:fill="F2F2F2"/>
          </w:tcPr>
          <w:p>
            <w:pPr>
              <w:spacing w:after="0"/>
              <w:rPr>
                <w:sz w:val="23"/>
                <w:szCs w:val="23"/>
                <w:color w:val="auto"/>
              </w:rPr>
            </w:pPr>
          </w:p>
        </w:tc>
        <w:tc>
          <w:tcPr>
            <w:tcW w:w="860" w:type="dxa"/>
            <w:vAlign w:val="bottom"/>
            <w:tcBorders>
              <w:bottom w:val="single" w:sz="8" w:color="7F7F7F"/>
            </w:tcBorders>
            <w:shd w:val="clear" w:color="auto" w:fill="F2F2F2"/>
          </w:tcPr>
          <w:p>
            <w:pPr>
              <w:spacing w:after="0"/>
              <w:rPr>
                <w:sz w:val="23"/>
                <w:szCs w:val="23"/>
                <w:color w:val="auto"/>
              </w:rPr>
            </w:pPr>
          </w:p>
        </w:tc>
        <w:tc>
          <w:tcPr>
            <w:tcW w:w="240" w:type="dxa"/>
            <w:vAlign w:val="bottom"/>
            <w:tcBorders>
              <w:bottom w:val="single" w:sz="8" w:color="7F7F7F"/>
            </w:tcBorders>
            <w:shd w:val="clear" w:color="auto" w:fill="F2F2F2"/>
          </w:tcPr>
          <w:p>
            <w:pPr>
              <w:spacing w:after="0"/>
              <w:rPr>
                <w:sz w:val="23"/>
                <w:szCs w:val="23"/>
                <w:color w:val="auto"/>
              </w:rPr>
            </w:pPr>
          </w:p>
        </w:tc>
        <w:tc>
          <w:tcPr>
            <w:tcW w:w="860" w:type="dxa"/>
            <w:vAlign w:val="bottom"/>
            <w:tcBorders>
              <w:bottom w:val="single" w:sz="8" w:color="7F7F7F"/>
            </w:tcBorders>
            <w:shd w:val="clear" w:color="auto" w:fill="F2F2F2"/>
          </w:tcPr>
          <w:p>
            <w:pPr>
              <w:spacing w:after="0"/>
              <w:rPr>
                <w:sz w:val="23"/>
                <w:szCs w:val="23"/>
                <w:color w:val="auto"/>
              </w:rPr>
            </w:pPr>
          </w:p>
        </w:tc>
        <w:tc>
          <w:tcPr>
            <w:tcW w:w="340" w:type="dxa"/>
            <w:vAlign w:val="bottom"/>
            <w:tcBorders>
              <w:bottom w:val="single" w:sz="8" w:color="auto"/>
            </w:tcBorders>
            <w:shd w:val="clear" w:color="auto" w:fill="F2F2F2"/>
          </w:tcPr>
          <w:p>
            <w:pPr>
              <w:ind w:left="2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F2F2F2"/>
          </w:tcPr>
          <w:p>
            <w:pPr>
              <w:jc w:val="right"/>
              <w:ind w:right="149"/>
              <w:spacing w:after="0"/>
              <w:rPr>
                <w:sz w:val="20"/>
                <w:szCs w:val="20"/>
                <w:color w:val="auto"/>
              </w:rPr>
            </w:pPr>
            <w:r>
              <w:rPr>
                <w:rFonts w:ascii="Arial" w:cs="Arial" w:eastAsia="Arial" w:hAnsi="Arial"/>
                <w:sz w:val="14"/>
                <w:szCs w:val="14"/>
                <w:color w:val="auto"/>
              </w:rPr>
              <w:t>1,263</w:t>
            </w:r>
          </w:p>
        </w:tc>
        <w:tc>
          <w:tcPr>
            <w:tcW w:w="360" w:type="dxa"/>
            <w:vAlign w:val="bottom"/>
            <w:tcBorders>
              <w:bottom w:val="single" w:sz="8" w:color="auto"/>
            </w:tcBorders>
            <w:shd w:val="clear" w:color="auto" w:fill="F2F2F2"/>
          </w:tcPr>
          <w:p>
            <w:pPr>
              <w:ind w:left="16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2F2F2"/>
          </w:tcPr>
          <w:p>
            <w:pPr>
              <w:jc w:val="right"/>
              <w:ind w:right="129"/>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80" w:type="dxa"/>
            <w:vAlign w:val="bottom"/>
          </w:tcPr>
          <w:p>
            <w:pPr>
              <w:ind w:left="80"/>
              <w:spacing w:after="0"/>
              <w:rPr>
                <w:sz w:val="20"/>
                <w:szCs w:val="20"/>
                <w:color w:val="auto"/>
              </w:rPr>
            </w:pPr>
            <w:r>
              <w:rPr>
                <w:rFonts w:ascii="Arial" w:cs="Arial" w:eastAsia="Arial" w:hAnsi="Arial"/>
                <w:sz w:val="14"/>
                <w:szCs w:val="14"/>
                <w:color w:val="auto"/>
              </w:rPr>
              <w:t>Weighted-average common shares outstanding, diluted</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501,845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30480</wp:posOffset>
            </wp:positionV>
            <wp:extent cx="69297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-6542405</wp:posOffset>
            </wp:positionV>
            <wp:extent cx="31419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141980" cy="8255"/>
                    </a:xfrm>
                    <a:prstGeom prst="rect">
                      <a:avLst/>
                    </a:prstGeom>
                    <a:noFill/>
                  </pic:spPr>
                </pic:pic>
              </a:graphicData>
            </a:graphic>
          </wp:anchor>
        </w:drawing>
      </w:r>
    </w:p>
    <w:p>
      <w:pPr>
        <w:spacing w:after="0" w:line="103" w:lineRule="exact"/>
        <w:rPr>
          <w:sz w:val="20"/>
          <w:szCs w:val="20"/>
          <w:color w:val="auto"/>
        </w:rPr>
      </w:pPr>
    </w:p>
    <w:p>
      <w:pPr>
        <w:jc w:val="both"/>
        <w:ind w:left="480" w:right="320" w:hanging="313"/>
        <w:spacing w:after="0" w:line="255" w:lineRule="auto"/>
        <w:tabs>
          <w:tab w:leader="none" w:pos="48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Except for adjustments that are solely income tax and tax related to outside basis differences, income taxes on pretax amounts were primarily calculated based on applicable statutory tax rates. We did not record an income tax benefit in 2020 for the equity losses from our investment in RBS Sempra Commodities LLP because, even though a portion of the liabilities may be deductible under United Kingdom tax law, it is not probable that the deduction will reduce United Kingdom taxes.</w:t>
      </w:r>
    </w:p>
    <w:p>
      <w:pPr>
        <w:spacing w:after="0" w:line="1" w:lineRule="exact"/>
        <w:rPr>
          <w:rFonts w:ascii="Arial" w:cs="Arial" w:eastAsia="Arial" w:hAnsi="Arial"/>
          <w:sz w:val="12"/>
          <w:szCs w:val="12"/>
          <w:color w:val="auto"/>
        </w:rPr>
      </w:pPr>
    </w:p>
    <w:p>
      <w:pPr>
        <w:ind w:left="480" w:right="60" w:hanging="313"/>
        <w:spacing w:after="0" w:line="267" w:lineRule="auto"/>
        <w:tabs>
          <w:tab w:leader="none" w:pos="48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Adjusted Earnings and Adjusted EPS have been updated to reflect the impact from foreign currency and inflation on our monetary positions in Mexico and associated undesignated derivatives and net unrealized (gains) losses on commodity derivatives.</w:t>
      </w:r>
    </w:p>
    <w:p>
      <w:pPr>
        <w:ind w:left="480" w:right="80" w:hanging="313"/>
        <w:spacing w:after="0" w:line="279" w:lineRule="auto"/>
        <w:tabs>
          <w:tab w:leader="none" w:pos="48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In the year ended December 31, 2020, because the assumed conversion of the company’s former 6% Mandatory Convertible Preferred Stock, Series A (series A preferred stock) is dilutive for Adjusted Earnings, 26,835 series A preferred stock shares are added back to the denominator used to calculate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79375</wp:posOffset>
            </wp:positionV>
            <wp:extent cx="69297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207010</wp:posOffset>
            </wp:positionV>
            <wp:extent cx="739140" cy="144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28" w:lineRule="exact"/>
        <w:rPr>
          <w:sz w:val="20"/>
          <w:szCs w:val="20"/>
          <w:color w:val="auto"/>
        </w:rPr>
      </w:pPr>
    </w:p>
    <w:p>
      <w:pPr>
        <w:ind w:left="8880"/>
        <w:spacing w:after="0"/>
        <w:rPr>
          <w:sz w:val="20"/>
          <w:szCs w:val="20"/>
          <w:color w:val="auto"/>
        </w:rPr>
      </w:pPr>
      <w:r>
        <w:rPr>
          <w:rFonts w:ascii="Arial" w:cs="Arial" w:eastAsia="Arial" w:hAnsi="Arial"/>
          <w:sz w:val="12"/>
          <w:szCs w:val="12"/>
          <w:color w:val="auto"/>
        </w:rPr>
        <w:t>      2026 Proxy Statement            103</w:t>
      </w:r>
    </w:p>
    <w:p>
      <w:pPr>
        <w:sectPr>
          <w:pgSz w:w="11900" w:h="16838" w:orient="portrait"/>
          <w:cols w:equalWidth="0" w:num="1">
            <w:col w:w="11080"/>
          </w:cols>
          <w:pgMar w:left="320" w:top="478"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Appendix B</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PERFORMANCE-BASED ANNUAL BONUS PLAN—ADDITIONAL INFORMATION</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Predefined Earnings Adjustments</w:t>
      </w:r>
    </w:p>
    <w:p>
      <w:pPr>
        <w:spacing w:after="0" w:line="106" w:lineRule="exact"/>
        <w:rPr>
          <w:sz w:val="20"/>
          <w:szCs w:val="20"/>
          <w:color w:val="auto"/>
        </w:rPr>
      </w:pPr>
    </w:p>
    <w:p>
      <w:pPr>
        <w:ind w:left="160" w:right="500"/>
        <w:spacing w:after="0" w:line="281" w:lineRule="auto"/>
        <w:rPr>
          <w:sz w:val="20"/>
          <w:szCs w:val="20"/>
          <w:color w:val="auto"/>
        </w:rPr>
      </w:pPr>
      <w:r>
        <w:rPr>
          <w:rFonts w:ascii="Arial" w:cs="Arial" w:eastAsia="Arial" w:hAnsi="Arial"/>
          <w:sz w:val="14"/>
          <w:szCs w:val="14"/>
          <w:color w:val="auto"/>
        </w:rPr>
        <w:t>Consistent with the approach taken in prior years, the Compensation and Talent Development Committee determined at the beginning of 2025 that the 2025 earnings calculation for annual bonus plan purposes, or ABP Earnings, would be adjusted as follows:</w:t>
      </w:r>
    </w:p>
    <w:p>
      <w:pPr>
        <w:spacing w:after="0" w:line="64" w:lineRule="exact"/>
        <w:rPr>
          <w:sz w:val="20"/>
          <w:szCs w:val="20"/>
          <w:color w:val="auto"/>
        </w:rPr>
      </w:pPr>
    </w:p>
    <w:p>
      <w:pPr>
        <w:ind w:left="800" w:right="600" w:hanging="312"/>
        <w:spacing w:after="0" w:line="280" w:lineRule="auto"/>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the impact of any unplanned changes in tax laws or regulations, accounting rule changes, and changes in governmental policies and regulations, including, but not limited to, the impact of tariffs.</w:t>
      </w:r>
    </w:p>
    <w:p>
      <w:pPr>
        <w:spacing w:after="0" w:line="64" w:lineRule="exact"/>
        <w:rPr>
          <w:rFonts w:ascii="Times New Roman" w:cs="Times New Roman" w:eastAsia="Times New Roman" w:hAnsi="Times New Roman"/>
          <w:sz w:val="14"/>
          <w:szCs w:val="14"/>
          <w:color w:val="005CB9"/>
        </w:rPr>
      </w:pPr>
    </w:p>
    <w:p>
      <w:pPr>
        <w:ind w:left="800" w:right="100" w:hanging="312"/>
        <w:spacing w:after="0" w:line="259" w:lineRule="auto"/>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certain nonrecurring items at the discretion of the Compensation and Talent Development Committee, provided that such items do not have a material adverse impact on the company’s stock price, also as determined by the Compensation and Talent Development Committee. Such items would include but not be limited to:</w:t>
      </w:r>
    </w:p>
    <w:p>
      <w:pPr>
        <w:spacing w:after="0" w:line="79" w:lineRule="exact"/>
        <w:rPr>
          <w:rFonts w:ascii="Times New Roman" w:cs="Times New Roman" w:eastAsia="Times New Roman" w:hAnsi="Times New Roman"/>
          <w:sz w:val="14"/>
          <w:szCs w:val="14"/>
          <w:color w:val="005CB9"/>
        </w:rPr>
      </w:pPr>
    </w:p>
    <w:p>
      <w:pPr>
        <w:ind w:left="1020" w:right="340" w:hanging="318"/>
        <w:spacing w:after="0" w:line="280" w:lineRule="auto"/>
        <w:tabs>
          <w:tab w:leader="none" w:pos="1020" w:val="left"/>
        </w:tabs>
        <w:numPr>
          <w:ilvl w:val="1"/>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the pro forma earnings impact of any acquisition or divestiture to the extent the earnings impact of such acquisition or divestiture or related transaction and integration cost is not included in the ABP Earnings target.</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the variance from plan of foreign currency exchange gains or losses, net of inflation, including any associated cost of hedging.</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unrealized mark-to-market gains or losses.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gains or losses related to legacy litigation matters.</w:t>
      </w:r>
    </w:p>
    <w:p>
      <w:pPr>
        <w:spacing w:after="0" w:line="119" w:lineRule="exact"/>
        <w:rPr>
          <w:rFonts w:ascii="Times New Roman" w:cs="Times New Roman" w:eastAsia="Times New Roman" w:hAnsi="Times New Roman"/>
          <w:sz w:val="14"/>
          <w:szCs w:val="14"/>
          <w:color w:val="005CB9"/>
        </w:rPr>
      </w:pPr>
    </w:p>
    <w:p>
      <w:pPr>
        <w:ind w:left="800" w:right="140" w:hanging="312"/>
        <w:spacing w:after="0" w:line="259" w:lineRule="auto"/>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Include 10% of any gains or losses related to asset sales and impairments in connection with a sale to the extent the earnings impact of such item is not included in the ABP Earnings target. This is because the Compensation and Talent Development Committee believes that the impact of asset sales should be measured primarily through stock price. Most of the impact would then be reflected in the long-term incentive plan.</w:t>
      </w:r>
    </w:p>
    <w:p>
      <w:pPr>
        <w:spacing w:after="0" w:line="7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items that are required to be excluded from annual bonus plan compensation under the SDG&amp;E and/or SoCalGas General Rate Case final decisions.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any earnings impact associated with the decommissioning of the San Onofre Nuclear Generating Station (SONGS).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the variance from plan of the liability insurance expense not recoverable through balancing accounts.</w:t>
      </w:r>
    </w:p>
    <w:p>
      <w:pPr>
        <w:spacing w:after="0" w:line="119"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variance from plan of any accelerated amortization or other impacts of the California Assembly Bill 1054 wildfire fund.</w:t>
      </w:r>
    </w:p>
    <w:p>
      <w:pPr>
        <w:spacing w:after="0" w:line="119" w:lineRule="exact"/>
        <w:rPr>
          <w:rFonts w:ascii="Times New Roman" w:cs="Times New Roman" w:eastAsia="Times New Roman" w:hAnsi="Times New Roman"/>
          <w:sz w:val="14"/>
          <w:szCs w:val="14"/>
          <w:color w:val="005CB9"/>
        </w:rPr>
      </w:pPr>
    </w:p>
    <w:p>
      <w:pPr>
        <w:ind w:left="800" w:right="280" w:hanging="312"/>
        <w:spacing w:after="0" w:line="280" w:lineRule="auto"/>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variance to plan of the impact of pending regulatory matters related to the California and U.S. Federal Energy Regulatory Commission (FERC) Cost of Capital proceedings.</w:t>
      </w:r>
    </w:p>
    <w:p>
      <w:pPr>
        <w:spacing w:after="0" w:line="64" w:lineRule="exact"/>
        <w:rPr>
          <w:rFonts w:ascii="Times New Roman" w:cs="Times New Roman" w:eastAsia="Times New Roman" w:hAnsi="Times New Roman"/>
          <w:sz w:val="14"/>
          <w:szCs w:val="14"/>
          <w:color w:val="005CB9"/>
        </w:rPr>
      </w:pPr>
    </w:p>
    <w:p>
      <w:pPr>
        <w:ind w:left="800" w:hanging="312"/>
        <w:spacing w:after="0"/>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Exclude one-time pension settlement charges and LTIP tax windfall or shortfall to the extent such items are not included in the ABP Earnings target.</w:t>
      </w:r>
    </w:p>
    <w:p>
      <w:pPr>
        <w:spacing w:after="0" w:line="119" w:lineRule="exact"/>
        <w:rPr>
          <w:rFonts w:ascii="Times New Roman" w:cs="Times New Roman" w:eastAsia="Times New Roman" w:hAnsi="Times New Roman"/>
          <w:sz w:val="14"/>
          <w:szCs w:val="14"/>
          <w:color w:val="005CB9"/>
        </w:rPr>
      </w:pPr>
    </w:p>
    <w:p>
      <w:pPr>
        <w:ind w:left="800" w:right="420" w:hanging="312"/>
        <w:spacing w:after="0" w:line="280" w:lineRule="auto"/>
        <w:tabs>
          <w:tab w:leader="none" w:pos="800" w:val="left"/>
        </w:tabs>
        <w:numPr>
          <w:ilvl w:val="0"/>
          <w:numId w:val="177"/>
        </w:numPr>
        <w:rPr>
          <w:rFonts w:ascii="Times New Roman" w:cs="Times New Roman" w:eastAsia="Times New Roman" w:hAnsi="Times New Roman"/>
          <w:sz w:val="14"/>
          <w:szCs w:val="14"/>
          <w:color w:val="005CB9"/>
        </w:rPr>
      </w:pPr>
      <w:r>
        <w:rPr>
          <w:rFonts w:ascii="Arial" w:cs="Arial" w:eastAsia="Arial" w:hAnsi="Arial"/>
          <w:sz w:val="14"/>
          <w:szCs w:val="14"/>
          <w:color w:val="auto"/>
        </w:rPr>
        <w:t>Limit impact of rabbi trust results (net of deferred compensation) to +/-5% (percentage points) of the ABP Earnings result as calculated without such gains or losses.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Safety Measures and RBP Measures</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74"/>
        </w:trPr>
        <w:tc>
          <w:tcPr>
            <w:tcW w:w="234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2025 Safety Measures</w:t>
            </w:r>
          </w:p>
        </w:tc>
        <w:tc>
          <w:tcPr>
            <w:tcW w:w="2500" w:type="dxa"/>
            <w:vAlign w:val="bottom"/>
            <w:tcBorders>
              <w:bottom w:val="single" w:sz="8" w:color="005CB9"/>
              <w:right w:val="single" w:sz="8" w:color="005CB9"/>
            </w:tcBorders>
            <w:shd w:val="clear" w:color="auto" w:fill="005CB9"/>
          </w:tcPr>
          <w:p>
            <w:pPr>
              <w:spacing w:after="0"/>
              <w:rPr>
                <w:sz w:val="23"/>
                <w:szCs w:val="23"/>
                <w:color w:val="auto"/>
              </w:rPr>
            </w:pPr>
          </w:p>
        </w:tc>
        <w:tc>
          <w:tcPr>
            <w:tcW w:w="6080" w:type="dxa"/>
            <w:vAlign w:val="bottom"/>
            <w:tcBorders>
              <w:bottom w:val="single" w:sz="8" w:color="005CB9"/>
            </w:tcBorders>
            <w:shd w:val="clear" w:color="auto" w:fill="005CB9"/>
          </w:tcPr>
          <w:p>
            <w:pPr>
              <w:ind w:left="2700"/>
              <w:spacing w:after="0"/>
              <w:rPr>
                <w:sz w:val="20"/>
                <w:szCs w:val="20"/>
                <w:color w:val="auto"/>
              </w:rPr>
            </w:pPr>
            <w:r>
              <w:rPr>
                <w:rFonts w:ascii="Arial" w:cs="Arial" w:eastAsia="Arial" w:hAnsi="Arial"/>
                <w:sz w:val="14"/>
                <w:szCs w:val="14"/>
                <w:b w:val="1"/>
                <w:bCs w:val="1"/>
                <w:color w:val="FFFFFF"/>
              </w:rPr>
              <w:t>Description</w:t>
            </w:r>
          </w:p>
        </w:tc>
      </w:tr>
      <w:tr>
        <w:trPr>
          <w:trHeight w:val="253"/>
        </w:trPr>
        <w:tc>
          <w:tcPr>
            <w:tcW w:w="2340" w:type="dxa"/>
            <w:vAlign w:val="bottom"/>
          </w:tcPr>
          <w:p>
            <w:pPr>
              <w:spacing w:after="0"/>
              <w:rPr>
                <w:sz w:val="20"/>
                <w:szCs w:val="20"/>
                <w:color w:val="auto"/>
              </w:rPr>
            </w:pPr>
            <w:r>
              <w:rPr>
                <w:rFonts w:ascii="Arial" w:cs="Arial" w:eastAsia="Arial" w:hAnsi="Arial"/>
                <w:sz w:val="14"/>
                <w:szCs w:val="14"/>
                <w:b w:val="1"/>
                <w:bCs w:val="1"/>
                <w:color w:val="005CB9"/>
              </w:rPr>
              <w:t>  Public Safety:</w:t>
            </w:r>
          </w:p>
        </w:tc>
        <w:tc>
          <w:tcPr>
            <w:tcW w:w="2500" w:type="dxa"/>
            <w:vAlign w:val="bottom"/>
            <w:tcBorders>
              <w:right w:val="single" w:sz="8" w:color="7F7F7F"/>
            </w:tcBorders>
          </w:tcPr>
          <w:p>
            <w:pPr>
              <w:spacing w:after="0"/>
              <w:rPr>
                <w:sz w:val="21"/>
                <w:szCs w:val="21"/>
                <w:color w:val="auto"/>
              </w:rPr>
            </w:pPr>
          </w:p>
        </w:tc>
        <w:tc>
          <w:tcPr>
            <w:tcW w:w="6080" w:type="dxa"/>
            <w:vAlign w:val="bottom"/>
          </w:tcPr>
          <w:p>
            <w:pPr>
              <w:spacing w:after="0"/>
              <w:rPr>
                <w:sz w:val="21"/>
                <w:szCs w:val="21"/>
                <w:color w:val="auto"/>
              </w:rPr>
            </w:pPr>
          </w:p>
        </w:tc>
      </w:tr>
      <w:tr>
        <w:trPr>
          <w:trHeight w:val="42"/>
        </w:trPr>
        <w:tc>
          <w:tcPr>
            <w:tcW w:w="4840" w:type="dxa"/>
            <w:vAlign w:val="bottom"/>
            <w:tcBorders>
              <w:bottom w:val="single" w:sz="8" w:color="7F7F7F"/>
              <w:right w:val="single" w:sz="8" w:color="7F7F7F"/>
            </w:tcBorders>
            <w:gridSpan w:val="2"/>
          </w:tcPr>
          <w:p>
            <w:pPr>
              <w:spacing w:after="0"/>
              <w:rPr>
                <w:sz w:val="3"/>
                <w:szCs w:val="3"/>
                <w:color w:val="auto"/>
              </w:rPr>
            </w:pPr>
          </w:p>
        </w:tc>
        <w:tc>
          <w:tcPr>
            <w:tcW w:w="6080" w:type="dxa"/>
            <w:vAlign w:val="bottom"/>
            <w:tcBorders>
              <w:bottom w:val="single" w:sz="8" w:color="7F7F7F"/>
            </w:tcBorders>
          </w:tcPr>
          <w:p>
            <w:pPr>
              <w:spacing w:after="0"/>
              <w:rPr>
                <w:sz w:val="3"/>
                <w:szCs w:val="3"/>
                <w:color w:val="auto"/>
              </w:rPr>
            </w:pPr>
          </w:p>
        </w:tc>
      </w:tr>
      <w:tr>
        <w:trPr>
          <w:trHeight w:val="198"/>
        </w:trPr>
        <w:tc>
          <w:tcPr>
            <w:tcW w:w="4840" w:type="dxa"/>
            <w:vAlign w:val="bottom"/>
            <w:tcBorders>
              <w:right w:val="single" w:sz="8" w:color="7F7F7F"/>
            </w:tcBorders>
            <w:gridSpan w:val="2"/>
            <w:shd w:val="clear" w:color="auto" w:fill="F2F2F2"/>
          </w:tcPr>
          <w:p>
            <w:pPr>
              <w:ind w:left="220"/>
              <w:spacing w:after="0"/>
              <w:rPr>
                <w:sz w:val="20"/>
                <w:szCs w:val="20"/>
                <w:color w:val="auto"/>
              </w:rPr>
            </w:pPr>
            <w:r>
              <w:rPr>
                <w:rFonts w:ascii="Arial" w:cs="Arial" w:eastAsia="Arial" w:hAnsi="Arial"/>
                <w:sz w:val="14"/>
                <w:szCs w:val="14"/>
                <w:color w:val="auto"/>
              </w:rPr>
              <w:t>SDG&amp;E – Wildfire and PSPS System Hardening</w:t>
            </w:r>
          </w:p>
        </w:tc>
        <w:tc>
          <w:tcPr>
            <w:tcW w:w="6080" w:type="dxa"/>
            <w:vAlign w:val="bottom"/>
            <w:shd w:val="clear" w:color="auto" w:fill="F2F2F2"/>
          </w:tcPr>
          <w:p>
            <w:pPr>
              <w:ind w:left="80"/>
              <w:spacing w:after="0"/>
              <w:rPr>
                <w:sz w:val="20"/>
                <w:szCs w:val="20"/>
                <w:color w:val="auto"/>
              </w:rPr>
            </w:pPr>
            <w:r>
              <w:rPr>
                <w:rFonts w:ascii="Arial" w:cs="Arial" w:eastAsia="Arial" w:hAnsi="Arial"/>
                <w:sz w:val="14"/>
                <w:szCs w:val="14"/>
                <w:color w:val="auto"/>
              </w:rPr>
              <w:t>Relates to programs that aim to mitigate the risk of wildfire and reduce the impact of PSPS</w:t>
            </w:r>
          </w:p>
        </w:tc>
      </w:tr>
      <w:tr>
        <w:trPr>
          <w:trHeight w:val="160"/>
        </w:trPr>
        <w:tc>
          <w:tcPr>
            <w:tcW w:w="2340" w:type="dxa"/>
            <w:vAlign w:val="bottom"/>
            <w:shd w:val="clear" w:color="auto" w:fill="F2F2F2"/>
          </w:tcPr>
          <w:p>
            <w:pPr>
              <w:spacing w:after="0"/>
              <w:rPr>
                <w:sz w:val="13"/>
                <w:szCs w:val="13"/>
                <w:color w:val="auto"/>
              </w:rPr>
            </w:pPr>
          </w:p>
        </w:tc>
        <w:tc>
          <w:tcPr>
            <w:tcW w:w="2500" w:type="dxa"/>
            <w:vAlign w:val="bottom"/>
            <w:tcBorders>
              <w:right w:val="single" w:sz="8" w:color="7F7F7F"/>
            </w:tcBorders>
            <w:shd w:val="clear" w:color="auto" w:fill="F2F2F2"/>
          </w:tcPr>
          <w:p>
            <w:pPr>
              <w:spacing w:after="0"/>
              <w:rPr>
                <w:sz w:val="13"/>
                <w:szCs w:val="13"/>
                <w:color w:val="auto"/>
              </w:rPr>
            </w:pPr>
          </w:p>
        </w:tc>
        <w:tc>
          <w:tcPr>
            <w:tcW w:w="6080" w:type="dxa"/>
            <w:vAlign w:val="bottom"/>
            <w:shd w:val="clear" w:color="auto" w:fill="F2F2F2"/>
          </w:tcPr>
          <w:p>
            <w:pPr>
              <w:ind w:left="80"/>
              <w:spacing w:after="0"/>
              <w:rPr>
                <w:sz w:val="20"/>
                <w:szCs w:val="20"/>
                <w:color w:val="auto"/>
              </w:rPr>
            </w:pPr>
            <w:r>
              <w:rPr>
                <w:rFonts w:ascii="Arial" w:cs="Arial" w:eastAsia="Arial" w:hAnsi="Arial"/>
                <w:sz w:val="14"/>
                <w:szCs w:val="14"/>
                <w:color w:val="auto"/>
              </w:rPr>
              <w:t>through undergrounding portions of distribution circuits or hardening overhead distribution and</w:t>
            </w:r>
          </w:p>
        </w:tc>
      </w:tr>
      <w:tr>
        <w:trPr>
          <w:trHeight w:val="160"/>
        </w:trPr>
        <w:tc>
          <w:tcPr>
            <w:tcW w:w="2340" w:type="dxa"/>
            <w:vAlign w:val="bottom"/>
            <w:shd w:val="clear" w:color="auto" w:fill="F2F2F2"/>
          </w:tcPr>
          <w:p>
            <w:pPr>
              <w:spacing w:after="0"/>
              <w:rPr>
                <w:sz w:val="13"/>
                <w:szCs w:val="13"/>
                <w:color w:val="auto"/>
              </w:rPr>
            </w:pPr>
          </w:p>
        </w:tc>
        <w:tc>
          <w:tcPr>
            <w:tcW w:w="2500" w:type="dxa"/>
            <w:vAlign w:val="bottom"/>
            <w:tcBorders>
              <w:right w:val="single" w:sz="8" w:color="7F7F7F"/>
            </w:tcBorders>
            <w:shd w:val="clear" w:color="auto" w:fill="F2F2F2"/>
          </w:tcPr>
          <w:p>
            <w:pPr>
              <w:spacing w:after="0"/>
              <w:rPr>
                <w:sz w:val="13"/>
                <w:szCs w:val="13"/>
                <w:color w:val="auto"/>
              </w:rPr>
            </w:pPr>
          </w:p>
        </w:tc>
        <w:tc>
          <w:tcPr>
            <w:tcW w:w="6080" w:type="dxa"/>
            <w:vAlign w:val="bottom"/>
            <w:shd w:val="clear" w:color="auto" w:fill="F2F2F2"/>
          </w:tcPr>
          <w:p>
            <w:pPr>
              <w:ind w:left="80"/>
              <w:spacing w:after="0"/>
              <w:rPr>
                <w:sz w:val="20"/>
                <w:szCs w:val="20"/>
                <w:color w:val="auto"/>
              </w:rPr>
            </w:pPr>
            <w:r>
              <w:rPr>
                <w:rFonts w:ascii="Arial" w:cs="Arial" w:eastAsia="Arial" w:hAnsi="Arial"/>
                <w:sz w:val="14"/>
                <w:szCs w:val="14"/>
                <w:color w:val="auto"/>
              </w:rPr>
              <w:t>transmission systems. This goal is informed by SDG&amp;E’s Wildfire Mitigation Plan, which is</w:t>
            </w:r>
          </w:p>
        </w:tc>
      </w:tr>
      <w:tr>
        <w:trPr>
          <w:trHeight w:val="160"/>
        </w:trPr>
        <w:tc>
          <w:tcPr>
            <w:tcW w:w="2340" w:type="dxa"/>
            <w:vAlign w:val="bottom"/>
            <w:shd w:val="clear" w:color="auto" w:fill="F2F2F2"/>
          </w:tcPr>
          <w:p>
            <w:pPr>
              <w:spacing w:after="0"/>
              <w:rPr>
                <w:sz w:val="13"/>
                <w:szCs w:val="13"/>
                <w:color w:val="auto"/>
              </w:rPr>
            </w:pPr>
          </w:p>
        </w:tc>
        <w:tc>
          <w:tcPr>
            <w:tcW w:w="2500" w:type="dxa"/>
            <w:vAlign w:val="bottom"/>
            <w:tcBorders>
              <w:right w:val="single" w:sz="8" w:color="7F7F7F"/>
            </w:tcBorders>
            <w:shd w:val="clear" w:color="auto" w:fill="F2F2F2"/>
          </w:tcPr>
          <w:p>
            <w:pPr>
              <w:spacing w:after="0"/>
              <w:rPr>
                <w:sz w:val="13"/>
                <w:szCs w:val="13"/>
                <w:color w:val="auto"/>
              </w:rPr>
            </w:pPr>
          </w:p>
        </w:tc>
        <w:tc>
          <w:tcPr>
            <w:tcW w:w="6080" w:type="dxa"/>
            <w:vAlign w:val="bottom"/>
            <w:shd w:val="clear" w:color="auto" w:fill="F2F2F2"/>
          </w:tcPr>
          <w:p>
            <w:pPr>
              <w:ind w:left="80"/>
              <w:spacing w:after="0"/>
              <w:rPr>
                <w:sz w:val="20"/>
                <w:szCs w:val="20"/>
                <w:color w:val="auto"/>
              </w:rPr>
            </w:pPr>
            <w:r>
              <w:rPr>
                <w:rFonts w:ascii="Arial" w:cs="Arial" w:eastAsia="Arial" w:hAnsi="Arial"/>
                <w:sz w:val="14"/>
                <w:szCs w:val="14"/>
                <w:color w:val="auto"/>
              </w:rPr>
              <w:t>submitted to the Office of Energy Infrastructure Safety and funded through the General Rate</w:t>
            </w:r>
          </w:p>
        </w:tc>
      </w:tr>
      <w:tr>
        <w:trPr>
          <w:trHeight w:val="242"/>
        </w:trPr>
        <w:tc>
          <w:tcPr>
            <w:tcW w:w="2340" w:type="dxa"/>
            <w:vAlign w:val="bottom"/>
            <w:tcBorders>
              <w:bottom w:val="single" w:sz="8" w:color="F2F2F2"/>
            </w:tcBorders>
            <w:shd w:val="clear" w:color="auto" w:fill="F2F2F2"/>
          </w:tcPr>
          <w:p>
            <w:pPr>
              <w:spacing w:after="0"/>
              <w:rPr>
                <w:sz w:val="20"/>
                <w:szCs w:val="20"/>
                <w:color w:val="auto"/>
              </w:rPr>
            </w:pPr>
          </w:p>
        </w:tc>
        <w:tc>
          <w:tcPr>
            <w:tcW w:w="2500" w:type="dxa"/>
            <w:vAlign w:val="bottom"/>
            <w:tcBorders>
              <w:bottom w:val="single" w:sz="8" w:color="F2F2F2"/>
              <w:right w:val="single" w:sz="8" w:color="7F7F7F"/>
            </w:tcBorders>
            <w:shd w:val="clear" w:color="auto" w:fill="F2F2F2"/>
          </w:tcPr>
          <w:p>
            <w:pPr>
              <w:spacing w:after="0"/>
              <w:rPr>
                <w:sz w:val="20"/>
                <w:szCs w:val="20"/>
                <w:color w:val="auto"/>
              </w:rPr>
            </w:pPr>
          </w:p>
        </w:tc>
        <w:tc>
          <w:tcPr>
            <w:tcW w:w="60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Case process.</w:t>
            </w:r>
          </w:p>
        </w:tc>
      </w:tr>
      <w:tr>
        <w:trPr>
          <w:trHeight w:val="198"/>
        </w:trPr>
        <w:tc>
          <w:tcPr>
            <w:tcW w:w="234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SDG&amp;E – Damage Prevention</w:t>
            </w:r>
          </w:p>
        </w:tc>
        <w:tc>
          <w:tcPr>
            <w:tcW w:w="2500" w:type="dxa"/>
            <w:vAlign w:val="bottom"/>
            <w:tcBorders>
              <w:top w:val="single" w:sz="8" w:color="7F7F7F"/>
              <w:right w:val="single" w:sz="8" w:color="7F7F7F"/>
            </w:tcBorders>
          </w:tcPr>
          <w:p>
            <w:pPr>
              <w:spacing w:after="0"/>
              <w:rPr>
                <w:sz w:val="17"/>
                <w:szCs w:val="17"/>
                <w:color w:val="auto"/>
              </w:rPr>
            </w:pPr>
          </w:p>
        </w:tc>
        <w:tc>
          <w:tcPr>
            <w:tcW w:w="60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Measures construction/excavation damages that cause a gas leak to SDG&amp;E’s below-ground</w:t>
            </w:r>
          </w:p>
        </w:tc>
      </w:tr>
      <w:tr>
        <w:trPr>
          <w:trHeight w:val="160"/>
        </w:trPr>
        <w:tc>
          <w:tcPr>
            <w:tcW w:w="2340" w:type="dxa"/>
            <w:vAlign w:val="bottom"/>
          </w:tcPr>
          <w:p>
            <w:pPr>
              <w:spacing w:after="0"/>
              <w:rPr>
                <w:sz w:val="13"/>
                <w:szCs w:val="13"/>
                <w:color w:val="auto"/>
              </w:rPr>
            </w:pPr>
          </w:p>
        </w:tc>
        <w:tc>
          <w:tcPr>
            <w:tcW w:w="2500" w:type="dxa"/>
            <w:vAlign w:val="bottom"/>
            <w:tcBorders>
              <w:right w:val="single" w:sz="8" w:color="7F7F7F"/>
            </w:tcBorders>
          </w:tcPr>
          <w:p>
            <w:pPr>
              <w:spacing w:after="0"/>
              <w:rPr>
                <w:sz w:val="13"/>
                <w:szCs w:val="13"/>
                <w:color w:val="auto"/>
              </w:rPr>
            </w:pPr>
          </w:p>
        </w:tc>
        <w:tc>
          <w:tcPr>
            <w:tcW w:w="6080" w:type="dxa"/>
            <w:vAlign w:val="bottom"/>
          </w:tcPr>
          <w:p>
            <w:pPr>
              <w:ind w:left="80"/>
              <w:spacing w:after="0"/>
              <w:rPr>
                <w:sz w:val="20"/>
                <w:szCs w:val="20"/>
                <w:color w:val="auto"/>
              </w:rPr>
            </w:pPr>
            <w:r>
              <w:rPr>
                <w:rFonts w:ascii="Arial" w:cs="Arial" w:eastAsia="Arial" w:hAnsi="Arial"/>
                <w:sz w:val="14"/>
                <w:szCs w:val="14"/>
                <w:color w:val="auto"/>
              </w:rPr>
              <w:t>facilities using a standard industry metric for measuring operator performance for damage</w:t>
            </w:r>
          </w:p>
        </w:tc>
      </w:tr>
      <w:tr>
        <w:trPr>
          <w:trHeight w:val="189"/>
        </w:trPr>
        <w:tc>
          <w:tcPr>
            <w:tcW w:w="2340" w:type="dxa"/>
            <w:vAlign w:val="bottom"/>
          </w:tcPr>
          <w:p>
            <w:pPr>
              <w:spacing w:after="0"/>
              <w:rPr>
                <w:sz w:val="16"/>
                <w:szCs w:val="16"/>
                <w:color w:val="auto"/>
              </w:rPr>
            </w:pPr>
          </w:p>
        </w:tc>
        <w:tc>
          <w:tcPr>
            <w:tcW w:w="2500" w:type="dxa"/>
            <w:vAlign w:val="bottom"/>
            <w:tcBorders>
              <w:right w:val="single" w:sz="8" w:color="7F7F7F"/>
            </w:tcBorders>
          </w:tcPr>
          <w:p>
            <w:pPr>
              <w:spacing w:after="0"/>
              <w:rPr>
                <w:sz w:val="16"/>
                <w:szCs w:val="16"/>
                <w:color w:val="auto"/>
              </w:rPr>
            </w:pPr>
          </w:p>
        </w:tc>
        <w:tc>
          <w:tcPr>
            <w:tcW w:w="6080" w:type="dxa"/>
            <w:vAlign w:val="bottom"/>
          </w:tcPr>
          <w:p>
            <w:pPr>
              <w:ind w:left="80"/>
              <w:spacing w:after="0"/>
              <w:rPr>
                <w:sz w:val="20"/>
                <w:szCs w:val="20"/>
                <w:color w:val="auto"/>
              </w:rPr>
            </w:pPr>
            <w:r>
              <w:rPr>
                <w:rFonts w:ascii="Arial" w:cs="Arial" w:eastAsia="Arial" w:hAnsi="Arial"/>
                <w:sz w:val="14"/>
                <w:szCs w:val="14"/>
                <w:color w:val="auto"/>
              </w:rPr>
              <w:t>prevention.</w:t>
            </w:r>
          </w:p>
        </w:tc>
      </w:tr>
      <w:tr>
        <w:trPr>
          <w:trHeight w:val="48"/>
        </w:trPr>
        <w:tc>
          <w:tcPr>
            <w:tcW w:w="4840" w:type="dxa"/>
            <w:vAlign w:val="bottom"/>
            <w:tcBorders>
              <w:bottom w:val="single" w:sz="8" w:color="7F7F7F"/>
              <w:right w:val="single" w:sz="8" w:color="7F7F7F"/>
            </w:tcBorders>
            <w:gridSpan w:val="2"/>
          </w:tcPr>
          <w:p>
            <w:pPr>
              <w:spacing w:after="0"/>
              <w:rPr>
                <w:sz w:val="4"/>
                <w:szCs w:val="4"/>
                <w:color w:val="auto"/>
              </w:rPr>
            </w:pPr>
          </w:p>
        </w:tc>
        <w:tc>
          <w:tcPr>
            <w:tcW w:w="6080" w:type="dxa"/>
            <w:vAlign w:val="bottom"/>
            <w:tcBorders>
              <w:bottom w:val="single" w:sz="8" w:color="7F7F7F"/>
            </w:tcBorders>
          </w:tcPr>
          <w:p>
            <w:pPr>
              <w:spacing w:after="0"/>
              <w:rPr>
                <w:sz w:val="4"/>
                <w:szCs w:val="4"/>
                <w:color w:val="auto"/>
              </w:rPr>
            </w:pPr>
          </w:p>
        </w:tc>
      </w:tr>
      <w:tr>
        <w:trPr>
          <w:trHeight w:val="279"/>
        </w:trPr>
        <w:tc>
          <w:tcPr>
            <w:tcW w:w="4840" w:type="dxa"/>
            <w:vAlign w:val="bottom"/>
            <w:tcBorders>
              <w:bottom w:val="single" w:sz="8" w:color="F2F2F2"/>
              <w:right w:val="single" w:sz="8" w:color="7F7F7F"/>
            </w:tcBorders>
            <w:gridSpan w:val="2"/>
            <w:shd w:val="clear" w:color="auto" w:fill="F2F2F2"/>
          </w:tcPr>
          <w:p>
            <w:pPr>
              <w:ind w:left="220"/>
              <w:spacing w:after="0"/>
              <w:rPr>
                <w:sz w:val="20"/>
                <w:szCs w:val="20"/>
                <w:color w:val="auto"/>
              </w:rPr>
            </w:pPr>
            <w:r>
              <w:rPr>
                <w:rFonts w:ascii="Arial" w:cs="Arial" w:eastAsia="Arial" w:hAnsi="Arial"/>
                <w:sz w:val="14"/>
                <w:szCs w:val="14"/>
                <w:color w:val="auto"/>
              </w:rPr>
              <w:t>SoCalGas – A1 Gas Leak Order Response Time</w:t>
            </w:r>
          </w:p>
        </w:tc>
        <w:tc>
          <w:tcPr>
            <w:tcW w:w="60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Measures the response time for Customer Services Field A1 gas leak orders.</w:t>
            </w:r>
          </w:p>
        </w:tc>
      </w:tr>
      <w:tr>
        <w:trPr>
          <w:trHeight w:val="198"/>
        </w:trPr>
        <w:tc>
          <w:tcPr>
            <w:tcW w:w="2340" w:type="dxa"/>
            <w:vAlign w:val="bottom"/>
            <w:tcBorders>
              <w:top w:val="single" w:sz="8" w:color="7F7F7F"/>
            </w:tcBorders>
          </w:tcPr>
          <w:p>
            <w:pPr>
              <w:ind w:left="220"/>
              <w:spacing w:after="0"/>
              <w:rPr>
                <w:sz w:val="20"/>
                <w:szCs w:val="20"/>
                <w:color w:val="auto"/>
              </w:rPr>
            </w:pPr>
            <w:r>
              <w:rPr>
                <w:rFonts w:ascii="Arial" w:cs="Arial" w:eastAsia="Arial" w:hAnsi="Arial"/>
                <w:sz w:val="14"/>
                <w:szCs w:val="14"/>
                <w:color w:val="auto"/>
              </w:rPr>
              <w:t>SoCalGas – Damage Prevention</w:t>
            </w:r>
          </w:p>
        </w:tc>
        <w:tc>
          <w:tcPr>
            <w:tcW w:w="2500" w:type="dxa"/>
            <w:vAlign w:val="bottom"/>
            <w:tcBorders>
              <w:top w:val="single" w:sz="8" w:color="7F7F7F"/>
              <w:right w:val="single" w:sz="8" w:color="7F7F7F"/>
            </w:tcBorders>
          </w:tcPr>
          <w:p>
            <w:pPr>
              <w:spacing w:after="0"/>
              <w:rPr>
                <w:sz w:val="17"/>
                <w:szCs w:val="17"/>
                <w:color w:val="auto"/>
              </w:rPr>
            </w:pPr>
          </w:p>
        </w:tc>
        <w:tc>
          <w:tcPr>
            <w:tcW w:w="6080" w:type="dxa"/>
            <w:vAlign w:val="bottom"/>
            <w:tcBorders>
              <w:top w:val="single" w:sz="8" w:color="7F7F7F"/>
            </w:tcBorders>
          </w:tcPr>
          <w:p>
            <w:pPr>
              <w:ind w:left="80"/>
              <w:spacing w:after="0"/>
              <w:rPr>
                <w:sz w:val="20"/>
                <w:szCs w:val="20"/>
                <w:color w:val="auto"/>
              </w:rPr>
            </w:pPr>
            <w:r>
              <w:rPr>
                <w:rFonts w:ascii="Arial" w:cs="Arial" w:eastAsia="Arial" w:hAnsi="Arial"/>
                <w:sz w:val="14"/>
                <w:szCs w:val="14"/>
                <w:color w:val="auto"/>
              </w:rPr>
              <w:t>Measures construction/excavation damages that cause a gas leak to SoCalGas’ below-ground</w:t>
            </w:r>
          </w:p>
        </w:tc>
      </w:tr>
      <w:tr>
        <w:trPr>
          <w:trHeight w:val="160"/>
        </w:trPr>
        <w:tc>
          <w:tcPr>
            <w:tcW w:w="2340" w:type="dxa"/>
            <w:vAlign w:val="bottom"/>
          </w:tcPr>
          <w:p>
            <w:pPr>
              <w:spacing w:after="0"/>
              <w:rPr>
                <w:sz w:val="13"/>
                <w:szCs w:val="13"/>
                <w:color w:val="auto"/>
              </w:rPr>
            </w:pPr>
          </w:p>
        </w:tc>
        <w:tc>
          <w:tcPr>
            <w:tcW w:w="2500" w:type="dxa"/>
            <w:vAlign w:val="bottom"/>
            <w:tcBorders>
              <w:right w:val="single" w:sz="8" w:color="7F7F7F"/>
            </w:tcBorders>
          </w:tcPr>
          <w:p>
            <w:pPr>
              <w:spacing w:after="0"/>
              <w:rPr>
                <w:sz w:val="13"/>
                <w:szCs w:val="13"/>
                <w:color w:val="auto"/>
              </w:rPr>
            </w:pPr>
          </w:p>
        </w:tc>
        <w:tc>
          <w:tcPr>
            <w:tcW w:w="6080" w:type="dxa"/>
            <w:vAlign w:val="bottom"/>
          </w:tcPr>
          <w:p>
            <w:pPr>
              <w:ind w:left="80"/>
              <w:spacing w:after="0"/>
              <w:rPr>
                <w:sz w:val="20"/>
                <w:szCs w:val="20"/>
                <w:color w:val="auto"/>
              </w:rPr>
            </w:pPr>
            <w:r>
              <w:rPr>
                <w:rFonts w:ascii="Arial" w:cs="Arial" w:eastAsia="Arial" w:hAnsi="Arial"/>
                <w:sz w:val="14"/>
                <w:szCs w:val="14"/>
                <w:color w:val="auto"/>
              </w:rPr>
              <w:t>facilities using a standard industry metric for measuring operator performance for damage</w:t>
            </w:r>
          </w:p>
        </w:tc>
      </w:tr>
      <w:tr>
        <w:trPr>
          <w:trHeight w:val="189"/>
        </w:trPr>
        <w:tc>
          <w:tcPr>
            <w:tcW w:w="2340" w:type="dxa"/>
            <w:vAlign w:val="bottom"/>
          </w:tcPr>
          <w:p>
            <w:pPr>
              <w:spacing w:after="0"/>
              <w:rPr>
                <w:sz w:val="16"/>
                <w:szCs w:val="16"/>
                <w:color w:val="auto"/>
              </w:rPr>
            </w:pPr>
          </w:p>
        </w:tc>
        <w:tc>
          <w:tcPr>
            <w:tcW w:w="2500" w:type="dxa"/>
            <w:vAlign w:val="bottom"/>
            <w:tcBorders>
              <w:right w:val="single" w:sz="8" w:color="7F7F7F"/>
            </w:tcBorders>
          </w:tcPr>
          <w:p>
            <w:pPr>
              <w:spacing w:after="0"/>
              <w:rPr>
                <w:sz w:val="16"/>
                <w:szCs w:val="16"/>
                <w:color w:val="auto"/>
              </w:rPr>
            </w:pPr>
          </w:p>
        </w:tc>
        <w:tc>
          <w:tcPr>
            <w:tcW w:w="6080" w:type="dxa"/>
            <w:vAlign w:val="bottom"/>
          </w:tcPr>
          <w:p>
            <w:pPr>
              <w:ind w:left="80"/>
              <w:spacing w:after="0"/>
              <w:rPr>
                <w:sz w:val="20"/>
                <w:szCs w:val="20"/>
                <w:color w:val="auto"/>
              </w:rPr>
            </w:pPr>
            <w:r>
              <w:rPr>
                <w:rFonts w:ascii="Arial" w:cs="Arial" w:eastAsia="Arial" w:hAnsi="Arial"/>
                <w:sz w:val="14"/>
                <w:szCs w:val="14"/>
                <w:color w:val="auto"/>
              </w:rPr>
              <w:t>prevention.</w:t>
            </w:r>
          </w:p>
        </w:tc>
      </w:tr>
      <w:tr>
        <w:trPr>
          <w:trHeight w:val="48"/>
        </w:trPr>
        <w:tc>
          <w:tcPr>
            <w:tcW w:w="2340" w:type="dxa"/>
            <w:vAlign w:val="bottom"/>
            <w:tcBorders>
              <w:bottom w:val="single" w:sz="8" w:color="7F7F7F"/>
            </w:tcBorders>
          </w:tcPr>
          <w:p>
            <w:pPr>
              <w:spacing w:after="0"/>
              <w:rPr>
                <w:sz w:val="4"/>
                <w:szCs w:val="4"/>
                <w:color w:val="auto"/>
              </w:rPr>
            </w:pPr>
          </w:p>
        </w:tc>
        <w:tc>
          <w:tcPr>
            <w:tcW w:w="2500" w:type="dxa"/>
            <w:vAlign w:val="bottom"/>
            <w:tcBorders>
              <w:bottom w:val="single" w:sz="8" w:color="7F7F7F"/>
              <w:right w:val="single" w:sz="8" w:color="7F7F7F"/>
            </w:tcBorders>
          </w:tcPr>
          <w:p>
            <w:pPr>
              <w:spacing w:after="0"/>
              <w:rPr>
                <w:sz w:val="4"/>
                <w:szCs w:val="4"/>
                <w:color w:val="auto"/>
              </w:rPr>
            </w:pPr>
          </w:p>
        </w:tc>
        <w:tc>
          <w:tcPr>
            <w:tcW w:w="6080" w:type="dxa"/>
            <w:vAlign w:val="bottom"/>
            <w:tcBorders>
              <w:bottom w:val="single" w:sz="8" w:color="7F7F7F"/>
            </w:tcBorders>
          </w:tcPr>
          <w:p>
            <w:pPr>
              <w:spacing w:after="0"/>
              <w:rPr>
                <w:sz w:val="4"/>
                <w:szCs w:val="4"/>
                <w:color w:val="auto"/>
              </w:rPr>
            </w:pPr>
          </w:p>
        </w:tc>
      </w:tr>
      <w:tr>
        <w:trPr>
          <w:trHeight w:val="233"/>
        </w:trPr>
        <w:tc>
          <w:tcPr>
            <w:tcW w:w="2340" w:type="dxa"/>
            <w:vAlign w:val="bottom"/>
          </w:tcPr>
          <w:p>
            <w:pPr>
              <w:spacing w:after="0"/>
              <w:rPr>
                <w:sz w:val="20"/>
                <w:szCs w:val="20"/>
                <w:color w:val="auto"/>
              </w:rPr>
            </w:pPr>
            <w:r>
              <w:rPr>
                <w:rFonts w:ascii="Arial" w:cs="Arial" w:eastAsia="Arial" w:hAnsi="Arial"/>
                <w:sz w:val="14"/>
                <w:szCs w:val="14"/>
                <w:b w:val="1"/>
                <w:bCs w:val="1"/>
                <w:color w:val="005CB9"/>
              </w:rPr>
              <w:t>  Employee Safety:</w:t>
            </w:r>
          </w:p>
        </w:tc>
        <w:tc>
          <w:tcPr>
            <w:tcW w:w="2500" w:type="dxa"/>
            <w:vAlign w:val="bottom"/>
            <w:tcBorders>
              <w:right w:val="single" w:sz="8" w:color="7F7F7F"/>
            </w:tcBorders>
          </w:tcPr>
          <w:p>
            <w:pPr>
              <w:spacing w:after="0"/>
              <w:rPr>
                <w:sz w:val="20"/>
                <w:szCs w:val="20"/>
                <w:color w:val="auto"/>
              </w:rPr>
            </w:pPr>
          </w:p>
        </w:tc>
        <w:tc>
          <w:tcPr>
            <w:tcW w:w="6080" w:type="dxa"/>
            <w:vAlign w:val="bottom"/>
          </w:tcPr>
          <w:p>
            <w:pPr>
              <w:spacing w:after="0"/>
              <w:rPr>
                <w:sz w:val="20"/>
                <w:szCs w:val="20"/>
                <w:color w:val="auto"/>
              </w:rPr>
            </w:pPr>
          </w:p>
        </w:tc>
      </w:tr>
      <w:tr>
        <w:trPr>
          <w:trHeight w:val="42"/>
        </w:trPr>
        <w:tc>
          <w:tcPr>
            <w:tcW w:w="2340" w:type="dxa"/>
            <w:vAlign w:val="bottom"/>
            <w:tcBorders>
              <w:bottom w:val="single" w:sz="8" w:color="7F7F7F"/>
            </w:tcBorders>
          </w:tcPr>
          <w:p>
            <w:pPr>
              <w:spacing w:after="0"/>
              <w:rPr>
                <w:sz w:val="3"/>
                <w:szCs w:val="3"/>
                <w:color w:val="auto"/>
              </w:rPr>
            </w:pPr>
          </w:p>
        </w:tc>
        <w:tc>
          <w:tcPr>
            <w:tcW w:w="2500" w:type="dxa"/>
            <w:vAlign w:val="bottom"/>
            <w:tcBorders>
              <w:bottom w:val="single" w:sz="8" w:color="7F7F7F"/>
              <w:right w:val="single" w:sz="8" w:color="7F7F7F"/>
            </w:tcBorders>
          </w:tcPr>
          <w:p>
            <w:pPr>
              <w:spacing w:after="0"/>
              <w:rPr>
                <w:sz w:val="3"/>
                <w:szCs w:val="3"/>
                <w:color w:val="auto"/>
              </w:rPr>
            </w:pPr>
          </w:p>
        </w:tc>
        <w:tc>
          <w:tcPr>
            <w:tcW w:w="6080" w:type="dxa"/>
            <w:vAlign w:val="bottom"/>
            <w:tcBorders>
              <w:bottom w:val="single" w:sz="8" w:color="7F7F7F"/>
            </w:tcBorders>
          </w:tcPr>
          <w:p>
            <w:pPr>
              <w:spacing w:after="0"/>
              <w:rPr>
                <w:sz w:val="3"/>
                <w:szCs w:val="3"/>
                <w:color w:val="auto"/>
              </w:rPr>
            </w:pPr>
          </w:p>
        </w:tc>
      </w:tr>
      <w:tr>
        <w:trPr>
          <w:trHeight w:val="198"/>
        </w:trPr>
        <w:tc>
          <w:tcPr>
            <w:tcW w:w="2340" w:type="dxa"/>
            <w:vAlign w:val="bottom"/>
            <w:shd w:val="clear" w:color="auto" w:fill="F2F2F2"/>
          </w:tcPr>
          <w:p>
            <w:pPr>
              <w:ind w:left="220"/>
              <w:spacing w:after="0"/>
              <w:rPr>
                <w:sz w:val="20"/>
                <w:szCs w:val="20"/>
                <w:color w:val="auto"/>
              </w:rPr>
            </w:pPr>
            <w:r>
              <w:rPr>
                <w:rFonts w:ascii="Arial" w:cs="Arial" w:eastAsia="Arial" w:hAnsi="Arial"/>
                <w:sz w:val="14"/>
                <w:szCs w:val="14"/>
                <w:color w:val="auto"/>
              </w:rPr>
              <w:t>Lost Time Incident Rate</w:t>
            </w:r>
          </w:p>
        </w:tc>
        <w:tc>
          <w:tcPr>
            <w:tcW w:w="2500" w:type="dxa"/>
            <w:vAlign w:val="bottom"/>
            <w:tcBorders>
              <w:right w:val="single" w:sz="8" w:color="7F7F7F"/>
            </w:tcBorders>
            <w:shd w:val="clear" w:color="auto" w:fill="F2F2F2"/>
          </w:tcPr>
          <w:p>
            <w:pPr>
              <w:spacing w:after="0"/>
              <w:rPr>
                <w:sz w:val="17"/>
                <w:szCs w:val="17"/>
                <w:color w:val="auto"/>
              </w:rPr>
            </w:pPr>
          </w:p>
        </w:tc>
        <w:tc>
          <w:tcPr>
            <w:tcW w:w="6080" w:type="dxa"/>
            <w:vAlign w:val="bottom"/>
            <w:shd w:val="clear" w:color="auto" w:fill="F2F2F2"/>
          </w:tcPr>
          <w:p>
            <w:pPr>
              <w:ind w:left="80"/>
              <w:spacing w:after="0"/>
              <w:rPr>
                <w:sz w:val="20"/>
                <w:szCs w:val="20"/>
                <w:color w:val="auto"/>
              </w:rPr>
            </w:pPr>
            <w:r>
              <w:rPr>
                <w:rFonts w:ascii="Arial" w:cs="Arial" w:eastAsia="Arial" w:hAnsi="Arial"/>
                <w:sz w:val="14"/>
                <w:szCs w:val="14"/>
                <w:color w:val="auto"/>
              </w:rPr>
              <w:t>Expressed as the number of Occupational Safety and Health Administration-recordable injuries</w:t>
            </w:r>
          </w:p>
        </w:tc>
      </w:tr>
      <w:tr>
        <w:trPr>
          <w:trHeight w:val="217"/>
        </w:trPr>
        <w:tc>
          <w:tcPr>
            <w:tcW w:w="2340" w:type="dxa"/>
            <w:vAlign w:val="bottom"/>
            <w:tcBorders>
              <w:bottom w:val="single" w:sz="8" w:color="F2F2F2"/>
            </w:tcBorders>
            <w:shd w:val="clear" w:color="auto" w:fill="F2F2F2"/>
          </w:tcPr>
          <w:p>
            <w:pPr>
              <w:spacing w:after="0"/>
              <w:rPr>
                <w:sz w:val="18"/>
                <w:szCs w:val="18"/>
                <w:color w:val="auto"/>
              </w:rPr>
            </w:pPr>
          </w:p>
        </w:tc>
        <w:tc>
          <w:tcPr>
            <w:tcW w:w="2500" w:type="dxa"/>
            <w:vAlign w:val="bottom"/>
            <w:tcBorders>
              <w:bottom w:val="single" w:sz="8" w:color="F2F2F2"/>
              <w:right w:val="single" w:sz="8" w:color="7F7F7F"/>
            </w:tcBorders>
            <w:shd w:val="clear" w:color="auto" w:fill="F2F2F2"/>
          </w:tcPr>
          <w:p>
            <w:pPr>
              <w:spacing w:after="0"/>
              <w:rPr>
                <w:sz w:val="18"/>
                <w:szCs w:val="18"/>
                <w:color w:val="auto"/>
              </w:rPr>
            </w:pPr>
          </w:p>
        </w:tc>
        <w:tc>
          <w:tcPr>
            <w:tcW w:w="60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or illnesses resulting in days away from work per 100 full-time employees.</w:t>
            </w:r>
          </w:p>
        </w:tc>
      </w:tr>
      <w:tr>
        <w:trPr>
          <w:trHeight w:val="274"/>
        </w:trPr>
        <w:tc>
          <w:tcPr>
            <w:tcW w:w="2340" w:type="dxa"/>
            <w:vAlign w:val="bottom"/>
            <w:tcBorders>
              <w:bottom w:val="single" w:sz="8" w:color="005CB9"/>
            </w:tcBorders>
            <w:shd w:val="clear" w:color="auto" w:fill="005CB9"/>
          </w:tcPr>
          <w:p>
            <w:pPr>
              <w:ind w:left="80"/>
              <w:spacing w:after="0"/>
              <w:rPr>
                <w:sz w:val="20"/>
                <w:szCs w:val="20"/>
                <w:color w:val="auto"/>
              </w:rPr>
            </w:pPr>
            <w:r>
              <w:rPr>
                <w:rFonts w:ascii="Arial" w:cs="Arial" w:eastAsia="Arial" w:hAnsi="Arial"/>
                <w:sz w:val="14"/>
                <w:szCs w:val="14"/>
                <w:b w:val="1"/>
                <w:bCs w:val="1"/>
                <w:color w:val="FFFFFF"/>
              </w:rPr>
              <w:t>2025 RBP Measures</w:t>
            </w:r>
          </w:p>
        </w:tc>
        <w:tc>
          <w:tcPr>
            <w:tcW w:w="2500" w:type="dxa"/>
            <w:vAlign w:val="bottom"/>
            <w:tcBorders>
              <w:bottom w:val="single" w:sz="8" w:color="005CB9"/>
              <w:right w:val="single" w:sz="8" w:color="005CB9"/>
            </w:tcBorders>
            <w:shd w:val="clear" w:color="auto" w:fill="005CB9"/>
          </w:tcPr>
          <w:p>
            <w:pPr>
              <w:spacing w:after="0"/>
              <w:rPr>
                <w:sz w:val="23"/>
                <w:szCs w:val="23"/>
                <w:color w:val="auto"/>
              </w:rPr>
            </w:pPr>
          </w:p>
        </w:tc>
        <w:tc>
          <w:tcPr>
            <w:tcW w:w="6080" w:type="dxa"/>
            <w:vAlign w:val="bottom"/>
            <w:tcBorders>
              <w:bottom w:val="single" w:sz="8" w:color="005CB9"/>
            </w:tcBorders>
            <w:shd w:val="clear" w:color="auto" w:fill="005CB9"/>
          </w:tcPr>
          <w:p>
            <w:pPr>
              <w:ind w:left="2700"/>
              <w:spacing w:after="0"/>
              <w:rPr>
                <w:sz w:val="20"/>
                <w:szCs w:val="20"/>
                <w:color w:val="auto"/>
              </w:rPr>
            </w:pPr>
            <w:r>
              <w:rPr>
                <w:rFonts w:ascii="Arial" w:cs="Arial" w:eastAsia="Arial" w:hAnsi="Arial"/>
                <w:sz w:val="14"/>
                <w:szCs w:val="14"/>
                <w:b w:val="1"/>
                <w:bCs w:val="1"/>
                <w:color w:val="FFFFFF"/>
              </w:rPr>
              <w:t>Description</w:t>
            </w:r>
          </w:p>
        </w:tc>
      </w:tr>
      <w:tr>
        <w:trPr>
          <w:trHeight w:val="247"/>
        </w:trPr>
        <w:tc>
          <w:tcPr>
            <w:tcW w:w="2340" w:type="dxa"/>
            <w:vAlign w:val="bottom"/>
          </w:tcPr>
          <w:p>
            <w:pPr>
              <w:ind w:left="80"/>
              <w:spacing w:after="0"/>
              <w:rPr>
                <w:sz w:val="20"/>
                <w:szCs w:val="20"/>
                <w:color w:val="auto"/>
              </w:rPr>
            </w:pPr>
            <w:r>
              <w:rPr>
                <w:rFonts w:ascii="Arial" w:cs="Arial" w:eastAsia="Arial" w:hAnsi="Arial"/>
                <w:sz w:val="14"/>
                <w:szCs w:val="14"/>
                <w:color w:val="auto"/>
              </w:rPr>
              <w:t>Risk Management – Cybersecurity</w:t>
            </w:r>
          </w:p>
        </w:tc>
        <w:tc>
          <w:tcPr>
            <w:tcW w:w="2500" w:type="dxa"/>
            <w:vAlign w:val="bottom"/>
            <w:tcBorders>
              <w:right w:val="single" w:sz="8" w:color="7F7F7F"/>
            </w:tcBorders>
          </w:tcPr>
          <w:p>
            <w:pPr>
              <w:spacing w:after="0"/>
              <w:rPr>
                <w:sz w:val="21"/>
                <w:szCs w:val="21"/>
                <w:color w:val="auto"/>
              </w:rPr>
            </w:pPr>
          </w:p>
        </w:tc>
        <w:tc>
          <w:tcPr>
            <w:tcW w:w="6080" w:type="dxa"/>
            <w:vAlign w:val="bottom"/>
          </w:tcPr>
          <w:p>
            <w:pPr>
              <w:ind w:left="80"/>
              <w:spacing w:after="0"/>
              <w:rPr>
                <w:sz w:val="20"/>
                <w:szCs w:val="20"/>
                <w:color w:val="auto"/>
              </w:rPr>
            </w:pPr>
            <w:r>
              <w:rPr>
                <w:rFonts w:ascii="Arial" w:cs="Arial" w:eastAsia="Arial" w:hAnsi="Arial"/>
                <w:sz w:val="14"/>
                <w:szCs w:val="14"/>
                <w:color w:val="auto"/>
              </w:rPr>
              <w:t>Measures the failure rate on social engineering simulation tests.</w:t>
            </w:r>
          </w:p>
        </w:tc>
      </w:tr>
      <w:tr>
        <w:trPr>
          <w:trHeight w:val="48"/>
        </w:trPr>
        <w:tc>
          <w:tcPr>
            <w:tcW w:w="4840" w:type="dxa"/>
            <w:vAlign w:val="bottom"/>
            <w:tcBorders>
              <w:bottom w:val="single" w:sz="8" w:color="7F7F7F"/>
              <w:right w:val="single" w:sz="8" w:color="7F7F7F"/>
            </w:tcBorders>
            <w:gridSpan w:val="2"/>
          </w:tcPr>
          <w:p>
            <w:pPr>
              <w:spacing w:after="0"/>
              <w:rPr>
                <w:sz w:val="4"/>
                <w:szCs w:val="4"/>
                <w:color w:val="auto"/>
              </w:rPr>
            </w:pPr>
          </w:p>
        </w:tc>
        <w:tc>
          <w:tcPr>
            <w:tcW w:w="6080" w:type="dxa"/>
            <w:vAlign w:val="bottom"/>
            <w:tcBorders>
              <w:bottom w:val="single" w:sz="8" w:color="7F7F7F"/>
            </w:tcBorders>
          </w:tcPr>
          <w:p>
            <w:pPr>
              <w:spacing w:after="0"/>
              <w:rPr>
                <w:sz w:val="4"/>
                <w:szCs w:val="4"/>
                <w:color w:val="auto"/>
              </w:rPr>
            </w:pPr>
          </w:p>
        </w:tc>
      </w:tr>
      <w:tr>
        <w:trPr>
          <w:trHeight w:val="279"/>
        </w:trPr>
        <w:tc>
          <w:tcPr>
            <w:tcW w:w="4840" w:type="dxa"/>
            <w:vAlign w:val="bottom"/>
            <w:tcBorders>
              <w:bottom w:val="single" w:sz="8" w:color="F2F2F2"/>
              <w:right w:val="single" w:sz="8" w:color="7F7F7F"/>
            </w:tcBorders>
            <w:gridSpan w:val="2"/>
            <w:shd w:val="clear" w:color="auto" w:fill="F2F2F2"/>
          </w:tcPr>
          <w:p>
            <w:pPr>
              <w:ind w:left="80"/>
              <w:spacing w:after="0"/>
              <w:rPr>
                <w:sz w:val="20"/>
                <w:szCs w:val="20"/>
                <w:color w:val="auto"/>
              </w:rPr>
            </w:pPr>
            <w:r>
              <w:rPr>
                <w:rFonts w:ascii="Arial" w:cs="Arial" w:eastAsia="Arial" w:hAnsi="Arial"/>
                <w:sz w:val="14"/>
                <w:szCs w:val="14"/>
                <w:color w:val="auto"/>
              </w:rPr>
              <w:t>High-Performance Culture – Employee Engagement</w:t>
            </w:r>
          </w:p>
        </w:tc>
        <w:tc>
          <w:tcPr>
            <w:tcW w:w="6080" w:type="dxa"/>
            <w:vAlign w:val="bottom"/>
            <w:tcBorders>
              <w:bottom w:val="single" w:sz="8" w:color="F2F2F2"/>
            </w:tcBorders>
            <w:shd w:val="clear" w:color="auto" w:fill="F2F2F2"/>
          </w:tcPr>
          <w:p>
            <w:pPr>
              <w:ind w:left="80"/>
              <w:spacing w:after="0"/>
              <w:rPr>
                <w:sz w:val="20"/>
                <w:szCs w:val="20"/>
                <w:color w:val="auto"/>
              </w:rPr>
            </w:pPr>
            <w:r>
              <w:rPr>
                <w:rFonts w:ascii="Arial" w:cs="Arial" w:eastAsia="Arial" w:hAnsi="Arial"/>
                <w:sz w:val="14"/>
                <w:szCs w:val="14"/>
                <w:color w:val="auto"/>
              </w:rPr>
              <w:t>Measures 2025 employee engagement survey results relative to a benchmark.</w:t>
            </w:r>
          </w:p>
        </w:tc>
      </w:tr>
      <w:tr>
        <w:trPr>
          <w:trHeight w:val="154"/>
        </w:trPr>
        <w:tc>
          <w:tcPr>
            <w:tcW w:w="2340" w:type="dxa"/>
            <w:vAlign w:val="bottom"/>
            <w:tcBorders>
              <w:top w:val="single" w:sz="8" w:color="7F7F7F"/>
              <w:bottom w:val="single" w:sz="8" w:color="7F7F7F"/>
            </w:tcBorders>
          </w:tcPr>
          <w:p>
            <w:pPr>
              <w:spacing w:after="0"/>
              <w:rPr>
                <w:sz w:val="13"/>
                <w:szCs w:val="13"/>
                <w:color w:val="auto"/>
              </w:rPr>
            </w:pPr>
          </w:p>
        </w:tc>
        <w:tc>
          <w:tcPr>
            <w:tcW w:w="2500" w:type="dxa"/>
            <w:vAlign w:val="bottom"/>
            <w:tcBorders>
              <w:top w:val="single" w:sz="8" w:color="7F7F7F"/>
              <w:bottom w:val="single" w:sz="8" w:color="7F7F7F"/>
            </w:tcBorders>
          </w:tcPr>
          <w:p>
            <w:pPr>
              <w:spacing w:after="0"/>
              <w:rPr>
                <w:sz w:val="13"/>
                <w:szCs w:val="13"/>
                <w:color w:val="auto"/>
              </w:rPr>
            </w:pPr>
          </w:p>
        </w:tc>
        <w:tc>
          <w:tcPr>
            <w:tcW w:w="6080" w:type="dxa"/>
            <w:vAlign w:val="bottom"/>
            <w:tcBorders>
              <w:top w:val="single" w:sz="8" w:color="7F7F7F"/>
              <w:bottom w:val="single" w:sz="8" w:color="7F7F7F"/>
            </w:tcBorders>
          </w:tcPr>
          <w:p>
            <w:pPr>
              <w:spacing w:after="0"/>
              <w:rPr>
                <w:sz w:val="13"/>
                <w:szCs w:val="13"/>
                <w:color w:val="auto"/>
              </w:rPr>
            </w:pPr>
          </w:p>
        </w:tc>
      </w:tr>
      <w:tr>
        <w:trPr>
          <w:trHeight w:val="368"/>
        </w:trPr>
        <w:tc>
          <w:tcPr>
            <w:tcW w:w="2340" w:type="dxa"/>
            <w:vAlign w:val="bottom"/>
          </w:tcPr>
          <w:p>
            <w:pPr>
              <w:spacing w:after="0"/>
              <w:rPr>
                <w:sz w:val="20"/>
                <w:szCs w:val="20"/>
                <w:color w:val="auto"/>
              </w:rPr>
            </w:pPr>
            <w:r>
              <w:rPr>
                <w:rFonts w:ascii="Arial" w:cs="Arial" w:eastAsia="Arial" w:hAnsi="Arial"/>
                <w:sz w:val="12"/>
                <w:szCs w:val="12"/>
                <w:color w:val="auto"/>
              </w:rPr>
              <w:t xml:space="preserve">104          </w:t>
            </w:r>
          </w:p>
        </w:tc>
        <w:tc>
          <w:tcPr>
            <w:tcW w:w="2500" w:type="dxa"/>
            <w:vAlign w:val="bottom"/>
          </w:tcPr>
          <w:p>
            <w:pPr>
              <w:ind w:left="40"/>
              <w:spacing w:after="0"/>
              <w:rPr>
                <w:sz w:val="20"/>
                <w:szCs w:val="20"/>
                <w:color w:val="auto"/>
              </w:rPr>
            </w:pPr>
            <w:r>
              <w:rPr>
                <w:rFonts w:ascii="Arial" w:cs="Arial" w:eastAsia="Arial" w:hAnsi="Arial"/>
                <w:sz w:val="12"/>
                <w:szCs w:val="12"/>
                <w:color w:val="auto"/>
              </w:rPr>
              <w:t>      2026 Proxy Statement</w:t>
            </w:r>
          </w:p>
        </w:tc>
        <w:tc>
          <w:tcPr>
            <w:tcW w:w="6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-135255</wp:posOffset>
            </wp:positionV>
            <wp:extent cx="739140" cy="144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45"/>
          <w:szCs w:val="45"/>
          <w:color w:val="001689"/>
        </w:rPr>
        <w:t>Appendix C</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1689"/>
        </w:rPr>
        <w:t>INFORMATION REGARDING FORWARD-LOOKING STATEMENTS</w:t>
      </w:r>
    </w:p>
    <w:p>
      <w:pPr>
        <w:spacing w:after="0" w:line="115"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This proxy statement contains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date of this proxy statement. We assume no obligation to update or revise any forward-looking statement as a result of new information, future events or otherwise.</w:t>
      </w:r>
    </w:p>
    <w:p>
      <w:pPr>
        <w:spacing w:after="0" w:line="70" w:lineRule="exact"/>
        <w:rPr>
          <w:sz w:val="20"/>
          <w:szCs w:val="20"/>
          <w:color w:val="auto"/>
        </w:rPr>
      </w:pPr>
    </w:p>
    <w:p>
      <w:pPr>
        <w:ind w:left="160" w:right="40"/>
        <w:spacing w:after="0" w:line="253" w:lineRule="auto"/>
        <w:rPr>
          <w:sz w:val="20"/>
          <w:szCs w:val="20"/>
          <w:color w:val="auto"/>
        </w:rPr>
      </w:pPr>
      <w:r>
        <w:rPr>
          <w:rFonts w:ascii="Arial" w:cs="Arial" w:eastAsia="Arial" w:hAnsi="Arial"/>
          <w:sz w:val="14"/>
          <w:szCs w:val="14"/>
          <w:color w:val="auto"/>
        </w:rPr>
        <w:t>In this proxy statement, 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70" w:lineRule="exact"/>
        <w:rPr>
          <w:sz w:val="20"/>
          <w:szCs w:val="20"/>
          <w:color w:val="auto"/>
        </w:rPr>
      </w:pPr>
    </w:p>
    <w:p>
      <w:pPr>
        <w:ind w:left="160" w:right="200"/>
        <w:spacing w:after="0" w:line="241" w:lineRule="auto"/>
        <w:rPr>
          <w:sz w:val="20"/>
          <w:szCs w:val="20"/>
          <w:color w:val="auto"/>
        </w:rPr>
      </w:pPr>
      <w:r>
        <w:rPr>
          <w:rFonts w:ascii="Arial" w:cs="Arial" w:eastAsia="Arial" w:hAnsi="Arial"/>
          <w:sz w:val="14"/>
          <w:szCs w:val="14"/>
          <w:color w:val="auto"/>
        </w:rPr>
        <w:t>Factors, among others, that could cause actual results and events to differ materially from those expressed or implied in any forward-looking statement include: 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 decisions, disallowances or denials of cost recovery, audits, investigations, inquiries, ordered studies, regulations, denials or revocations of permits, consents, approvals or other authorizations, renewals of franchises, and other actions, including the failure to honor contracts and commitments, by the (i) Comisión Nacional de Energía, California Public Utilities Commission (CPUC), U.S. Department of Energy, U.S. Federal Energy Regulatory Commission, U.S. Internal Revenue Service, Public Utility Commission of Texas and other regulatory bodies and (ii) U.S., Mexico and states, counties, cities and other jurisdictions therein and in other countries where we do business; the success of business development efforts, construction projects, acquisitions, divestitures, and other significant transactions such as the planned sale of a portion of our equity interest in Sempra Infrastructure Partners, including risks related to, as applicable, (i) being able to reach a positive final investment decision,</w:t>
      </w:r>
    </w:p>
    <w:p>
      <w:pPr>
        <w:spacing w:after="0" w:line="3" w:lineRule="exact"/>
        <w:rPr>
          <w:sz w:val="20"/>
          <w:szCs w:val="20"/>
          <w:color w:val="auto"/>
        </w:rPr>
      </w:pPr>
    </w:p>
    <w:p>
      <w:pPr>
        <w:ind w:left="160" w:right="120" w:firstLine="7"/>
        <w:spacing w:after="0" w:line="239" w:lineRule="auto"/>
        <w:tabs>
          <w:tab w:leader="none" w:pos="358" w:val="left"/>
        </w:tabs>
        <w:numPr>
          <w:ilvl w:val="0"/>
          <w:numId w:val="178"/>
        </w:numPr>
        <w:rPr>
          <w:rFonts w:ascii="Arial" w:cs="Arial" w:eastAsia="Arial" w:hAnsi="Arial"/>
          <w:sz w:val="14"/>
          <w:szCs w:val="14"/>
          <w:color w:val="auto"/>
        </w:rPr>
      </w:pPr>
      <w:r>
        <w:rPr>
          <w:rFonts w:ascii="Arial" w:cs="Arial" w:eastAsia="Arial" w:hAnsi="Arial"/>
          <w:sz w:val="14"/>
          <w:szCs w:val="14"/>
          <w:color w:val="auto"/>
        </w:rPr>
        <w:t>negotiating pricing and other terms in definitive contracts, (iii) completing construction projects or other transactions on schedule and budget, (iv) realizing anticipated benefits from any of these efforts if completed, (v) obtaining regulatory and other approvals and (vi) third parties honoring their contracts and commitments, including with respect to closing or post-closing payments; changes to our capital expenditure plans and their potential impact on rate base or other growth; changes, due to evolving economic, political and other factors, to (i) trade and other foreign policy, including the imposition of tariffs by the U.S. and foreign countries, and (ii) laws and regulations, including those related to tax and the energy industry in the U.S. and Mexico; litigation, arbitration, property disputes and other proceedings; cybersecurity threats, including by nation-state actors, of ransomware or other attacks on our systems, the energy grid or our other infrastructure, or the systems of third parties with which we conduct business; 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w:t>
      </w:r>
    </w:p>
    <w:p>
      <w:pPr>
        <w:spacing w:after="0" w:line="1" w:lineRule="exact"/>
        <w:rPr>
          <w:rFonts w:ascii="Arial" w:cs="Arial" w:eastAsia="Arial" w:hAnsi="Arial"/>
          <w:sz w:val="14"/>
          <w:szCs w:val="14"/>
          <w:color w:val="auto"/>
        </w:rPr>
      </w:pPr>
    </w:p>
    <w:p>
      <w:pPr>
        <w:ind w:left="160" w:right="180" w:firstLine="7"/>
        <w:spacing w:after="0" w:line="239" w:lineRule="auto"/>
        <w:tabs>
          <w:tab w:leader="none" w:pos="358"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instability in the capital markets, and (iii) fluctuating interest rates and inflation; the impact of efforts to increase affordability of U.S. utility customer rates on our ability to obtain cost recovery from applicable regulators, our capital expenditure and other growth plans and our ability to advance statewide policies; the impact on affordability of customer rates, cost of capital and operating margin due to (i) volatility in inflation, interest rates, commodity prices, tariff rates, and foreign currency exchange rates and</w:t>
      </w:r>
    </w:p>
    <w:p>
      <w:pPr>
        <w:ind w:left="160" w:right="60" w:firstLine="7"/>
        <w:spacing w:after="0" w:line="241" w:lineRule="auto"/>
        <w:tabs>
          <w:tab w:leader="none" w:pos="358" w:val="left"/>
        </w:tabs>
        <w:numPr>
          <w:ilvl w:val="0"/>
          <w:numId w:val="180"/>
        </w:numPr>
        <w:rPr>
          <w:rFonts w:ascii="Arial" w:cs="Arial" w:eastAsia="Arial" w:hAnsi="Arial"/>
          <w:sz w:val="14"/>
          <w:szCs w:val="14"/>
          <w:color w:val="auto"/>
        </w:rPr>
      </w:pPr>
      <w:r>
        <w:rPr>
          <w:rFonts w:ascii="Arial" w:cs="Arial" w:eastAsia="Arial" w:hAnsi="Arial"/>
          <w:sz w:val="14"/>
          <w:szCs w:val="14"/>
          <w:color w:val="auto"/>
        </w:rPr>
        <w:t>with respect to SDG&amp;E’s and SoCalGas’ businesses, the cost of meeting the demand for lower carbon and reliable energy in California; 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 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 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 Oncor Electric Delivery Company LLC’s (Oncor) ability to reduce or eliminate its quarterly dividends due to regulatory and governance requirements and commitments, including by actions of Oncor’s independent directors or a minority member director; and other uncertainties, some of which are difficult to predict and beyond our control.</w:t>
      </w:r>
    </w:p>
    <w:p>
      <w:pPr>
        <w:spacing w:after="0" w:line="81" w:lineRule="exact"/>
        <w:rPr>
          <w:sz w:val="20"/>
          <w:szCs w:val="20"/>
          <w:color w:val="auto"/>
        </w:rPr>
      </w:pPr>
    </w:p>
    <w:p>
      <w:pPr>
        <w:ind w:left="160" w:right="160"/>
        <w:spacing w:after="0" w:line="260" w:lineRule="auto"/>
        <w:rPr>
          <w:sz w:val="20"/>
          <w:szCs w:val="20"/>
          <w:color w:val="auto"/>
        </w:rPr>
      </w:pPr>
      <w:r>
        <w:rPr>
          <w:rFonts w:ascii="Arial" w:cs="Arial" w:eastAsia="Arial" w:hAnsi="Arial"/>
          <w:sz w:val="14"/>
          <w:szCs w:val="14"/>
          <w:color w:val="auto"/>
        </w:rPr>
        <w:t>These risks and uncertainties are further discussed in the reports that Sempra has filed with the U.S. Securities and Exchange Commission (SEC). These reports are available through the EDGAR system free-of-charge on the SEC’s website, www.sec.gov, and on Sempra’s website, www.sempra.com. Investors should not rely unduly on any forward-looking statements.</w:t>
      </w:r>
    </w:p>
    <w:p>
      <w:pPr>
        <w:spacing w:after="0" w:line="65" w:lineRule="exact"/>
        <w:rPr>
          <w:sz w:val="20"/>
          <w:szCs w:val="20"/>
          <w:color w:val="auto"/>
        </w:rPr>
      </w:pPr>
    </w:p>
    <w:p>
      <w:pPr>
        <w:ind w:left="160" w:right="120"/>
        <w:spacing w:after="0" w:line="281" w:lineRule="auto"/>
        <w:rPr>
          <w:sz w:val="20"/>
          <w:szCs w:val="20"/>
          <w:color w:val="auto"/>
        </w:rPr>
      </w:pPr>
      <w:r>
        <w:rPr>
          <w:rFonts w:ascii="Arial" w:cs="Arial" w:eastAsia="Arial" w:hAnsi="Arial"/>
          <w:sz w:val="14"/>
          <w:szCs w:val="14"/>
          <w:color w:val="auto"/>
        </w:rPr>
        <w:t>Sempra Infrastructure, Sempra Infrastructure Partners, Sempra Texas, Sempra Texas Utilities, Oncor and Infraestructura Energética Nova, S.A.P.I. de C.V. (IEnova) are not the same companies as the California utilities, SDG&amp;E or SoCalGas, nor are they regulated by the CPUC.</w:t>
      </w:r>
    </w:p>
    <w:p>
      <w:pPr>
        <w:spacing w:after="0" w:line="51" w:lineRule="exact"/>
        <w:rPr>
          <w:sz w:val="20"/>
          <w:szCs w:val="20"/>
          <w:color w:val="auto"/>
        </w:rPr>
      </w:pPr>
    </w:p>
    <w:p>
      <w:pPr>
        <w:ind w:left="160" w:right="160"/>
        <w:spacing w:after="0" w:line="281" w:lineRule="auto"/>
        <w:rPr>
          <w:sz w:val="20"/>
          <w:szCs w:val="20"/>
          <w:color w:val="auto"/>
        </w:rPr>
      </w:pPr>
      <w:r>
        <w:rPr>
          <w:rFonts w:ascii="Arial" w:cs="Arial" w:eastAsia="Arial" w:hAnsi="Arial"/>
          <w:sz w:val="14"/>
          <w:szCs w:val="14"/>
          <w:color w:val="auto"/>
        </w:rPr>
        <w:t>None of the website references in this press release are active hyperlinks, and the information contained on, or that can be accessed through, any such website is not, and shall not be deemed to be,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72390</wp:posOffset>
            </wp:positionV>
            <wp:extent cx="692975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4641215</wp:posOffset>
            </wp:positionH>
            <wp:positionV relativeFrom="paragraph">
              <wp:posOffset>182880</wp:posOffset>
            </wp:positionV>
            <wp:extent cx="739140" cy="144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39140" cy="144145"/>
                    </a:xfrm>
                    <a:prstGeom prst="rect">
                      <a:avLst/>
                    </a:prstGeom>
                    <a:noFill/>
                  </pic:spPr>
                </pic:pic>
              </a:graphicData>
            </a:graphic>
          </wp:anchor>
        </w:drawing>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2026 Proxy Statement            105</w:t>
      </w:r>
    </w:p>
    <w:p>
      <w:pPr>
        <w:sectPr>
          <w:pgSz w:w="11900" w:h="16838" w:orient="portrait"/>
          <w:cols w:equalWidth="0" w:num="1">
            <w:col w:w="11080"/>
          </w:cols>
          <w:pgMar w:left="320" w:top="478"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248285</wp:posOffset>
            </wp:positionV>
            <wp:extent cx="2258695" cy="56070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258695" cy="56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Arial" w:cs="Arial" w:eastAsia="Arial" w:hAnsi="Arial"/>
          <w:sz w:val="11"/>
          <w:szCs w:val="11"/>
          <w:i w:val="1"/>
          <w:iCs w:val="1"/>
          <w:color w:val="auto"/>
        </w:rPr>
        <w:t>SEMPRA</w:t>
      </w:r>
    </w:p>
    <w:p>
      <w:pPr>
        <w:ind w:left="160"/>
        <w:spacing w:after="0" w:line="231" w:lineRule="auto"/>
        <w:rPr>
          <w:sz w:val="20"/>
          <w:szCs w:val="20"/>
          <w:color w:val="auto"/>
        </w:rPr>
      </w:pPr>
      <w:r>
        <w:rPr>
          <w:rFonts w:ascii="Arial" w:cs="Arial" w:eastAsia="Arial" w:hAnsi="Arial"/>
          <w:sz w:val="11"/>
          <w:szCs w:val="11"/>
          <w:i w:val="1"/>
          <w:iCs w:val="1"/>
          <w:color w:val="auto"/>
        </w:rPr>
        <w:t>488 8TH AVENUE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1"/>
          <w:szCs w:val="11"/>
          <w:i w:val="1"/>
          <w:iCs w:val="1"/>
          <w:color w:val="auto"/>
        </w:rPr>
        <w:t>SAN DIEGO, CA 92101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TO VOTE, MARK BLOCKS BELOW IN BLUE OR BLACK INK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20"/>
        <w:spacing w:after="0"/>
        <w:rPr>
          <w:sz w:val="20"/>
          <w:szCs w:val="20"/>
          <w:color w:val="auto"/>
        </w:rPr>
      </w:pPr>
      <w:r>
        <w:rPr>
          <w:rFonts w:ascii="Arial" w:cs="Arial" w:eastAsia="Arial" w:hAnsi="Arial"/>
          <w:sz w:val="27"/>
          <w:szCs w:val="27"/>
          <w:b w:val="1"/>
          <w:bCs w:val="1"/>
          <w:color w:val="auto"/>
        </w:rPr>
        <w:t>SCAN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-916940</wp:posOffset>
            </wp:positionV>
            <wp:extent cx="7176135" cy="552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-271145</wp:posOffset>
            </wp:positionV>
            <wp:extent cx="305435" cy="48387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05435" cy="483870"/>
                    </a:xfrm>
                    <a:prstGeom prst="rect">
                      <a:avLst/>
                    </a:prstGeom>
                    <a:noFill/>
                  </pic:spPr>
                </pic:pic>
              </a:graphicData>
            </a:graphic>
          </wp:anchor>
        </w:drawing>
        <w:drawing>
          <wp:anchor simplePos="0" relativeHeight="251657728" behindDoc="1" locked="0" layoutInCell="0" allowOverlap="1">
            <wp:simplePos x="0" y="0"/>
            <wp:positionH relativeFrom="column">
              <wp:posOffset>2040890</wp:posOffset>
            </wp:positionH>
            <wp:positionV relativeFrom="paragraph">
              <wp:posOffset>-186690</wp:posOffset>
            </wp:positionV>
            <wp:extent cx="288925" cy="33147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88925" cy="331470"/>
                    </a:xfrm>
                    <a:prstGeom prst="rect">
                      <a:avLst/>
                    </a:prstGeom>
                    <a:noFill/>
                  </pic:spPr>
                </pic:pic>
              </a:graphicData>
            </a:graphic>
          </wp:anchor>
        </w:drawing>
      </w:r>
    </w:p>
    <w:p>
      <w:pPr>
        <w:spacing w:after="0" w:line="11" w:lineRule="exact"/>
        <w:rPr>
          <w:sz w:val="20"/>
          <w:szCs w:val="20"/>
          <w:color w:val="auto"/>
        </w:rPr>
      </w:pPr>
    </w:p>
    <w:p>
      <w:pPr>
        <w:jc w:val="center"/>
        <w:ind w:right="1520"/>
        <w:spacing w:after="0"/>
        <w:rPr>
          <w:sz w:val="20"/>
          <w:szCs w:val="20"/>
          <w:color w:val="auto"/>
        </w:rPr>
      </w:pPr>
      <w:r>
        <w:rPr>
          <w:rFonts w:ascii="Arial" w:cs="Arial" w:eastAsia="Arial" w:hAnsi="Arial"/>
          <w:sz w:val="14"/>
          <w:szCs w:val="14"/>
          <w:b w:val="1"/>
          <w:bCs w:val="1"/>
          <w:color w:val="auto"/>
        </w:rPr>
        <w:t>VIEW MATERIALS &amp; VOTE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8" w:lineRule="exact"/>
        <w:rPr>
          <w:sz w:val="20"/>
          <w:szCs w:val="20"/>
          <w:color w:val="auto"/>
        </w:rPr>
      </w:pPr>
    </w:p>
    <w:p>
      <w:pPr>
        <w:jc w:val="both"/>
        <w:ind w:right="40"/>
        <w:spacing w:after="0" w:line="241" w:lineRule="auto"/>
        <w:rPr>
          <w:sz w:val="20"/>
          <w:szCs w:val="20"/>
          <w:color w:val="auto"/>
        </w:rPr>
      </w:pPr>
      <w:r>
        <w:rPr>
          <w:rFonts w:ascii="Arial" w:cs="Arial" w:eastAsia="Arial" w:hAnsi="Arial"/>
          <w:sz w:val="12"/>
          <w:szCs w:val="12"/>
          <w:color w:val="auto"/>
        </w:rPr>
        <w:t>Use any touch-tone telephone to transmit your voting instructions. Have your proxy card available when you call and use the 16-digit control number shown below. Vote by 11:59 p.m. Eastern Time on May 11, 2026 for shares held directly and by 8:00 a.m. Eastern Time on May 7, 2026 for shares held in the Employee Savings Plans as defined on the reverse side of the card.</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8" w:lineRule="exact"/>
        <w:rPr>
          <w:sz w:val="20"/>
          <w:szCs w:val="20"/>
          <w:color w:val="auto"/>
        </w:rPr>
      </w:pPr>
    </w:p>
    <w:p>
      <w:pPr>
        <w:jc w:val="both"/>
        <w:ind w:right="40"/>
        <w:spacing w:after="0" w:line="245"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 Processing, c/o Broadridge, 51 Mercedes Way, Edgewood, NY 11717. Your signed proxy card must be received before the polls close.</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Before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www.proxyvote.com</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or scan the QR Barcode above</w:t>
      </w:r>
    </w:p>
    <w:p>
      <w:pPr>
        <w:spacing w:after="0" w:line="91" w:lineRule="exact"/>
        <w:rPr>
          <w:sz w:val="20"/>
          <w:szCs w:val="20"/>
          <w:color w:val="auto"/>
        </w:rPr>
      </w:pPr>
    </w:p>
    <w:p>
      <w:pPr>
        <w:jc w:val="both"/>
        <w:ind w:right="40"/>
        <w:spacing w:after="0" w:line="244" w:lineRule="auto"/>
        <w:rPr>
          <w:sz w:val="20"/>
          <w:szCs w:val="20"/>
          <w:color w:val="auto"/>
        </w:rPr>
      </w:pPr>
      <w:r>
        <w:rPr>
          <w:rFonts w:ascii="Arial" w:cs="Arial" w:eastAsia="Arial" w:hAnsi="Arial"/>
          <w:sz w:val="12"/>
          <w:szCs w:val="12"/>
          <w:color w:val="auto"/>
        </w:rPr>
        <w:t>Use the Internet to transmit your voting instructions and for electronic delivery of information. Have your proxy card available when you access the website and use the 16-digit control number shown below. Vote by 11:59 p.m. Eastern Time on May 11, 2026 for shares held directly and by 8:00 a.m. Eastern Time on May 7, 2026 for shares held in the Employee Savings Plans as defined on the reverse side of the card.</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During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www.virtualshareholdermeeting.com/SRE2026</w:t>
      </w:r>
    </w:p>
    <w:p>
      <w:pPr>
        <w:spacing w:after="0" w:line="103" w:lineRule="exact"/>
        <w:rPr>
          <w:sz w:val="20"/>
          <w:szCs w:val="20"/>
          <w:color w:val="auto"/>
        </w:rPr>
      </w:pPr>
    </w:p>
    <w:p>
      <w:pPr>
        <w:jc w:val="both"/>
        <w:ind w:right="40"/>
        <w:spacing w:after="0" w:line="279" w:lineRule="auto"/>
        <w:rPr>
          <w:sz w:val="20"/>
          <w:szCs w:val="20"/>
          <w:color w:val="auto"/>
        </w:rPr>
      </w:pPr>
      <w:r>
        <w:rPr>
          <w:rFonts w:ascii="Arial" w:cs="Arial" w:eastAsia="Arial" w:hAnsi="Arial"/>
          <w:sz w:val="12"/>
          <w:szCs w:val="12"/>
          <w:color w:val="auto"/>
        </w:rPr>
        <w:t>You may attend the meeting via the Internet and vote during the meeting. Use the 16-digit control number shown below to log into the meeting site and follow the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80"/>
        <w:spacing w:after="0"/>
        <w:tabs>
          <w:tab w:leader="none" w:pos="2680" w:val="left"/>
        </w:tabs>
        <w:rPr>
          <w:sz w:val="20"/>
          <w:szCs w:val="20"/>
          <w:color w:val="auto"/>
        </w:rPr>
      </w:pPr>
      <w:r>
        <w:rPr>
          <w:rFonts w:ascii="Arial" w:cs="Arial" w:eastAsia="Arial" w:hAnsi="Arial"/>
          <w:sz w:val="12"/>
          <w:szCs w:val="12"/>
          <w:color w:val="auto"/>
        </w:rPr>
        <w:t>V82917-P41321</w:t>
      </w:r>
      <w:r>
        <w:rPr>
          <w:sz w:val="20"/>
          <w:szCs w:val="20"/>
          <w:color w:val="auto"/>
        </w:rPr>
        <w:tab/>
      </w:r>
      <w:r>
        <w:rPr>
          <w:rFonts w:ascii="Arial" w:cs="Arial" w:eastAsia="Arial" w:hAnsi="Arial"/>
          <w:sz w:val="12"/>
          <w:szCs w:val="12"/>
          <w:color w:val="auto"/>
        </w:rPr>
        <w:t>KEEP THIS PORTION FOR YOUR RECORDS</w:t>
      </w:r>
    </w:p>
    <w:p>
      <w:pPr>
        <w:spacing w:after="0" w:line="7" w:lineRule="exact"/>
        <w:rPr>
          <w:sz w:val="20"/>
          <w:szCs w:val="20"/>
          <w:color w:val="auto"/>
        </w:rPr>
      </w:pPr>
    </w:p>
    <w:p>
      <w:pPr>
        <w:sectPr>
          <w:pgSz w:w="11900" w:h="16838" w:orient="portrait"/>
          <w:cols w:equalWidth="0" w:num="2">
            <w:col w:w="5020" w:space="720"/>
            <w:col w:w="5380"/>
          </w:cols>
          <w:pgMar w:left="320" w:top="478" w:right="459" w:bottom="1440" w:gutter="0" w:footer="0" w:header="0"/>
        </w:sectPr>
      </w:pPr>
    </w:p>
    <w:p>
      <w:pPr>
        <w:ind w:left="160"/>
        <w:spacing w:after="0"/>
        <w:rPr>
          <w:sz w:val="20"/>
          <w:szCs w:val="20"/>
          <w:color w:val="auto"/>
        </w:rPr>
      </w:pPr>
      <w:r>
        <w:rPr>
          <w:rFonts w:ascii="Arial" w:cs="Arial" w:eastAsia="Arial" w:hAnsi="Arial"/>
          <w:sz w:val="14"/>
          <w:szCs w:val="14"/>
          <w:b w:val="1"/>
          <w:bCs w:val="1"/>
          <w:color w:val="auto"/>
        </w:rPr>
        <w:t>— — — — — — — — — — — — — — — — — — — — — — — — — — — — — — — — — — — — — — — — — — — — — — — — — — — — — — — — — — — — — — — — </w:t>
      </w:r>
    </w:p>
    <w:p>
      <w:pPr>
        <w:ind w:left="8440"/>
        <w:spacing w:after="0"/>
        <w:rPr>
          <w:sz w:val="20"/>
          <w:szCs w:val="20"/>
          <w:color w:val="auto"/>
        </w:rPr>
      </w:pPr>
      <w:r>
        <w:rPr>
          <w:rFonts w:ascii="Arial" w:cs="Arial" w:eastAsia="Arial" w:hAnsi="Arial"/>
          <w:sz w:val="12"/>
          <w:szCs w:val="12"/>
          <w:color w:val="auto"/>
        </w:rPr>
        <w:t>DETACH AND RETURN THIS PORTION ONLY</w:t>
      </w:r>
    </w:p>
    <w:p>
      <w:pPr>
        <w:spacing w:after="0" w:line="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69215</wp:posOffset>
            </wp:positionV>
            <wp:extent cx="6938010" cy="456057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938010" cy="4560570"/>
                    </a:xfrm>
                    <a:prstGeom prst="rect">
                      <a:avLst/>
                    </a:prstGeom>
                    <a:noFill/>
                  </pic:spPr>
                </pic:pic>
              </a:graphicData>
            </a:graphic>
          </wp:anchor>
        </w:drawing>
      </w:r>
    </w:p>
    <w:p>
      <w:pPr>
        <w:sectPr>
          <w:pgSz w:w="11900" w:h="16838" w:orient="portrait"/>
          <w:cols w:equalWidth="0" w:num="1">
            <w:col w:w="11120"/>
          </w:cols>
          <w:pgMar w:left="320" w:top="478" w:right="459" w:bottom="1440" w:gutter="0" w:footer="0" w:header="0"/>
          <w:type w:val="continuous"/>
        </w:sect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SEMPRA</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 xml:space="preserve">THE BOARD OF DIRECTORS RECOMMENDS A VOTE </w:t>
      </w:r>
      <w:r>
        <w:rPr>
          <w:rFonts w:ascii="Arial" w:cs="Arial" w:eastAsia="Arial" w:hAnsi="Arial"/>
          <w:sz w:val="12"/>
          <w:szCs w:val="12"/>
          <w:b w:val="1"/>
          <w:bCs w:val="1"/>
          <w:u w:val="single" w:color="auto"/>
          <w:color w:val="auto"/>
        </w:rPr>
        <w:t>FOR</w:t>
      </w:r>
    </w:p>
    <w:p>
      <w:pPr>
        <w:spacing w:after="0" w:line="8"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auto"/>
        </w:rPr>
        <w:t>EACH LISTED 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74" w:lineRule="exact"/>
        <w:rPr>
          <w:sz w:val="20"/>
          <w:szCs w:val="20"/>
          <w:color w:val="auto"/>
        </w:rPr>
      </w:pPr>
    </w:p>
    <w:p>
      <w:pPr>
        <w:sectPr>
          <w:pgSz w:w="11900" w:h="16838" w:orient="portrait"/>
          <w:cols w:equalWidth="0" w:num="2">
            <w:col w:w="9580" w:space="720"/>
            <w:col w:w="820"/>
          </w:cols>
          <w:pgMar w:left="320" w:top="478" w:right="459" w:bottom="1440" w:gutter="0" w:footer="0" w:header="0"/>
          <w:type w:val="continuous"/>
        </w:sectPr>
      </w:pPr>
    </w:p>
    <w:p>
      <w:pPr>
        <w:jc w:val="center"/>
        <w:ind w:left="620"/>
        <w:spacing w:after="0"/>
        <w:rPr>
          <w:sz w:val="20"/>
          <w:szCs w:val="20"/>
          <w:color w:val="auto"/>
        </w:rPr>
      </w:pPr>
      <w:r>
        <w:rPr>
          <w:rFonts w:ascii="Arial" w:cs="Arial" w:eastAsia="Arial" w:hAnsi="Arial"/>
          <w:sz w:val="12"/>
          <w:szCs w:val="12"/>
          <w:color w:val="auto"/>
        </w:rPr>
        <w:t>1.    Election of the following 11 director</w:t>
      </w:r>
    </w:p>
    <w:p>
      <w:pPr>
        <w:spacing w:after="0" w:line="8"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nominees:</w:t>
            </w:r>
          </w:p>
        </w:tc>
      </w:tr>
      <w:tr>
        <w:trPr>
          <w:trHeight w:val="336"/>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1a.   Andrés Conesa</w:t>
            </w:r>
          </w:p>
        </w:tc>
      </w:tr>
      <w:tr>
        <w:trPr>
          <w:trHeight w:val="361"/>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1b.   Pablo A. Ferrero</w:t>
            </w:r>
          </w:p>
        </w:tc>
      </w:tr>
      <w:tr>
        <w:trPr>
          <w:trHeight w:val="361"/>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1c.   Jennifer M. Kirk</w:t>
            </w:r>
          </w:p>
        </w:tc>
      </w:tr>
      <w:tr>
        <w:trPr>
          <w:trHeight w:val="361"/>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1d.   Richard J. Mark</w:t>
            </w:r>
          </w:p>
        </w:tc>
      </w:tr>
      <w:tr>
        <w:trPr>
          <w:trHeight w:val="361"/>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1e.   Jeffrey W. Martin</w:t>
            </w:r>
          </w:p>
        </w:tc>
      </w:tr>
      <w:tr>
        <w:trPr>
          <w:trHeight w:val="361"/>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1f.    Michael N. Mears</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640" w:val="left"/>
          <w:tab w:leader="none" w:pos="138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96" w:lineRule="exact"/>
        <w:rPr>
          <w:sz w:val="20"/>
          <w:szCs w:val="20"/>
          <w:color w:val="auto"/>
        </w:rPr>
      </w:pPr>
    </w:p>
    <w:p>
      <w:pPr>
        <w:ind w:left="60"/>
        <w:spacing w:after="0" w:line="121" w:lineRule="exact"/>
        <w:tabs>
          <w:tab w:leader="none" w:pos="800" w:val="left"/>
          <w:tab w:leader="none" w:pos="15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1" w:lineRule="exact"/>
        <w:rPr>
          <w:sz w:val="20"/>
          <w:szCs w:val="20"/>
          <w:color w:val="auto"/>
        </w:rPr>
      </w:pPr>
    </w:p>
    <w:p>
      <w:pPr>
        <w:ind w:left="60"/>
        <w:spacing w:after="0" w:line="121" w:lineRule="exact"/>
        <w:tabs>
          <w:tab w:leader="none" w:pos="800" w:val="left"/>
          <w:tab w:leader="none" w:pos="15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1" w:lineRule="exact"/>
        <w:rPr>
          <w:sz w:val="20"/>
          <w:szCs w:val="20"/>
          <w:color w:val="auto"/>
        </w:rPr>
      </w:pPr>
    </w:p>
    <w:p>
      <w:pPr>
        <w:ind w:left="60"/>
        <w:spacing w:after="0" w:line="121" w:lineRule="exact"/>
        <w:tabs>
          <w:tab w:leader="none" w:pos="800" w:val="left"/>
          <w:tab w:leader="none" w:pos="15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1" w:lineRule="exact"/>
        <w:rPr>
          <w:sz w:val="20"/>
          <w:szCs w:val="20"/>
          <w:color w:val="auto"/>
        </w:rPr>
      </w:pPr>
    </w:p>
    <w:p>
      <w:pPr>
        <w:ind w:left="60"/>
        <w:spacing w:after="0" w:line="121" w:lineRule="exact"/>
        <w:tabs>
          <w:tab w:leader="none" w:pos="800" w:val="left"/>
          <w:tab w:leader="none" w:pos="15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1" w:lineRule="exact"/>
        <w:rPr>
          <w:sz w:val="20"/>
          <w:szCs w:val="20"/>
          <w:color w:val="auto"/>
        </w:rPr>
      </w:pPr>
    </w:p>
    <w:p>
      <w:pPr>
        <w:ind w:left="60"/>
        <w:spacing w:after="0" w:line="121" w:lineRule="exact"/>
        <w:tabs>
          <w:tab w:leader="none" w:pos="800" w:val="left"/>
          <w:tab w:leader="none" w:pos="15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1" w:lineRule="exact"/>
        <w:rPr>
          <w:sz w:val="20"/>
          <w:szCs w:val="20"/>
          <w:color w:val="auto"/>
        </w:rPr>
      </w:pPr>
    </w:p>
    <w:p>
      <w:pPr>
        <w:ind w:left="60"/>
        <w:spacing w:after="0" w:line="121" w:lineRule="exact"/>
        <w:tabs>
          <w:tab w:leader="none" w:pos="800" w:val="left"/>
          <w:tab w:leader="none" w:pos="15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300" w:type="dxa"/>
            <w:vAlign w:val="bottom"/>
            <w:gridSpan w:val="5"/>
          </w:tcPr>
          <w:p>
            <w:pPr>
              <w:spacing w:after="0"/>
              <w:rPr>
                <w:sz w:val="20"/>
                <w:szCs w:val="20"/>
                <w:color w:val="auto"/>
              </w:rPr>
            </w:pPr>
            <w:r>
              <w:rPr>
                <w:rFonts w:ascii="Arial" w:cs="Arial" w:eastAsia="Arial" w:hAnsi="Arial"/>
                <w:sz w:val="12"/>
                <w:szCs w:val="12"/>
                <w:b w:val="1"/>
                <w:bCs w:val="1"/>
                <w:color w:val="auto"/>
              </w:rPr>
              <w:t>THE BOARD OF DIRECTORS RECOMMENDS A</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720" w:type="dxa"/>
            <w:vAlign w:val="bottom"/>
          </w:tcPr>
          <w:p>
            <w:pPr>
              <w:jc w:val="center"/>
              <w:ind w:left="18"/>
              <w:spacing w:after="0"/>
              <w:rPr>
                <w:sz w:val="20"/>
                <w:szCs w:val="20"/>
                <w:color w:val="auto"/>
              </w:rPr>
            </w:pPr>
            <w:r>
              <w:rPr>
                <w:rFonts w:ascii="Arial" w:cs="Arial" w:eastAsia="Arial" w:hAnsi="Arial"/>
                <w:sz w:val="12"/>
                <w:szCs w:val="12"/>
                <w:b w:val="1"/>
                <w:bCs w:val="1"/>
                <w:color w:val="auto"/>
                <w:w w:val="99"/>
              </w:rPr>
              <w:t>Against</w:t>
            </w:r>
          </w:p>
        </w:tc>
        <w:tc>
          <w:tcPr>
            <w:tcW w:w="560" w:type="dxa"/>
            <w:vAlign w:val="bottom"/>
          </w:tcPr>
          <w:p>
            <w:pPr>
              <w:jc w:val="center"/>
              <w:ind w:left="38"/>
              <w:spacing w:after="0"/>
              <w:rPr>
                <w:sz w:val="20"/>
                <w:szCs w:val="20"/>
                <w:color w:val="auto"/>
              </w:rPr>
            </w:pPr>
            <w:r>
              <w:rPr>
                <w:rFonts w:ascii="Arial" w:cs="Arial" w:eastAsia="Arial" w:hAnsi="Arial"/>
                <w:sz w:val="12"/>
                <w:szCs w:val="12"/>
                <w:b w:val="1"/>
                <w:bCs w:val="1"/>
                <w:color w:val="auto"/>
              </w:rPr>
              <w:t>Abstain</w:t>
            </w:r>
          </w:p>
        </w:tc>
        <w:tc>
          <w:tcPr>
            <w:tcW w:w="0" w:type="dxa"/>
            <w:vAlign w:val="bottom"/>
          </w:tcPr>
          <w:p>
            <w:pPr>
              <w:spacing w:after="0"/>
              <w:rPr>
                <w:sz w:val="1"/>
                <w:szCs w:val="1"/>
                <w:color w:val="auto"/>
              </w:rPr>
            </w:pPr>
          </w:p>
        </w:tc>
      </w:tr>
      <w:tr>
        <w:trPr>
          <w:trHeight w:val="138"/>
        </w:trPr>
        <w:tc>
          <w:tcPr>
            <w:tcW w:w="3300" w:type="dxa"/>
            <w:vAlign w:val="bottom"/>
            <w:gridSpan w:val="5"/>
          </w:tcPr>
          <w:p>
            <w:pPr>
              <w:spacing w:after="0"/>
              <w:rPr>
                <w:sz w:val="20"/>
                <w:szCs w:val="20"/>
                <w:color w:val="auto"/>
              </w:rPr>
            </w:pPr>
            <w:r>
              <w:rPr>
                <w:rFonts w:ascii="Arial" w:cs="Arial" w:eastAsia="Arial" w:hAnsi="Arial"/>
                <w:sz w:val="12"/>
                <w:szCs w:val="12"/>
                <w:b w:val="1"/>
                <w:bCs w:val="1"/>
                <w:color w:val="auto"/>
              </w:rPr>
              <w:t>VOTE FOR PROPOSALS 2 AND 3.</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20" w:type="dxa"/>
            <w:vAlign w:val="bottom"/>
            <w:vMerge w:val="restart"/>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vMerge w:val="restart"/>
          </w:tcPr>
          <w:p>
            <w:pPr>
              <w:jc w:val="center"/>
              <w:ind w:left="58"/>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line="20" w:lineRule="exact"/>
              <w:rPr>
                <w:sz w:val="1"/>
                <w:szCs w:val="1"/>
                <w:color w:val="auto"/>
              </w:rPr>
            </w:pPr>
          </w:p>
        </w:tc>
      </w:tr>
      <w:tr>
        <w:trPr>
          <w:trHeight w:val="221"/>
        </w:trPr>
        <w:tc>
          <w:tcPr>
            <w:tcW w:w="140" w:type="dxa"/>
            <w:vAlign w:val="bottom"/>
          </w:tcPr>
          <w:p>
            <w:pPr>
              <w:spacing w:after="0"/>
              <w:rPr>
                <w:sz w:val="20"/>
                <w:szCs w:val="20"/>
                <w:color w:val="auto"/>
              </w:rPr>
            </w:pPr>
            <w:r>
              <w:rPr>
                <w:rFonts w:ascii="Arial" w:cs="Arial" w:eastAsia="Arial" w:hAnsi="Arial"/>
                <w:sz w:val="12"/>
                <w:szCs w:val="12"/>
                <w:color w:val="auto"/>
              </w:rPr>
              <w:t>2.</w:t>
            </w:r>
          </w:p>
        </w:tc>
        <w:tc>
          <w:tcPr>
            <w:tcW w:w="3160" w:type="dxa"/>
            <w:vAlign w:val="bottom"/>
            <w:gridSpan w:val="4"/>
          </w:tcPr>
          <w:p>
            <w:pPr>
              <w:ind w:left="60"/>
              <w:spacing w:after="0"/>
              <w:rPr>
                <w:sz w:val="20"/>
                <w:szCs w:val="20"/>
                <w:color w:val="auto"/>
              </w:rPr>
            </w:pPr>
            <w:r>
              <w:rPr>
                <w:rFonts w:ascii="Arial" w:cs="Arial" w:eastAsia="Arial" w:hAnsi="Arial"/>
                <w:sz w:val="12"/>
                <w:szCs w:val="12"/>
                <w:color w:val="auto"/>
              </w:rPr>
              <w:t>Ratification of appointment of independent registered</w:t>
            </w:r>
          </w:p>
        </w:tc>
        <w:tc>
          <w:tcPr>
            <w:tcW w:w="4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3160" w:type="dxa"/>
            <w:vAlign w:val="bottom"/>
            <w:gridSpan w:val="4"/>
          </w:tcPr>
          <w:p>
            <w:pPr>
              <w:ind w:left="60"/>
              <w:spacing w:after="0"/>
              <w:rPr>
                <w:sz w:val="20"/>
                <w:szCs w:val="20"/>
                <w:color w:val="auto"/>
              </w:rPr>
            </w:pPr>
            <w:r>
              <w:rPr>
                <w:rFonts w:ascii="Arial" w:cs="Arial" w:eastAsia="Arial" w:hAnsi="Arial"/>
                <w:sz w:val="12"/>
                <w:szCs w:val="12"/>
                <w:color w:val="auto"/>
              </w:rPr>
              <w:t>public accounting firm.</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140" w:type="dxa"/>
            <w:vAlign w:val="bottom"/>
          </w:tcPr>
          <w:p>
            <w:pPr>
              <w:spacing w:after="0"/>
              <w:rPr>
                <w:sz w:val="20"/>
                <w:szCs w:val="20"/>
                <w:color w:val="auto"/>
              </w:rPr>
            </w:pPr>
            <w:r>
              <w:rPr>
                <w:rFonts w:ascii="Arial" w:cs="Arial" w:eastAsia="Arial" w:hAnsi="Arial"/>
                <w:sz w:val="12"/>
                <w:szCs w:val="12"/>
                <w:color w:val="auto"/>
              </w:rPr>
              <w:t>3.</w:t>
            </w:r>
          </w:p>
        </w:tc>
        <w:tc>
          <w:tcPr>
            <w:tcW w:w="3160" w:type="dxa"/>
            <w:vAlign w:val="bottom"/>
            <w:gridSpan w:val="4"/>
          </w:tcPr>
          <w:p>
            <w:pPr>
              <w:ind w:left="60"/>
              <w:spacing w:after="0"/>
              <w:rPr>
                <w:sz w:val="20"/>
                <w:szCs w:val="20"/>
                <w:color w:val="auto"/>
              </w:rPr>
            </w:pPr>
            <w:r>
              <w:rPr>
                <w:rFonts w:ascii="Arial" w:cs="Arial" w:eastAsia="Arial" w:hAnsi="Arial"/>
                <w:sz w:val="12"/>
                <w:szCs w:val="12"/>
                <w:color w:val="auto"/>
              </w:rPr>
              <w:t>Advisory approval of our executive compensation.</w:t>
            </w:r>
          </w:p>
        </w:tc>
        <w:tc>
          <w:tcPr>
            <w:tcW w:w="48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20" w:type="dxa"/>
            <w:vAlign w:val="bottom"/>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tcPr>
          <w:p>
            <w:pPr>
              <w:jc w:val="center"/>
              <w:ind w:left="58"/>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301"/>
        </w:trPr>
        <w:tc>
          <w:tcPr>
            <w:tcW w:w="3300" w:type="dxa"/>
            <w:vAlign w:val="bottom"/>
            <w:gridSpan w:val="5"/>
          </w:tcPr>
          <w:p>
            <w:pPr>
              <w:spacing w:after="0"/>
              <w:rPr>
                <w:sz w:val="20"/>
                <w:szCs w:val="20"/>
                <w:color w:val="auto"/>
              </w:rPr>
            </w:pPr>
            <w:r>
              <w:rPr>
                <w:rFonts w:ascii="Arial" w:cs="Arial" w:eastAsia="Arial" w:hAnsi="Arial"/>
                <w:sz w:val="12"/>
                <w:szCs w:val="12"/>
                <w:b w:val="1"/>
                <w:bCs w:val="1"/>
                <w:color w:val="auto"/>
              </w:rPr>
              <w:t>THE BOARD OF DIRECTORS RECOMMENDS A</w:t>
            </w: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720" w:type="dxa"/>
            <w:vAlign w:val="bottom"/>
          </w:tcPr>
          <w:p>
            <w:pPr>
              <w:jc w:val="center"/>
              <w:ind w:left="18"/>
              <w:spacing w:after="0"/>
              <w:rPr>
                <w:sz w:val="20"/>
                <w:szCs w:val="20"/>
                <w:color w:val="auto"/>
              </w:rPr>
            </w:pPr>
            <w:r>
              <w:rPr>
                <w:rFonts w:ascii="Arial" w:cs="Arial" w:eastAsia="Arial" w:hAnsi="Arial"/>
                <w:sz w:val="12"/>
                <w:szCs w:val="12"/>
                <w:b w:val="1"/>
                <w:bCs w:val="1"/>
                <w:color w:val="auto"/>
                <w:w w:val="99"/>
              </w:rPr>
              <w:t>Against</w:t>
            </w:r>
          </w:p>
        </w:tc>
        <w:tc>
          <w:tcPr>
            <w:tcW w:w="560" w:type="dxa"/>
            <w:vAlign w:val="bottom"/>
          </w:tcPr>
          <w:p>
            <w:pPr>
              <w:jc w:val="center"/>
              <w:ind w:left="38"/>
              <w:spacing w:after="0"/>
              <w:rPr>
                <w:sz w:val="20"/>
                <w:szCs w:val="20"/>
                <w:color w:val="auto"/>
              </w:rPr>
            </w:pPr>
            <w:r>
              <w:rPr>
                <w:rFonts w:ascii="Arial" w:cs="Arial" w:eastAsia="Arial" w:hAnsi="Arial"/>
                <w:sz w:val="12"/>
                <w:szCs w:val="12"/>
                <w:b w:val="1"/>
                <w:bCs w:val="1"/>
                <w:color w:val="auto"/>
              </w:rPr>
              <w:t>Abstain</w:t>
            </w:r>
          </w:p>
        </w:tc>
        <w:tc>
          <w:tcPr>
            <w:tcW w:w="0" w:type="dxa"/>
            <w:vAlign w:val="bottom"/>
          </w:tcPr>
          <w:p>
            <w:pPr>
              <w:spacing w:after="0"/>
              <w:rPr>
                <w:sz w:val="1"/>
                <w:szCs w:val="1"/>
                <w:color w:val="auto"/>
              </w:rPr>
            </w:pPr>
          </w:p>
        </w:tc>
      </w:tr>
      <w:tr>
        <w:trPr>
          <w:trHeight w:val="138"/>
        </w:trPr>
        <w:tc>
          <w:tcPr>
            <w:tcW w:w="3300" w:type="dxa"/>
            <w:vAlign w:val="bottom"/>
            <w:gridSpan w:val="5"/>
          </w:tcPr>
          <w:p>
            <w:pPr>
              <w:spacing w:after="0"/>
              <w:rPr>
                <w:sz w:val="20"/>
                <w:szCs w:val="20"/>
                <w:color w:val="auto"/>
              </w:rPr>
            </w:pPr>
            <w:r>
              <w:rPr>
                <w:rFonts w:ascii="Arial" w:cs="Arial" w:eastAsia="Arial" w:hAnsi="Arial"/>
                <w:sz w:val="12"/>
                <w:szCs w:val="12"/>
                <w:b w:val="1"/>
                <w:bCs w:val="1"/>
                <w:color w:val="auto"/>
              </w:rPr>
              <w:t>VOTE AGAINST PROPOSAL 4.</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vMerge w:val="restart"/>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720" w:type="dxa"/>
            <w:vAlign w:val="bottom"/>
            <w:vMerge w:val="restart"/>
          </w:tcPr>
          <w:p>
            <w:pPr>
              <w:jc w:val="center"/>
              <w:ind w:left="18"/>
              <w:spacing w:after="0" w:line="121" w:lineRule="exact"/>
              <w:rPr>
                <w:sz w:val="20"/>
                <w:szCs w:val="20"/>
                <w:color w:val="auto"/>
              </w:rPr>
            </w:pPr>
            <w:r>
              <w:rPr>
                <w:rFonts w:ascii="MS PGothic" w:cs="MS PGothic" w:eastAsia="MS PGothic" w:hAnsi="MS PGothic"/>
                <w:sz w:val="12"/>
                <w:szCs w:val="12"/>
                <w:color w:val="auto"/>
                <w:w w:val="99"/>
              </w:rPr>
              <w:t>☐</w:t>
            </w:r>
          </w:p>
        </w:tc>
        <w:tc>
          <w:tcPr>
            <w:tcW w:w="560" w:type="dxa"/>
            <w:vAlign w:val="bottom"/>
            <w:vMerge w:val="restart"/>
          </w:tcPr>
          <w:p>
            <w:pPr>
              <w:jc w:val="center"/>
              <w:ind w:left="58"/>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line="20" w:lineRule="exact"/>
              <w:rPr>
                <w:sz w:val="1"/>
                <w:szCs w:val="1"/>
                <w:color w:val="auto"/>
              </w:rPr>
            </w:pPr>
          </w:p>
        </w:tc>
      </w:tr>
      <w:tr>
        <w:trPr>
          <w:trHeight w:val="221"/>
        </w:trPr>
        <w:tc>
          <w:tcPr>
            <w:tcW w:w="140" w:type="dxa"/>
            <w:vAlign w:val="bottom"/>
          </w:tcPr>
          <w:p>
            <w:pPr>
              <w:spacing w:after="0"/>
              <w:rPr>
                <w:sz w:val="20"/>
                <w:szCs w:val="20"/>
                <w:color w:val="auto"/>
              </w:rPr>
            </w:pPr>
            <w:r>
              <w:rPr>
                <w:rFonts w:ascii="Arial" w:cs="Arial" w:eastAsia="Arial" w:hAnsi="Arial"/>
                <w:sz w:val="12"/>
                <w:szCs w:val="12"/>
                <w:color w:val="auto"/>
              </w:rPr>
              <w:t>4.</w:t>
            </w:r>
          </w:p>
        </w:tc>
        <w:tc>
          <w:tcPr>
            <w:tcW w:w="3160" w:type="dxa"/>
            <w:vAlign w:val="bottom"/>
            <w:gridSpan w:val="4"/>
          </w:tcPr>
          <w:p>
            <w:pPr>
              <w:ind w:left="60"/>
              <w:spacing w:after="0"/>
              <w:rPr>
                <w:sz w:val="20"/>
                <w:szCs w:val="20"/>
                <w:color w:val="auto"/>
              </w:rPr>
            </w:pPr>
            <w:r>
              <w:rPr>
                <w:rFonts w:ascii="Arial" w:cs="Arial" w:eastAsia="Arial" w:hAnsi="Arial"/>
                <w:sz w:val="12"/>
                <w:szCs w:val="12"/>
                <w:color w:val="auto"/>
              </w:rPr>
              <w:t>Shareholder  proposal  requesting  an  independent</w:t>
            </w:r>
          </w:p>
        </w:tc>
        <w:tc>
          <w:tcPr>
            <w:tcW w:w="48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3160" w:type="dxa"/>
            <w:vAlign w:val="bottom"/>
            <w:gridSpan w:val="4"/>
          </w:tcPr>
          <w:p>
            <w:pPr>
              <w:ind w:left="60"/>
              <w:spacing w:after="0"/>
              <w:rPr>
                <w:sz w:val="20"/>
                <w:szCs w:val="20"/>
                <w:color w:val="auto"/>
              </w:rPr>
            </w:pPr>
            <w:r>
              <w:rPr>
                <w:rFonts w:ascii="Arial" w:cs="Arial" w:eastAsia="Arial" w:hAnsi="Arial"/>
                <w:sz w:val="12"/>
                <w:szCs w:val="12"/>
                <w:color w:val="auto"/>
              </w:rPr>
              <w:t>board chairman</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ectPr>
          <w:pgSz w:w="11900" w:h="16838" w:orient="portrait"/>
          <w:cols w:equalWidth="0" w:num="3">
            <w:col w:w="2780" w:space="640"/>
            <w:col w:w="1860" w:space="460"/>
            <w:col w:w="5380"/>
          </w:cols>
          <w:pgMar w:left="320" w:top="478" w:right="459" w:bottom="1440" w:gutter="0" w:footer="0" w:header="0"/>
          <w:type w:val="continuous"/>
        </w:sectPr>
      </w:pPr>
    </w:p>
    <w:p>
      <w:pPr>
        <w:spacing w:after="0" w:line="188"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1g.   Kevin C. Sagara</w:t>
            </w:r>
          </w:p>
        </w:tc>
      </w:tr>
      <w:tr>
        <w:trPr>
          <w:trHeight w:val="361"/>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1h.   Jack T. Taylor</w:t>
            </w:r>
          </w:p>
        </w:tc>
      </w:tr>
      <w:tr>
        <w:trPr>
          <w:trHeight w:val="361"/>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w w:val="98"/>
              </w:rPr>
              <w:t>1i.    Cynthia J. Warner</w:t>
            </w:r>
          </w:p>
        </w:tc>
      </w:tr>
      <w:tr>
        <w:trPr>
          <w:trHeight w:val="361"/>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rPr>
              <w:t>1j.    Anya Weaving</w:t>
            </w:r>
          </w:p>
        </w:tc>
      </w:tr>
      <w:tr>
        <w:trPr>
          <w:trHeight w:val="361"/>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280" w:type="dxa"/>
            <w:vAlign w:val="bottom"/>
          </w:tcPr>
          <w:p>
            <w:pPr>
              <w:ind w:left="40"/>
              <w:spacing w:after="0"/>
              <w:rPr>
                <w:sz w:val="20"/>
                <w:szCs w:val="20"/>
                <w:color w:val="auto"/>
              </w:rPr>
            </w:pPr>
            <w:r>
              <w:rPr>
                <w:rFonts w:ascii="Arial" w:cs="Arial" w:eastAsia="Arial" w:hAnsi="Arial"/>
                <w:sz w:val="12"/>
                <w:szCs w:val="12"/>
                <w:color w:val="auto"/>
                <w:w w:val="98"/>
              </w:rPr>
              <w:t>1k.   James C. Yardley</w:t>
            </w: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21" w:lineRule="exact"/>
        <w:tabs>
          <w:tab w:leader="none" w:pos="740" w:val="left"/>
          <w:tab w:leader="none" w:pos="15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1" w:lineRule="exact"/>
        <w:rPr>
          <w:sz w:val="20"/>
          <w:szCs w:val="20"/>
          <w:color w:val="auto"/>
        </w:rPr>
      </w:pPr>
    </w:p>
    <w:p>
      <w:pPr>
        <w:spacing w:after="0" w:line="121" w:lineRule="exact"/>
        <w:tabs>
          <w:tab w:leader="none" w:pos="740" w:val="left"/>
          <w:tab w:leader="none" w:pos="15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1" w:lineRule="exact"/>
        <w:rPr>
          <w:sz w:val="20"/>
          <w:szCs w:val="20"/>
          <w:color w:val="auto"/>
        </w:rPr>
      </w:pPr>
    </w:p>
    <w:p>
      <w:pPr>
        <w:spacing w:after="0" w:line="121" w:lineRule="exact"/>
        <w:tabs>
          <w:tab w:leader="none" w:pos="740" w:val="left"/>
          <w:tab w:leader="none" w:pos="15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1" w:lineRule="exact"/>
        <w:rPr>
          <w:sz w:val="20"/>
          <w:szCs w:val="20"/>
          <w:color w:val="auto"/>
        </w:rPr>
      </w:pPr>
    </w:p>
    <w:p>
      <w:pPr>
        <w:spacing w:after="0" w:line="121" w:lineRule="exact"/>
        <w:tabs>
          <w:tab w:leader="none" w:pos="740" w:val="left"/>
          <w:tab w:leader="none" w:pos="15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41" w:lineRule="exact"/>
        <w:rPr>
          <w:sz w:val="20"/>
          <w:szCs w:val="20"/>
          <w:color w:val="auto"/>
        </w:rPr>
      </w:pPr>
    </w:p>
    <w:p>
      <w:pPr>
        <w:spacing w:after="0" w:line="121" w:lineRule="exact"/>
        <w:tabs>
          <w:tab w:leader="none" w:pos="740" w:val="left"/>
          <w:tab w:leader="none" w:pos="15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jc w:val="both"/>
        <w:ind w:left="205" w:hanging="205"/>
        <w:spacing w:after="0" w:line="241" w:lineRule="auto"/>
        <w:tabs>
          <w:tab w:leader="none" w:pos="205" w:val="left"/>
        </w:tabs>
        <w:numPr>
          <w:ilvl w:val="0"/>
          <w:numId w:val="181"/>
        </w:numPr>
        <w:rPr>
          <w:rFonts w:ascii="Arial" w:cs="Arial" w:eastAsia="Arial" w:hAnsi="Arial"/>
          <w:sz w:val="12"/>
          <w:szCs w:val="12"/>
          <w:color w:val="auto"/>
        </w:rPr>
      </w:pPr>
      <w:r>
        <w:rPr>
          <w:rFonts w:ascii="Arial" w:cs="Arial" w:eastAsia="Arial" w:hAnsi="Arial"/>
          <w:sz w:val="12"/>
          <w:szCs w:val="12"/>
          <w:color w:val="auto"/>
        </w:rPr>
        <w:t>Consideration of any other matters that may properly come before the meeting and any adjournment or postponement of the meeting, on which the proxy holders may vote in their discretion</w:t>
      </w:r>
    </w:p>
    <w:p>
      <w:pPr>
        <w:spacing w:after="0" w:line="183" w:lineRule="exact"/>
        <w:rPr>
          <w:sz w:val="20"/>
          <w:szCs w:val="20"/>
          <w:color w:val="auto"/>
        </w:rPr>
      </w:pPr>
    </w:p>
    <w:p>
      <w:pPr>
        <w:jc w:val="both"/>
        <w:ind w:left="5"/>
        <w:spacing w:after="0" w:line="242" w:lineRule="auto"/>
        <w:rPr>
          <w:sz w:val="20"/>
          <w:szCs w:val="20"/>
          <w:color w:val="auto"/>
        </w:rPr>
      </w:pPr>
      <w:r>
        <w:rPr>
          <w:rFonts w:ascii="Arial" w:cs="Arial" w:eastAsia="Arial" w:hAnsi="Arial"/>
          <w:sz w:val="12"/>
          <w:szCs w:val="12"/>
          <w:b w:val="1"/>
          <w:bCs w:val="1"/>
          <w:color w:val="auto"/>
        </w:rPr>
        <w:t>THIS PROXY WHEN PROPERLY EXECUTED WILL BE VOTED IN THE MANNER DIRECTED HEREIN BY THE UNDERSIGNED SHAREHOLDER(S). IF PROPERLY EXECUTED BUT NO DIRECTION IS MADE, THIS PROXY WILL BE VOTED “FOR” ALL NOMINEES LISTED IN ITEM 1, “FOR” ITEMS 2 AND 3, AND “AGAINST” ITEM 4.</w:t>
      </w:r>
    </w:p>
    <w:p>
      <w:pPr>
        <w:spacing w:after="0" w:line="203" w:lineRule="exact"/>
        <w:rPr>
          <w:sz w:val="20"/>
          <w:szCs w:val="20"/>
          <w:color w:val="auto"/>
        </w:rPr>
      </w:pPr>
    </w:p>
    <w:p>
      <w:pPr>
        <w:ind w:left="5"/>
        <w:spacing w:after="0"/>
        <w:rPr>
          <w:sz w:val="20"/>
          <w:szCs w:val="20"/>
          <w:color w:val="auto"/>
        </w:rPr>
      </w:pPr>
      <w:r>
        <w:rPr>
          <w:rFonts w:ascii="Arial" w:cs="Arial" w:eastAsia="Arial" w:hAnsi="Arial"/>
          <w:sz w:val="12"/>
          <w:szCs w:val="12"/>
          <w:color w:val="auto"/>
        </w:rPr>
        <w:t>Please indicate if you want confidential 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Yes</w:t>
      </w:r>
      <w:r>
        <w:rPr>
          <w:sz w:val="20"/>
          <w:szCs w:val="20"/>
          <w:color w:val="auto"/>
        </w:rPr>
        <w:tab/>
      </w:r>
      <w:r>
        <w:rPr>
          <w:rFonts w:ascii="Arial" w:cs="Arial" w:eastAsia="Arial" w:hAnsi="Arial"/>
          <w:sz w:val="12"/>
          <w:szCs w:val="12"/>
          <w:b w:val="1"/>
          <w:bCs w:val="1"/>
          <w:color w:val="auto"/>
        </w:rPr>
        <w:t>No</w:t>
      </w:r>
    </w:p>
    <w:p>
      <w:pPr>
        <w:spacing w:after="0" w:line="89" w:lineRule="exact"/>
        <w:rPr>
          <w:sz w:val="20"/>
          <w:szCs w:val="20"/>
          <w:color w:val="auto"/>
        </w:rPr>
      </w:pPr>
    </w:p>
    <w:p>
      <w:pPr>
        <w:ind w:left="60"/>
        <w:spacing w:after="0" w:line="121" w:lineRule="exact"/>
        <w:tabs>
          <w:tab w:leader="none" w:pos="68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231" w:lineRule="exact"/>
        <w:rPr>
          <w:sz w:val="20"/>
          <w:szCs w:val="20"/>
          <w:color w:val="auto"/>
        </w:rPr>
      </w:pPr>
    </w:p>
    <w:p>
      <w:pPr>
        <w:sectPr>
          <w:pgSz w:w="11900" w:h="16838" w:orient="portrait"/>
          <w:cols w:equalWidth="0" w:num="4">
            <w:col w:w="2760" w:space="720"/>
            <w:col w:w="1640" w:space="615"/>
            <w:col w:w="3185" w:space="240"/>
            <w:col w:w="1960"/>
          </w:cols>
          <w:pgMar w:left="320" w:top="478" w:right="45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both"/>
        <w:ind w:left="360" w:right="520"/>
        <w:spacing w:after="0" w:line="245"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Please sign exactly as your name or names appear(s) on this Proxy. When shares are held jointly, each holder should sign. When signing as executor, administrator, attorney, trustee or guardian,</w:t>
      </w:r>
      <w:r>
        <w:rPr>
          <w:rFonts w:ascii="Arial" w:cs="Arial" w:eastAsia="Arial" w:hAnsi="Arial"/>
          <w:sz w:val="12"/>
          <w:szCs w:val="12"/>
          <w:b w:val="1"/>
          <w:bCs w:val="1"/>
          <w:color w:val="auto"/>
        </w:rPr>
        <w:t xml:space="preserve"> </w:t>
      </w:r>
      <w:r>
        <w:rPr>
          <w:rFonts w:ascii="Arial" w:cs="Arial" w:eastAsia="Arial" w:hAnsi="Arial"/>
          <w:sz w:val="12"/>
          <w:szCs w:val="12"/>
          <w:color w:val="auto"/>
        </w:rPr>
        <w:t>please give full title as such. If the signer is a corporation, please sign full corporate name by duly authorized officer, giving full title as such. If signer is a partnership, please sign in partnership name by authorized person.</w:t>
      </w:r>
    </w:p>
    <w:p>
      <w:pPr>
        <w:spacing w:after="0" w:line="200" w:lineRule="exact"/>
        <w:rPr>
          <w:sz w:val="20"/>
          <w:szCs w:val="20"/>
          <w:color w:val="auto"/>
        </w:rPr>
      </w:pPr>
    </w:p>
    <w:p>
      <w:pPr>
        <w:spacing w:after="0" w:line="212" w:lineRule="exact"/>
        <w:rPr>
          <w:sz w:val="20"/>
          <w:szCs w:val="20"/>
          <w:color w:val="auto"/>
        </w:rPr>
      </w:pPr>
    </w:p>
    <w:p>
      <w:pPr>
        <w:ind w:left="360"/>
        <w:spacing w:after="0"/>
        <w:tabs>
          <w:tab w:leader="none" w:pos="3620" w:val="left"/>
          <w:tab w:leader="none" w:pos="5840" w:val="left"/>
          <w:tab w:leader="none" w:pos="902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 xml:space="preserve">Date       </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120"/>
          </w:cols>
          <w:pgMar w:left="320" w:top="478" w:right="45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Sempra Annual Shareholders Meeting Information</w:t>
      </w:r>
    </w:p>
    <w:p>
      <w:pPr>
        <w:spacing w:after="0" w:line="106"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Tuesday, May 12, 2026</w:t>
      </w:r>
    </w:p>
    <w:p>
      <w:pPr>
        <w:spacing w:after="0" w:line="106"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9:00 a.m. Pacific Time</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Virtual meeting at www.virtualshareholdermeeting.com/SRE2026</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To be admitted to the meeting, you must enter the 16-digit control number shown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on the reverse side of this proxy card.</w:t>
      </w: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Annual Shareholders Meeting:</w:t>
      </w:r>
    </w:p>
    <w:p>
      <w:pPr>
        <w:spacing w:after="0" w:line="86"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The Notice and Proxy Statement and Annual Report are available at www.proxyvote.com with</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21"/>
          <w:szCs w:val="21"/>
          <w:color w:val="auto"/>
        </w:rPr>
        <w:t>the 16-digit control number shown on the reverse side of this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 — — — — — — — — — — — — — — — — — — — —  — — — — — — — — — — — — — — — — — — — — — — — — — — — — — — — — — — — — — — — — — — </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V82918-P41321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43815</wp:posOffset>
            </wp:positionV>
            <wp:extent cx="6929755" cy="394017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929755" cy="394017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SEMPRA</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ANNUAL SHAREHOLDERS MEETING –– May 12, 2026</w:t>
      </w:r>
    </w:p>
    <w:p>
      <w:pPr>
        <w:spacing w:after="0" w:line="1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08" w:lineRule="exact"/>
        <w:rPr>
          <w:sz w:val="20"/>
          <w:szCs w:val="20"/>
          <w:color w:val="auto"/>
        </w:rPr>
      </w:pPr>
    </w:p>
    <w:p>
      <w:pPr>
        <w:jc w:val="both"/>
        <w:ind w:left="420" w:right="260"/>
        <w:spacing w:after="0" w:line="241" w:lineRule="auto"/>
        <w:rPr>
          <w:sz w:val="20"/>
          <w:szCs w:val="20"/>
          <w:color w:val="auto"/>
        </w:rPr>
      </w:pPr>
      <w:r>
        <w:rPr>
          <w:rFonts w:ascii="Arial" w:cs="Arial" w:eastAsia="Arial" w:hAnsi="Arial"/>
          <w:sz w:val="18"/>
          <w:szCs w:val="18"/>
          <w:b w:val="1"/>
          <w:bCs w:val="1"/>
          <w:color w:val="auto"/>
        </w:rPr>
        <w:t>As an alternative to completing this form, you may submit your voting instructions by telephone at 1-800-690-6903 or via the Internet at www.proxyvote.com, following the simple instructions. Use the 16-digit control number shown on the reverse side of this proxy card. If you vote by telephone or by Internet, do not mail this proxy card. The telephone and Internet voting facilities will close at 11:59 p.m. Eastern Time on May 11, 2026. Note: If you hold shares as a participant in the Employee Savings Plans (as defined below), your proxy voting instructions must be received no later than 8:00 a.m. Eastern Time on May 7, 2026.</w:t>
      </w:r>
    </w:p>
    <w:p>
      <w:pPr>
        <w:spacing w:after="0" w:line="171" w:lineRule="exact"/>
        <w:rPr>
          <w:sz w:val="20"/>
          <w:szCs w:val="20"/>
          <w:color w:val="auto"/>
        </w:rPr>
      </w:pPr>
    </w:p>
    <w:p>
      <w:pPr>
        <w:jc w:val="both"/>
        <w:ind w:left="420" w:right="260"/>
        <w:spacing w:after="0"/>
        <w:rPr>
          <w:sz w:val="20"/>
          <w:szCs w:val="20"/>
          <w:color w:val="auto"/>
        </w:rPr>
      </w:pPr>
      <w:r>
        <w:rPr>
          <w:rFonts w:ascii="Arial" w:cs="Arial" w:eastAsia="Arial" w:hAnsi="Arial"/>
          <w:sz w:val="18"/>
          <w:szCs w:val="18"/>
          <w:color w:val="auto"/>
        </w:rPr>
        <w:t>DIANA L. DAY, LISA LARROQUE ALEXANDER, AND KAREN L. SEDGWICK, jointly or individually and each with full power to act without the others and each with full power of substitution, are authorized to represent and vote the shares of the undersigned at the Sempra 2026 Annual Shareholders Meeting and at any adjournment or postponement thereof, in the manner directed on the reverse side of this card and in their discretion on all other matters that may properly come before the meeting and any adjournment or postponement thereof.</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you are a participant in the Sempra Savings Plan, Southern California Gas Company Retirement Savings Plan or San Diego Gas</w:t>
      </w:r>
    </w:p>
    <w:p>
      <w:pPr>
        <w:spacing w:after="0" w:line="12" w:lineRule="exact"/>
        <w:rPr>
          <w:sz w:val="20"/>
          <w:szCs w:val="20"/>
          <w:color w:val="auto"/>
        </w:rPr>
      </w:pPr>
    </w:p>
    <w:p>
      <w:pPr>
        <w:jc w:val="both"/>
        <w:ind w:left="420" w:right="260" w:firstLine="8"/>
        <w:spacing w:after="0" w:line="237" w:lineRule="auto"/>
        <w:tabs>
          <w:tab w:leader="none" w:pos="62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Electric Company Savings Plan (collectively, the “Employee Savings Plans”), this proxy card constitutes your instructions to T. Rowe Price, the Employee Savings Plans’ trustee, as to how to vote the shares of Sempra common stock in your plan accounts. If you do not submit valid and timely voting instructions, Newport Trust Company, the independent fiduciary and investment manager for the Sempra common stock in your plan accounts, will direct the vote of the shares in its discretion.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Address changes and comments can be directed to Sempra’s Investor Relations Department at </w:t>
      </w:r>
      <w:r>
        <w:rPr>
          <w:rFonts w:ascii="Arial" w:cs="Arial" w:eastAsia="Arial" w:hAnsi="Arial"/>
          <w:sz w:val="18"/>
          <w:szCs w:val="18"/>
          <w:u w:val="single" w:color="auto"/>
          <w:color w:val="auto"/>
        </w:rPr>
        <w:t>Investor@sempra.com</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80"/>
      </w:cols>
      <w:pgMar w:left="320" w:top="47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
      <w:numFmt w:val="bullet"/>
      <w:start w:val="1"/>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
      <w:numFmt w:val="bullet"/>
      <w:start w:val="1"/>
    </w:lvl>
  </w:abstractNum>
  <w:abstractNum w:abstractNumId="6">
    <w:nsid w:val="26F324BA"/>
    <w:multiLevelType w:val="hybridMultilevel"/>
    <w:lvl w:ilvl="0">
      <w:lvlJc w:val="left"/>
      <w:lvlText w:val="(%1)"/>
      <w:numFmt w:val="upperLetter"/>
      <w:start w:val="1"/>
    </w:lvl>
  </w:abstractNum>
  <w:abstractNum w:abstractNumId="7">
    <w:nsid w:val="7F01579B"/>
    <w:multiLevelType w:val="hybridMultilevel"/>
    <w:lvl w:ilvl="0">
      <w:lvlJc w:val="left"/>
      <w:lvlText w:val="•"/>
      <w:numFmt w:val="bullet"/>
      <w:start w:val="1"/>
    </w:lvl>
  </w:abstractNum>
  <w:abstractNum w:abstractNumId="8">
    <w:nsid w:val="49DA307D"/>
    <w:multiLevelType w:val="hybridMultilevel"/>
    <w:lvl w:ilvl="0">
      <w:lvlJc w:val="left"/>
      <w:lvlText w:val="•"/>
      <w:numFmt w:val="bullet"/>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1"/>
      <w:numFmt w:val="bullet"/>
      <w:start w:val="1"/>
    </w:lvl>
  </w:abstractNum>
  <w:abstractNum w:abstractNumId="11">
    <w:nsid w:val="50801EE1"/>
    <w:multiLevelType w:val="hybridMultilevel"/>
    <w:lvl w:ilvl="0">
      <w:lvlJc w:val="left"/>
      <w:lvlText w:val="2"/>
      <w:numFmt w:val="bullet"/>
      <w:start w:val="1"/>
    </w:lvl>
  </w:abstractNum>
  <w:abstractNum w:abstractNumId="12">
    <w:nsid w:val="488AC1A"/>
    <w:multiLevelType w:val="hybridMultilevel"/>
    <w:lvl w:ilvl="0">
      <w:lvlJc w:val="left"/>
      <w:lvlText w:val="3"/>
      <w:numFmt w:val="bullet"/>
      <w:start w:val="1"/>
    </w:lvl>
  </w:abstractNum>
  <w:abstractNum w:abstractNumId="13">
    <w:nsid w:val="5FB8011C"/>
    <w:multiLevelType w:val="hybridMultilevel"/>
    <w:lvl w:ilvl="0">
      <w:lvlJc w:val="left"/>
      <w:lvlText w:val="4"/>
      <w:numFmt w:val="bullet"/>
      <w:start w:val="1"/>
    </w:lvl>
  </w:abstractNum>
  <w:abstractNum w:abstractNumId="14">
    <w:nsid w:val="6AA78F7F"/>
    <w:multiLevelType w:val="hybridMultilevel"/>
    <w:lvl w:ilvl="0">
      <w:lvlJc w:val="left"/>
      <w:lvlText w:val="5"/>
      <w:numFmt w:val="bullet"/>
      <w:start w:val="1"/>
    </w:lvl>
  </w:abstractNum>
  <w:abstractNum w:abstractNumId="15">
    <w:nsid w:val="7672BD23"/>
    <w:multiLevelType w:val="hybridMultilevel"/>
    <w:lvl w:ilvl="0">
      <w:lvlJc w:val="left"/>
      <w:lvlText w:val="(%1)"/>
      <w:numFmt w:val="decimal"/>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1)"/>
      <w:numFmt w:val="decimal"/>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
      <w:numFmt w:val="bullet"/>
      <w:start w:val="1"/>
    </w:lvl>
  </w:abstractNum>
  <w:abstractNum w:abstractNumId="27">
    <w:nsid w:val="9DAF632"/>
    <w:multiLevelType w:val="hybridMultilevel"/>
    <w:lvl w:ilvl="0">
      <w:lvlJc w:val="left"/>
      <w:lvlText w:val="•"/>
      <w:numFmt w:val="bullet"/>
      <w:start w:val="1"/>
    </w:lvl>
  </w:abstractNum>
  <w:abstractNum w:abstractNumId="28">
    <w:nsid w:val="53299938"/>
    <w:multiLevelType w:val="hybridMultilevel"/>
    <w:lvl w:ilvl="0">
      <w:lvlJc w:val="left"/>
      <w:lvlText w:val="•"/>
      <w:numFmt w:val="bullet"/>
      <w:start w:val="1"/>
    </w:lvl>
  </w:abstractNum>
  <w:abstractNum w:abstractNumId="29">
    <w:nsid w:val="1FBFE8E0"/>
    <w:multiLevelType w:val="hybridMultilevel"/>
    <w:lvl w:ilvl="0">
      <w:lvlJc w:val="left"/>
      <w:lvlText w:val="(%1)"/>
      <w:numFmt w:val="decimal"/>
      <w:start w:val="1"/>
    </w:lvl>
  </w:abstractNum>
  <w:abstractNum w:abstractNumId="30">
    <w:nsid w:val="5092CA79"/>
    <w:multiLevelType w:val="hybridMultilevel"/>
    <w:lvl w:ilvl="0">
      <w:lvlJc w:val="left"/>
      <w:lvlText w:val="(%1)"/>
      <w:numFmt w:val="decimal"/>
      <w:start w:val="1"/>
    </w:lvl>
  </w:abstractNum>
  <w:abstractNum w:abstractNumId="31">
    <w:nsid w:val="1D545C4D"/>
    <w:multiLevelType w:val="hybridMultilevel"/>
    <w:lvl w:ilvl="0">
      <w:lvlJc w:val="left"/>
      <w:lvlText w:val="•"/>
      <w:numFmt w:val="bullet"/>
      <w:start w:val="1"/>
    </w:lvl>
  </w:abstractNum>
  <w:abstractNum w:abstractNumId="32">
    <w:nsid w:val="59ADEA3D"/>
    <w:multiLevelType w:val="hybridMultilevel"/>
    <w:lvl w:ilvl="0">
      <w:lvlJc w:val="left"/>
      <w:lvlText w:val="•"/>
      <w:numFmt w:val="bullet"/>
      <w:start w:val="1"/>
    </w:lvl>
  </w:abstractNum>
  <w:abstractNum w:abstractNumId="33">
    <w:nsid w:val="288F1A34"/>
    <w:multiLevelType w:val="hybridMultilevel"/>
    <w:lvl w:ilvl="0">
      <w:lvlJc w:val="left"/>
      <w:lvlText w:val="•"/>
      <w:numFmt w:val="bullet"/>
      <w:start w:val="1"/>
    </w:lvl>
  </w:abstractNum>
  <w:abstractNum w:abstractNumId="34">
    <w:nsid w:val="2A155DBC"/>
    <w:multiLevelType w:val="hybridMultilevel"/>
    <w:lvl w:ilvl="0">
      <w:lvlJc w:val="left"/>
      <w:lvlText w:val="•"/>
      <w:numFmt w:val="bullet"/>
      <w:start w:val="1"/>
    </w:lvl>
  </w:abstractNum>
  <w:abstractNum w:abstractNumId="35">
    <w:nsid w:val="1D9F6E5F"/>
    <w:multiLevelType w:val="hybridMultilevel"/>
    <w:lvl w:ilvl="0">
      <w:lvlJc w:val="left"/>
      <w:lvlText w:val="•"/>
      <w:numFmt w:val="bullet"/>
      <w:start w:val="1"/>
    </w:lvl>
  </w:abstractNum>
  <w:abstractNum w:abstractNumId="36">
    <w:nsid w:val="97E1B4E"/>
    <w:multiLevelType w:val="hybridMultilevel"/>
    <w:lvl w:ilvl="0">
      <w:lvlJc w:val="left"/>
      <w:lvlText w:val="•"/>
      <w:numFmt w:val="bullet"/>
      <w:start w:val="1"/>
    </w:lvl>
  </w:abstractNum>
  <w:abstractNum w:abstractNumId="37">
    <w:nsid w:val="51088277"/>
    <w:multiLevelType w:val="hybridMultilevel"/>
    <w:lvl w:ilvl="0">
      <w:lvlJc w:val="left"/>
      <w:lvlText w:val="•"/>
      <w:numFmt w:val="bullet"/>
      <w:start w:val="1"/>
    </w:lvl>
  </w:abstractNum>
  <w:abstractNum w:abstractNumId="38">
    <w:nsid w:val="1CA0C5FA"/>
    <w:multiLevelType w:val="hybridMultilevel"/>
    <w:lvl w:ilvl="0">
      <w:lvlJc w:val="left"/>
      <w:lvlText w:val="•"/>
      <w:numFmt w:val="bullet"/>
      <w:start w:val="1"/>
    </w:lvl>
  </w:abstractNum>
  <w:abstractNum w:abstractNumId="39">
    <w:nsid w:val="53584BCB"/>
    <w:multiLevelType w:val="hybridMultilevel"/>
    <w:lvl w:ilvl="0">
      <w:lvlJc w:val="left"/>
      <w:lvlText w:val="•"/>
      <w:numFmt w:val="bullet"/>
      <w:start w:val="1"/>
    </w:lvl>
  </w:abstractNum>
  <w:abstractNum w:abstractNumId="40">
    <w:nsid w:val="415E286C"/>
    <w:multiLevelType w:val="hybridMultilevel"/>
    <w:lvl w:ilvl="0">
      <w:lvlJc w:val="left"/>
      <w:lvlText w:val="•"/>
      <w:numFmt w:val="bullet"/>
      <w:start w:val="1"/>
    </w:lvl>
  </w:abstractNum>
  <w:abstractNum w:abstractNumId="41">
    <w:nsid w:val="7C58FD05"/>
    <w:multiLevelType w:val="hybridMultilevel"/>
    <w:lvl w:ilvl="0">
      <w:lvlJc w:val="left"/>
      <w:lvlText w:val="(%1)"/>
      <w:numFmt w:val="upperLetter"/>
      <w:start w:val="1"/>
    </w:lvl>
  </w:abstractNum>
  <w:abstractNum w:abstractNumId="42">
    <w:nsid w:val="23D86AAC"/>
    <w:multiLevelType w:val="hybridMultilevel"/>
    <w:lvl w:ilvl="0">
      <w:lvlJc w:val="left"/>
      <w:lvlText w:val="(%1)"/>
      <w:numFmt w:val="upperLetter"/>
      <w:start w:val="1"/>
    </w:lvl>
  </w:abstractNum>
  <w:abstractNum w:abstractNumId="43">
    <w:nsid w:val="45E6D486"/>
    <w:multiLevelType w:val="hybridMultilevel"/>
    <w:lvl w:ilvl="0">
      <w:lvlJc w:val="left"/>
      <w:lvlText w:val=" "/>
      <w:numFmt w:val="bullet"/>
      <w:start w:val="1"/>
    </w:lvl>
  </w:abstractNum>
  <w:abstractNum w:abstractNumId="44">
    <w:nsid w:val="5C10FE21"/>
    <w:multiLevelType w:val="hybridMultilevel"/>
    <w:lvl w:ilvl="0">
      <w:lvlJc w:val="left"/>
      <w:lvlText w:val="(%1)"/>
      <w:numFmt w:val="decimal"/>
      <w:start w:val="1"/>
    </w:lvl>
  </w:abstractNum>
  <w:abstractNum w:abstractNumId="45">
    <w:nsid w:val="E7FFA2B"/>
    <w:multiLevelType w:val="hybridMultilevel"/>
    <w:lvl w:ilvl="0">
      <w:lvlJc w:val="left"/>
      <w:lvlText w:val=" "/>
      <w:numFmt w:val="bullet"/>
      <w:start w:val="1"/>
    </w:lvl>
  </w:abstractNum>
  <w:abstractNum w:abstractNumId="46">
    <w:nsid w:val="3C5991AA"/>
    <w:multiLevelType w:val="hybridMultilevel"/>
    <w:lvl w:ilvl="0">
      <w:lvlJc w:val="left"/>
      <w:lvlText w:val="%1"/>
      <w:numFmt w:val="upperLetter"/>
      <w:start w:val="1"/>
    </w:lvl>
    <w:lvl w:ilvl="1">
      <w:lvlJc w:val="left"/>
      <w:lvlText w:val="(%2)"/>
      <w:numFmt w:val="decimal"/>
      <w:start w:val="1"/>
    </w:lvl>
  </w:abstractNum>
  <w:abstractNum w:abstractNumId="47">
    <w:nsid w:val="4BD8591A"/>
    <w:multiLevelType w:val="hybridMultilevel"/>
    <w:lvl w:ilvl="0">
      <w:lvlJc w:val="left"/>
      <w:lvlText w:val="(%1)"/>
      <w:numFmt w:val="upperLetter"/>
      <w:start w:val="3"/>
    </w:lvl>
    <w:lvl w:ilvl="1">
      <w:lvlJc w:val="left"/>
      <w:lvlText w:val="%2"/>
      <w:numFmt w:val="decimal"/>
      <w:start w:val="1"/>
    </w:lvl>
  </w:abstractNum>
  <w:abstractNum w:abstractNumId="48">
    <w:nsid w:val="78DF6A55"/>
    <w:multiLevelType w:val="hybridMultilevel"/>
    <w:lvl w:ilvl="0">
      <w:lvlJc w:val="left"/>
      <w:lvlText w:val="(%1)"/>
      <w:numFmt w:val="upperLetter"/>
      <w:start w:val="1"/>
    </w:lvl>
  </w:abstractNum>
  <w:abstractNum w:abstractNumId="49">
    <w:nsid w:val="39B7AAA2"/>
    <w:multiLevelType w:val="hybridMultilevel"/>
    <w:lvl w:ilvl="0">
      <w:lvlJc w:val="left"/>
      <w:lvlText w:val="(%1)"/>
      <w:numFmt w:val="upperLetter"/>
      <w:start w:val="1"/>
    </w:lvl>
  </w:abstractNum>
  <w:abstractNum w:abstractNumId="50">
    <w:nsid w:val="2B0D8DBE"/>
    <w:multiLevelType w:val="hybridMultilevel"/>
    <w:lvl w:ilvl="0">
      <w:lvlJc w:val="left"/>
      <w:lvlText w:val="(%1)"/>
      <w:numFmt w:val="upperLetter"/>
      <w:start w:val="1"/>
    </w:lvl>
  </w:abstractNum>
  <w:abstractNum w:abstractNumId="51">
    <w:nsid w:val="6C80EC70"/>
    <w:multiLevelType w:val="hybridMultilevel"/>
    <w:lvl w:ilvl="0">
      <w:lvlJc w:val="left"/>
      <w:lvlText w:val="•"/>
      <w:numFmt w:val="bullet"/>
      <w:start w:val="1"/>
    </w:lvl>
  </w:abstractNum>
  <w:abstractNum w:abstractNumId="52">
    <w:nsid w:val="379E21B5"/>
    <w:multiLevelType w:val="hybridMultilevel"/>
    <w:lvl w:ilvl="0">
      <w:lvlJc w:val="left"/>
      <w:lvlText w:val="•"/>
      <w:numFmt w:val="bullet"/>
      <w:start w:val="1"/>
    </w:lvl>
  </w:abstractNum>
  <w:abstractNum w:abstractNumId="53">
    <w:nsid w:val="69E373"/>
    <w:multiLevelType w:val="hybridMultilevel"/>
    <w:lvl w:ilvl="0">
      <w:lvlJc w:val="left"/>
      <w:lvlText w:val="(%1)"/>
      <w:numFmt w:val="decimal"/>
      <w:start w:val="1"/>
    </w:lvl>
  </w:abstractNum>
  <w:abstractNum w:abstractNumId="54">
    <w:nsid w:val="2C27173B"/>
    <w:multiLevelType w:val="hybridMultilevel"/>
    <w:lvl w:ilvl="0">
      <w:lvlJc w:val="left"/>
      <w:lvlText w:val="(%1)"/>
      <w:numFmt w:val="decimal"/>
      <w:start w:val="1"/>
    </w:lvl>
  </w:abstractNum>
  <w:abstractNum w:abstractNumId="55">
    <w:nsid w:val="4C9B0904"/>
    <w:multiLevelType w:val="hybridMultilevel"/>
    <w:lvl w:ilvl="0">
      <w:lvlJc w:val="left"/>
      <w:lvlText w:val="•"/>
      <w:numFmt w:val="bullet"/>
      <w:start w:val="1"/>
    </w:lvl>
  </w:abstractNum>
  <w:abstractNum w:abstractNumId="56">
    <w:nsid w:val="6AA7B75C"/>
    <w:multiLevelType w:val="hybridMultilevel"/>
    <w:lvl w:ilvl="0">
      <w:lvlJc w:val="left"/>
      <w:lvlText w:val="•"/>
      <w:numFmt w:val="bullet"/>
      <w:start w:val="1"/>
    </w:lvl>
  </w:abstractNum>
  <w:abstractNum w:abstractNumId="57">
    <w:nsid w:val="1DF029D3"/>
    <w:multiLevelType w:val="hybridMultilevel"/>
    <w:lvl w:ilvl="0">
      <w:lvlJc w:val="left"/>
      <w:lvlText w:val="(%1)"/>
      <w:numFmt w:val="decimal"/>
      <w:start w:val="1"/>
    </w:lvl>
  </w:abstractNum>
  <w:abstractNum w:abstractNumId="58">
    <w:nsid w:val="5675FF36"/>
    <w:multiLevelType w:val="hybridMultilevel"/>
    <w:lvl w:ilvl="0">
      <w:lvlJc w:val="left"/>
      <w:lvlText w:val="•"/>
      <w:numFmt w:val="bullet"/>
      <w:start w:val="1"/>
    </w:lvl>
  </w:abstractNum>
  <w:abstractNum w:abstractNumId="59">
    <w:nsid w:val="3DD15094"/>
    <w:multiLevelType w:val="hybridMultilevel"/>
    <w:lvl w:ilvl="0">
      <w:lvlJc w:val="left"/>
      <w:lvlText w:val="(%1)"/>
      <w:numFmt w:val="decimal"/>
      <w:start w:val="1"/>
    </w:lvl>
  </w:abstractNum>
  <w:abstractNum w:abstractNumId="60">
    <w:nsid w:val="3DB012B3"/>
    <w:multiLevelType w:val="hybridMultilevel"/>
    <w:lvl w:ilvl="0">
      <w:lvlJc w:val="left"/>
      <w:lvlText w:val="(%1)"/>
      <w:numFmt w:val="decimal"/>
      <w:start w:val="1"/>
    </w:lvl>
  </w:abstractNum>
  <w:abstractNum w:abstractNumId="61">
    <w:nsid w:val="2708C9AF"/>
    <w:multiLevelType w:val="hybridMultilevel"/>
    <w:lvl w:ilvl="0">
      <w:lvlJc w:val="left"/>
      <w:lvlText w:val="(%1)"/>
      <w:numFmt w:val="decimal"/>
      <w:start w:val="1"/>
    </w:lvl>
  </w:abstractNum>
  <w:abstractNum w:abstractNumId="62">
    <w:nsid w:val="5B25ACE2"/>
    <w:multiLevelType w:val="hybridMultilevel"/>
    <w:lvl w:ilvl="0">
      <w:lvlJc w:val="left"/>
      <w:lvlText w:val="(%1)"/>
      <w:numFmt w:val="decimal"/>
      <w:start w:val="1"/>
    </w:lvl>
  </w:abstractNum>
  <w:abstractNum w:abstractNumId="63">
    <w:nsid w:val="175DFCF0"/>
    <w:multiLevelType w:val="hybridMultilevel"/>
    <w:lvl w:ilvl="0">
      <w:lvlJc w:val="left"/>
      <w:lvlText w:val="(%1)"/>
      <w:numFmt w:val="decimal"/>
      <w:start w:val="1"/>
    </w:lvl>
  </w:abstractNum>
  <w:abstractNum w:abstractNumId="64">
    <w:nsid w:val="4F97E3E4"/>
    <w:multiLevelType w:val="hybridMultilevel"/>
    <w:lvl w:ilvl="0">
      <w:lvlJc w:val="left"/>
      <w:lvlText w:val="•"/>
      <w:numFmt w:val="bullet"/>
      <w:start w:val="1"/>
    </w:lvl>
  </w:abstractNum>
  <w:abstractNum w:abstractNumId="65">
    <w:nsid w:val="53B0A9E"/>
    <w:multiLevelType w:val="hybridMultilevel"/>
    <w:lvl w:ilvl="0">
      <w:lvlJc w:val="left"/>
      <w:lvlText w:val="•"/>
      <w:numFmt w:val="bullet"/>
      <w:start w:val="1"/>
    </w:lvl>
  </w:abstractNum>
  <w:abstractNum w:abstractNumId="66">
    <w:nsid w:val="34FD6B4F"/>
    <w:multiLevelType w:val="hybridMultilevel"/>
    <w:lvl w:ilvl="0">
      <w:lvlJc w:val="left"/>
      <w:lvlText w:val="(%1)"/>
      <w:numFmt w:val="decimal"/>
      <w:start w:val="1"/>
    </w:lvl>
  </w:abstractNum>
  <w:abstractNum w:abstractNumId="67">
    <w:nsid w:val="5915FF32"/>
    <w:multiLevelType w:val="hybridMultilevel"/>
    <w:lvl w:ilvl="0">
      <w:lvlJc w:val="left"/>
      <w:lvlText w:val="(%1)"/>
      <w:numFmt w:val="decimal"/>
      <w:start w:val="1"/>
    </w:lvl>
  </w:abstractNum>
  <w:abstractNum w:abstractNumId="68">
    <w:nsid w:val="56438D15"/>
    <w:multiLevelType w:val="hybridMultilevel"/>
    <w:lvl w:ilvl="0">
      <w:lvlJc w:val="left"/>
      <w:lvlText w:val="•"/>
      <w:numFmt w:val="bullet"/>
      <w:start w:val="1"/>
    </w:lvl>
  </w:abstractNum>
  <w:abstractNum w:abstractNumId="69">
    <w:nsid w:val="519E3149"/>
    <w:multiLevelType w:val="hybridMultilevel"/>
    <w:lvl w:ilvl="0">
      <w:lvlJc w:val="left"/>
      <w:lvlText w:val="(%1)"/>
      <w:numFmt w:val="decimal"/>
      <w:start w:val="1"/>
    </w:lvl>
  </w:abstractNum>
  <w:abstractNum w:abstractNumId="70">
    <w:nsid w:val="2C6E4AFD"/>
    <w:multiLevelType w:val="hybridMultilevel"/>
    <w:lvl w:ilvl="0">
      <w:lvlJc w:val="left"/>
      <w:lvlText w:val="(%1)"/>
      <w:numFmt w:val="decimal"/>
      <w:start w:val="1"/>
    </w:lvl>
  </w:abstractNum>
  <w:abstractNum w:abstractNumId="71">
    <w:nsid w:val="17A1B582"/>
    <w:multiLevelType w:val="hybridMultilevel"/>
    <w:lvl w:ilvl="0">
      <w:lvlJc w:val="left"/>
      <w:lvlText w:val="(%1)"/>
      <w:numFmt w:val="decimal"/>
      <w:start w:val="1"/>
    </w:lvl>
  </w:abstractNum>
  <w:abstractNum w:abstractNumId="72">
    <w:nsid w:val="4DF72E4E"/>
    <w:multiLevelType w:val="hybridMultilevel"/>
    <w:lvl w:ilvl="0">
      <w:lvlJc w:val="left"/>
      <w:lvlText w:val="(%1)"/>
      <w:numFmt w:val="decimal"/>
      <w:start w:val="1"/>
    </w:lvl>
  </w:abstractNum>
  <w:abstractNum w:abstractNumId="73">
    <w:nsid w:val="5046B5A9"/>
    <w:multiLevelType w:val="hybridMultilevel"/>
    <w:lvl w:ilvl="0">
      <w:lvlJc w:val="left"/>
      <w:lvlText w:val="•"/>
      <w:numFmt w:val="bullet"/>
      <w:start w:val="1"/>
    </w:lvl>
  </w:abstractNum>
  <w:abstractNum w:abstractNumId="74">
    <w:nsid w:val="5D888A08"/>
    <w:multiLevelType w:val="hybridMultilevel"/>
    <w:lvl w:ilvl="0">
      <w:lvlJc w:val="left"/>
      <w:lvlText w:val="•"/>
      <w:numFmt w:val="bullet"/>
      <w:start w:val="1"/>
    </w:lvl>
  </w:abstractNum>
  <w:abstractNum w:abstractNumId="75">
    <w:nsid w:val="2A082C70"/>
    <w:multiLevelType w:val="hybridMultilevel"/>
    <w:lvl w:ilvl="0">
      <w:lvlJc w:val="left"/>
      <w:lvlText w:val="(%1)"/>
      <w:numFmt w:val="decimal"/>
      <w:start w:val="1"/>
    </w:lvl>
  </w:abstractNum>
  <w:abstractNum w:abstractNumId="76">
    <w:nsid w:val="5EC6AFD4"/>
    <w:multiLevelType w:val="hybridMultilevel"/>
    <w:lvl w:ilvl="0">
      <w:lvlJc w:val="left"/>
      <w:lvlText w:val="(%1)"/>
      <w:numFmt w:val="decimal"/>
      <w:start w:val="1"/>
    </w:lvl>
  </w:abstractNum>
  <w:abstractNum w:abstractNumId="77">
    <w:nsid w:val="19E21BB2"/>
    <w:multiLevelType w:val="hybridMultilevel"/>
    <w:lvl w:ilvl="0">
      <w:lvlJc w:val="left"/>
      <w:lvlText w:val="(%1)"/>
      <w:numFmt w:val="decimal"/>
      <w:start w:val="1"/>
    </w:lvl>
  </w:abstractNum>
  <w:abstractNum w:abstractNumId="78">
    <w:nsid w:val="75E0858A"/>
    <w:multiLevelType w:val="hybridMultilevel"/>
    <w:lvl w:ilvl="0">
      <w:lvlJc w:val="left"/>
      <w:lvlText w:val="•"/>
      <w:numFmt w:val="bullet"/>
      <w:start w:val="1"/>
    </w:lvl>
  </w:abstractNum>
  <w:abstractNum w:abstractNumId="79">
    <w:nsid w:val="57A61A29"/>
    <w:multiLevelType w:val="hybridMultilevel"/>
    <w:lvl w:ilvl="0">
      <w:lvlJc w:val="left"/>
      <w:lvlText w:val="•"/>
      <w:numFmt w:val="bullet"/>
      <w:start w:val="1"/>
    </w:lvl>
  </w:abstractNum>
  <w:abstractNum w:abstractNumId="80">
    <w:nsid w:val="5399C654"/>
    <w:multiLevelType w:val="hybridMultilevel"/>
    <w:lvl w:ilvl="0">
      <w:lvlJc w:val="left"/>
      <w:lvlText w:val="•"/>
      <w:numFmt w:val="bullet"/>
      <w:start w:val="1"/>
    </w:lvl>
  </w:abstractNum>
  <w:abstractNum w:abstractNumId="81">
    <w:nsid w:val="20EE1348"/>
    <w:multiLevelType w:val="hybridMultilevel"/>
    <w:lvl w:ilvl="0">
      <w:lvlJc w:val="left"/>
      <w:lvlText w:val="•"/>
      <w:numFmt w:val="bullet"/>
      <w:start w:val="1"/>
    </w:lvl>
  </w:abstractNum>
  <w:abstractNum w:abstractNumId="82">
    <w:nsid w:val="4427069A"/>
    <w:multiLevelType w:val="hybridMultilevel"/>
    <w:lvl w:ilvl="0">
      <w:lvlJc w:val="left"/>
      <w:lvlText w:val="•"/>
      <w:numFmt w:val="bullet"/>
      <w:start w:val="1"/>
    </w:lvl>
  </w:abstractNum>
  <w:abstractNum w:abstractNumId="83">
    <w:nsid w:val="B37E80A"/>
    <w:multiLevelType w:val="hybridMultilevel"/>
    <w:lvl w:ilvl="0">
      <w:lvlJc w:val="left"/>
      <w:lvlText w:val="•"/>
      <w:numFmt w:val="bullet"/>
      <w:start w:val="1"/>
    </w:lvl>
  </w:abstractNum>
  <w:abstractNum w:abstractNumId="84">
    <w:nsid w:val="2157F6BC"/>
    <w:multiLevelType w:val="hybridMultilevel"/>
    <w:lvl w:ilvl="0">
      <w:lvlJc w:val="left"/>
      <w:lvlText w:val="•"/>
      <w:numFmt w:val="bullet"/>
      <w:start w:val="1"/>
    </w:lvl>
  </w:abstractNum>
  <w:abstractNum w:abstractNumId="85">
    <w:nsid w:val="704E1DD5"/>
    <w:multiLevelType w:val="hybridMultilevel"/>
    <w:lvl w:ilvl="0">
      <w:lvlJc w:val="left"/>
      <w:lvlText w:val="•"/>
      <w:numFmt w:val="bullet"/>
      <w:start w:val="1"/>
    </w:lvl>
  </w:abstractNum>
  <w:abstractNum w:abstractNumId="86">
    <w:nsid w:val="57D2F10E"/>
    <w:multiLevelType w:val="hybridMultilevel"/>
    <w:lvl w:ilvl="0">
      <w:lvlJc w:val="left"/>
      <w:lvlText w:val="•"/>
      <w:numFmt w:val="bullet"/>
      <w:start w:val="1"/>
    </w:lvl>
  </w:abstractNum>
  <w:abstractNum w:abstractNumId="87">
    <w:nsid w:val="BFFAE18"/>
    <w:multiLevelType w:val="hybridMultilevel"/>
    <w:lvl w:ilvl="0">
      <w:lvlJc w:val="left"/>
      <w:lvlText w:val="(%1)"/>
      <w:numFmt w:val="upperLetter"/>
      <w:start w:val="1"/>
    </w:lvl>
  </w:abstractNum>
  <w:abstractNum w:abstractNumId="88">
    <w:nsid w:val="E3E47A8"/>
    <w:multiLevelType w:val="hybridMultilevel"/>
    <w:lvl w:ilvl="0">
      <w:lvlJc w:val="left"/>
      <w:lvlText w:val=" "/>
      <w:numFmt w:val="bullet"/>
      <w:start w:val="1"/>
    </w:lvl>
  </w:abstractNum>
  <w:abstractNum w:abstractNumId="89">
    <w:nsid w:val="2E48F044"/>
    <w:multiLevelType w:val="hybridMultilevel"/>
    <w:lvl w:ilvl="0">
      <w:lvlJc w:val="left"/>
      <w:lvlText w:val="(%1)"/>
      <w:numFmt w:val="upperLetter"/>
      <w:start w:val="4"/>
    </w:lvl>
  </w:abstractNum>
  <w:abstractNum w:abstractNumId="90">
    <w:nsid w:val="49D0FEAC"/>
    <w:multiLevelType w:val="hybridMultilevel"/>
    <w:lvl w:ilvl="0">
      <w:lvlJc w:val="left"/>
      <w:lvlText w:val="%1"/>
      <w:numFmt w:val="upperLetter"/>
      <w:start w:val="1"/>
    </w:lvl>
    <w:lvl w:ilvl="1">
      <w:lvlJc w:val="left"/>
      <w:lvlText w:val="(%2)"/>
      <w:numFmt w:val="decimal"/>
      <w:start w:val="1"/>
    </w:lvl>
  </w:abstractNum>
  <w:abstractNum w:abstractNumId="91">
    <w:nsid w:val="4BEE5A5B"/>
    <w:multiLevelType w:val="hybridMultilevel"/>
    <w:lvl w:ilvl="0">
      <w:lvlJc w:val="left"/>
      <w:lvlText w:val="(%1)"/>
      <w:numFmt w:val="upperLetter"/>
      <w:start w:val="5"/>
    </w:lvl>
    <w:lvl w:ilvl="1">
      <w:lvlJc w:val="left"/>
      <w:lvlText w:val="%2"/>
      <w:numFmt w:val="decimal"/>
      <w:start w:val="1"/>
    </w:lvl>
  </w:abstractNum>
  <w:abstractNum w:abstractNumId="92">
    <w:nsid w:val="5551B9F3"/>
    <w:multiLevelType w:val="hybridMultilevel"/>
    <w:lvl w:ilvl="0">
      <w:lvlJc w:val="left"/>
      <w:lvlText w:val="(%1)"/>
      <w:numFmt w:val="decimal"/>
      <w:start w:val="1"/>
    </w:lvl>
  </w:abstractNum>
  <w:abstractNum w:abstractNumId="93">
    <w:nsid w:val="24F6AB8E"/>
    <w:multiLevelType w:val="hybridMultilevel"/>
    <w:lvl w:ilvl="0">
      <w:lvlJc w:val="left"/>
      <w:lvlText w:val=" "/>
      <w:numFmt w:val="bullet"/>
      <w:start w:val="1"/>
    </w:lvl>
  </w:abstractNum>
  <w:abstractNum w:abstractNumId="94">
    <w:nsid w:val="634C574C"/>
    <w:multiLevelType w:val="hybridMultilevel"/>
    <w:lvl w:ilvl="0">
      <w:lvlJc w:val="left"/>
      <w:lvlText w:val=" "/>
      <w:numFmt w:val="bullet"/>
      <w:start w:val="1"/>
    </w:lvl>
  </w:abstractNum>
  <w:abstractNum w:abstractNumId="95">
    <w:nsid w:val="24E99DD7"/>
    <w:multiLevelType w:val="hybridMultilevel"/>
    <w:lvl w:ilvl="0">
      <w:lvlJc w:val="left"/>
      <w:lvlText w:val=" "/>
      <w:numFmt w:val="bullet"/>
      <w:start w:val="1"/>
    </w:lvl>
  </w:abstractNum>
  <w:abstractNum w:abstractNumId="96">
    <w:nsid w:val="2A31B62D"/>
    <w:multiLevelType w:val="hybridMultilevel"/>
    <w:lvl w:ilvl="0">
      <w:lvlJc w:val="left"/>
      <w:lvlText w:val=" "/>
      <w:numFmt w:val="bullet"/>
      <w:start w:val="1"/>
    </w:lvl>
  </w:abstractNum>
  <w:abstractNum w:abstractNumId="97">
    <w:nsid w:val="1849C29B"/>
    <w:multiLevelType w:val="hybridMultilevel"/>
    <w:lvl w:ilvl="0">
      <w:lvlJc w:val="left"/>
      <w:lvlText w:val="(%1)"/>
      <w:numFmt w:val="upperLetter"/>
      <w:start w:val="1"/>
    </w:lvl>
  </w:abstractNum>
  <w:abstractNum w:abstractNumId="98">
    <w:nsid w:val="7DFF9D09"/>
    <w:multiLevelType w:val="hybridMultilevel"/>
    <w:lvl w:ilvl="0">
      <w:lvlJc w:val="left"/>
      <w:lvlText w:val=" "/>
      <w:numFmt w:val="bullet"/>
      <w:start w:val="1"/>
    </w:lvl>
  </w:abstractNum>
  <w:abstractNum w:abstractNumId="99">
    <w:nsid w:val="754342"/>
    <w:multiLevelType w:val="hybridMultilevel"/>
    <w:lvl w:ilvl="0">
      <w:lvlJc w:val="left"/>
      <w:lvlText w:val="(%1)"/>
      <w:numFmt w:val="upperLetter"/>
      <w:start w:val="3"/>
    </w:lvl>
  </w:abstractNum>
  <w:abstractNum w:abstractNumId="100">
    <w:nsid w:val="69E7F3E5"/>
    <w:multiLevelType w:val="hybridMultilevel"/>
    <w:lvl w:ilvl="0">
      <w:lvlJc w:val="left"/>
      <w:lvlText w:val=" "/>
      <w:numFmt w:val="bullet"/>
      <w:start w:val="1"/>
    </w:lvl>
  </w:abstractNum>
  <w:abstractNum w:abstractNumId="101">
    <w:nsid w:val="2A6DE806"/>
    <w:multiLevelType w:val="hybridMultilevel"/>
    <w:lvl w:ilvl="0">
      <w:lvlJc w:val="left"/>
      <w:lvlText w:val="(%1)"/>
      <w:numFmt w:val="upperLetter"/>
      <w:start w:val="4"/>
    </w:lvl>
  </w:abstractNum>
  <w:abstractNum w:abstractNumId="102">
    <w:nsid w:val="1816F8C4"/>
    <w:multiLevelType w:val="hybridMultilevel"/>
    <w:lvl w:ilvl="0">
      <w:lvlJc w:val="left"/>
      <w:lvlText w:val=" "/>
      <w:numFmt w:val="bullet"/>
      <w:start w:val="1"/>
    </w:lvl>
  </w:abstractNum>
  <w:abstractNum w:abstractNumId="103">
    <w:nsid w:val="37DF2233"/>
    <w:multiLevelType w:val="hybridMultilevel"/>
    <w:lvl w:ilvl="0">
      <w:lvlJc w:val="left"/>
      <w:lvlText w:val="(%1)"/>
      <w:numFmt w:val="upperLetter"/>
      <w:start w:val="6"/>
    </w:lvl>
  </w:abstractNum>
  <w:abstractNum w:abstractNumId="104">
    <w:nsid w:val="7AB49DAF"/>
    <w:multiLevelType w:val="hybridMultilevel"/>
    <w:lvl w:ilvl="0">
      <w:lvlJc w:val="left"/>
      <w:lvlText w:val="(%1)"/>
      <w:numFmt w:val="upperLetter"/>
      <w:start w:val="1"/>
    </w:lvl>
  </w:abstractNum>
  <w:abstractNum w:abstractNumId="105">
    <w:nsid w:val="759F82CD"/>
    <w:multiLevelType w:val="hybridMultilevel"/>
    <w:lvl w:ilvl="0">
      <w:lvlJc w:val="left"/>
      <w:lvlText w:val=" "/>
      <w:numFmt w:val="bullet"/>
      <w:start w:val="1"/>
    </w:lvl>
  </w:abstractNum>
  <w:abstractNum w:abstractNumId="106">
    <w:nsid w:val="61E74EA3"/>
    <w:multiLevelType w:val="hybridMultilevel"/>
    <w:lvl w:ilvl="0">
      <w:lvlJc w:val="left"/>
      <w:lvlText w:val=" "/>
      <w:numFmt w:val="bullet"/>
      <w:start w:val="1"/>
    </w:lvl>
  </w:abstractNum>
  <w:abstractNum w:abstractNumId="107">
    <w:nsid w:val="597B4D84"/>
    <w:multiLevelType w:val="hybridMultilevel"/>
    <w:lvl w:ilvl="0">
      <w:lvlJc w:val="left"/>
      <w:lvlText w:val=" "/>
      <w:numFmt w:val="bullet"/>
      <w:start w:val="1"/>
    </w:lvl>
  </w:abstractNum>
  <w:abstractNum w:abstractNumId="108">
    <w:nsid w:val="F819E7F"/>
    <w:multiLevelType w:val="hybridMultilevel"/>
    <w:lvl w:ilvl="0">
      <w:lvlJc w:val="left"/>
      <w:lvlText w:val="(%1)"/>
      <w:numFmt w:val="upperLetter"/>
      <w:start w:val="3"/>
    </w:lvl>
  </w:abstractNum>
  <w:abstractNum w:abstractNumId="109">
    <w:nsid w:val="57C7D42D"/>
    <w:multiLevelType w:val="hybridMultilevel"/>
    <w:lvl w:ilvl="0">
      <w:lvlJc w:val="left"/>
      <w:lvlText w:val="(%1)"/>
      <w:numFmt w:val="upperLetter"/>
      <w:start w:val="1"/>
    </w:lvl>
  </w:abstractNum>
  <w:abstractNum w:abstractNumId="110">
    <w:nsid w:val="312167AD"/>
    <w:multiLevelType w:val="hybridMultilevel"/>
    <w:lvl w:ilvl="0">
      <w:lvlJc w:val="left"/>
      <w:lvlText w:val=" "/>
      <w:numFmt w:val="bullet"/>
      <w:start w:val="1"/>
    </w:lvl>
  </w:abstractNum>
  <w:abstractNum w:abstractNumId="111">
    <w:nsid w:val="631B64D4"/>
    <w:multiLevelType w:val="hybridMultilevel"/>
    <w:lvl w:ilvl="0">
      <w:lvlJc w:val="left"/>
      <w:lvlText w:val="(%1)"/>
      <w:numFmt w:val="upperLetter"/>
      <w:start w:val="1"/>
    </w:lvl>
  </w:abstractNum>
  <w:abstractNum w:abstractNumId="112">
    <w:nsid w:val="78B5E776"/>
    <w:multiLevelType w:val="hybridMultilevel"/>
    <w:lvl w:ilvl="0">
      <w:lvlJc w:val="left"/>
      <w:lvlText w:val=" "/>
      <w:numFmt w:val="bullet"/>
      <w:start w:val="1"/>
    </w:lvl>
  </w:abstractNum>
  <w:abstractNum w:abstractNumId="113">
    <w:nsid w:val="75486E47"/>
    <w:multiLevelType w:val="hybridMultilevel"/>
    <w:lvl w:ilvl="0">
      <w:lvlJc w:val="left"/>
      <w:lvlText w:val="(%1)"/>
      <w:numFmt w:val="upperLetter"/>
      <w:start w:val="2"/>
    </w:lvl>
  </w:abstractNum>
  <w:abstractNum w:abstractNumId="114">
    <w:nsid w:val="6E534CDE"/>
    <w:multiLevelType w:val="hybridMultilevel"/>
    <w:lvl w:ilvl="0">
      <w:lvlJc w:val="left"/>
      <w:lvlText w:val="(%1)"/>
      <w:numFmt w:val="upperLetter"/>
      <w:start w:val="1"/>
    </w:lvl>
  </w:abstractNum>
  <w:abstractNum w:abstractNumId="115">
    <w:nsid w:val="1A0DDE32"/>
    <w:multiLevelType w:val="hybridMultilevel"/>
    <w:lvl w:ilvl="0">
      <w:lvlJc w:val="left"/>
      <w:lvlText w:val="(%1)"/>
      <w:numFmt w:val="upperLetter"/>
      <w:start w:val="1"/>
    </w:lvl>
  </w:abstractNum>
  <w:abstractNum w:abstractNumId="116">
    <w:nsid w:val="65968C1C"/>
    <w:multiLevelType w:val="hybridMultilevel"/>
    <w:lvl w:ilvl="0">
      <w:lvlJc w:val="left"/>
      <w:lvlText w:val=" "/>
      <w:numFmt w:val="bullet"/>
      <w:start w:val="1"/>
    </w:lvl>
  </w:abstractNum>
  <w:abstractNum w:abstractNumId="117">
    <w:nsid w:val="46263DEC"/>
    <w:multiLevelType w:val="hybridMultilevel"/>
    <w:lvl w:ilvl="0">
      <w:lvlJc w:val="left"/>
      <w:lvlText w:val="(%1)"/>
      <w:numFmt w:val="upperLetter"/>
      <w:start w:val="2"/>
    </w:lvl>
  </w:abstractNum>
  <w:abstractNum w:abstractNumId="118">
    <w:nsid w:val="260D8C4A"/>
    <w:multiLevelType w:val="hybridMultilevel"/>
    <w:lvl w:ilvl="0">
      <w:lvlJc w:val="left"/>
      <w:lvlText w:val="(%1)"/>
      <w:numFmt w:val="upperLetter"/>
      <w:start w:val="1"/>
    </w:lvl>
  </w:abstractNum>
  <w:abstractNum w:abstractNumId="119">
    <w:nsid w:val="73D4D3C4"/>
    <w:multiLevelType w:val="hybridMultilevel"/>
    <w:lvl w:ilvl="0">
      <w:lvlJc w:val="left"/>
      <w:lvlText w:val=" "/>
      <w:numFmt w:val="bullet"/>
      <w:start w:val="1"/>
    </w:lvl>
  </w:abstractNum>
  <w:abstractNum w:abstractNumId="120">
    <w:nsid w:val="746F2E30"/>
    <w:multiLevelType w:val="hybridMultilevel"/>
    <w:lvl w:ilvl="0">
      <w:lvlJc w:val="left"/>
      <w:lvlText w:val="(%1)"/>
      <w:numFmt w:val="decimal"/>
      <w:start w:val="1"/>
    </w:lvl>
  </w:abstractNum>
  <w:abstractNum w:abstractNumId="121">
    <w:nsid w:val="6FDE8AF6"/>
    <w:multiLevelType w:val="hybridMultilevel"/>
    <w:lvl w:ilvl="0">
      <w:lvlJc w:val="left"/>
      <w:lvlText w:val="(%1)"/>
      <w:numFmt w:val="decimal"/>
      <w:start w:val="2"/>
    </w:lvl>
  </w:abstractNum>
  <w:abstractNum w:abstractNumId="122">
    <w:nsid w:val="3FC32E20"/>
    <w:multiLevelType w:val="hybridMultilevel"/>
    <w:lvl w:ilvl="0">
      <w:lvlJc w:val="left"/>
      <w:lvlText w:val="(%1)"/>
      <w:numFmt w:val="lowerRoman"/>
      <w:start w:val="1"/>
    </w:lvl>
  </w:abstractNum>
  <w:abstractNum w:abstractNumId="123">
    <w:nsid w:val="49C0E823"/>
    <w:multiLevelType w:val="hybridMultilevel"/>
    <w:lvl w:ilvl="0">
      <w:lvlJc w:val="left"/>
      <w:lvlText w:val="%1"/>
      <w:numFmt w:val="upperLetter"/>
      <w:start w:val="1"/>
    </w:lvl>
    <w:lvl w:ilvl="1">
      <w:lvlJc w:val="left"/>
      <w:lvlText w:val="(%2)"/>
      <w:numFmt w:val="decimal"/>
      <w:start w:val="3"/>
    </w:lvl>
  </w:abstractNum>
  <w:abstractNum w:abstractNumId="124">
    <w:nsid w:val="14D53685"/>
    <w:multiLevelType w:val="hybridMultilevel"/>
    <w:lvl w:ilvl="0">
      <w:lvlJc w:val="left"/>
      <w:lvlText w:val="(%1)"/>
      <w:numFmt w:val="upperLetter"/>
      <w:start w:val="2"/>
    </w:lvl>
    <w:lvl w:ilvl="1">
      <w:lvlJc w:val="left"/>
      <w:lvlText w:val="%2"/>
      <w:numFmt w:val="decimal"/>
      <w:start w:val="1"/>
    </w:lvl>
  </w:abstractNum>
  <w:abstractNum w:abstractNumId="125">
    <w:nsid w:val="230F856C"/>
    <w:multiLevelType w:val="hybridMultilevel"/>
    <w:lvl w:ilvl="0">
      <w:lvlJc w:val="left"/>
      <w:lvlText w:val=" "/>
      <w:numFmt w:val="bullet"/>
      <w:start w:val="1"/>
    </w:lvl>
  </w:abstractNum>
  <w:abstractNum w:abstractNumId="126">
    <w:nsid w:val="6EAA85FB"/>
    <w:multiLevelType w:val="hybridMultilevel"/>
    <w:lvl w:ilvl="0">
      <w:lvlJc w:val="left"/>
      <w:lvlText w:val="(%1)"/>
      <w:numFmt w:val="upperLetter"/>
      <w:start w:val="3"/>
    </w:lvl>
  </w:abstractNum>
  <w:abstractNum w:abstractNumId="127">
    <w:nsid w:val="3F06ECB2"/>
    <w:multiLevelType w:val="hybridMultilevel"/>
    <w:lvl w:ilvl="0">
      <w:lvlJc w:val="left"/>
      <w:lvlText w:val=" "/>
      <w:numFmt w:val="bullet"/>
      <w:start w:val="1"/>
    </w:lvl>
  </w:abstractNum>
  <w:abstractNum w:abstractNumId="128">
    <w:nsid w:val="3B594807"/>
    <w:multiLevelType w:val="hybridMultilevel"/>
    <w:lvl w:ilvl="0">
      <w:lvlJc w:val="left"/>
      <w:lvlText w:val="(%1)"/>
      <w:numFmt w:val="upperLetter"/>
      <w:start w:val="4"/>
    </w:lvl>
  </w:abstractNum>
  <w:abstractNum w:abstractNumId="129">
    <w:nsid w:val="6CAA2304"/>
    <w:multiLevelType w:val="hybridMultilevel"/>
    <w:lvl w:ilvl="0">
      <w:lvlJc w:val="left"/>
      <w:lvlText w:val="(%1)"/>
      <w:numFmt w:val="upperLetter"/>
      <w:start w:val="5"/>
    </w:lvl>
  </w:abstractNum>
  <w:abstractNum w:abstractNumId="130">
    <w:nsid w:val="3F7C2FF4"/>
    <w:multiLevelType w:val="hybridMultilevel"/>
    <w:lvl w:ilvl="0">
      <w:lvlJc w:val="left"/>
      <w:lvlText w:val="%1."/>
      <w:numFmt w:val="decimal"/>
      <w:start w:val="1"/>
    </w:lvl>
  </w:abstractNum>
  <w:abstractNum w:abstractNumId="131">
    <w:nsid w:val="25413BEC"/>
    <w:multiLevelType w:val="hybridMultilevel"/>
    <w:lvl w:ilvl="0">
      <w:lvlJc w:val="left"/>
      <w:lvlText w:val="%1."/>
      <w:numFmt w:val="decimal"/>
      <w:start w:val="2"/>
    </w:lvl>
  </w:abstractNum>
  <w:abstractNum w:abstractNumId="132">
    <w:nsid w:val="17180B0B"/>
    <w:multiLevelType w:val="hybridMultilevel"/>
    <w:lvl w:ilvl="0">
      <w:lvlJc w:val="left"/>
      <w:lvlText w:val="%1."/>
      <w:numFmt w:val="decimal"/>
      <w:start w:val="3"/>
    </w:lvl>
  </w:abstractNum>
  <w:abstractNum w:abstractNumId="133">
    <w:nsid w:val="579328B9"/>
    <w:multiLevelType w:val="hybridMultilevel"/>
    <w:lvl w:ilvl="0">
      <w:lvlJc w:val="left"/>
      <w:lvlText w:val="%1."/>
      <w:numFmt w:val="decimal"/>
      <w:start w:val="4"/>
    </w:lvl>
  </w:abstractNum>
  <w:abstractNum w:abstractNumId="134">
    <w:nsid w:val="5D205E20"/>
    <w:multiLevelType w:val="hybridMultilevel"/>
    <w:lvl w:ilvl="0">
      <w:lvlJc w:val="left"/>
      <w:lvlText w:val="%1."/>
      <w:numFmt w:val="decimal"/>
      <w:start w:val="5"/>
    </w:lvl>
  </w:abstractNum>
  <w:abstractNum w:abstractNumId="135">
    <w:nsid w:val="11CCA8BA"/>
    <w:multiLevelType w:val="hybridMultilevel"/>
    <w:lvl w:ilvl="0">
      <w:lvlJc w:val="left"/>
      <w:lvlText w:val="(%1)"/>
      <w:numFmt w:val="lowerRoman"/>
      <w:start w:val="2"/>
    </w:lvl>
  </w:abstractNum>
  <w:abstractNum w:abstractNumId="136">
    <w:nsid w:val="4D32AB86"/>
    <w:multiLevelType w:val="hybridMultilevel"/>
    <w:lvl w:ilvl="0">
      <w:lvlJc w:val="left"/>
      <w:lvlText w:val="%1."/>
      <w:numFmt w:val="decimal"/>
      <w:start w:val="6"/>
    </w:lvl>
  </w:abstractNum>
  <w:abstractNum w:abstractNumId="137">
    <w:nsid w:val="3F07ACC3"/>
    <w:multiLevelType w:val="hybridMultilevel"/>
    <w:lvl w:ilvl="0">
      <w:lvlJc w:val="left"/>
      <w:lvlText w:val="%1."/>
      <w:numFmt w:val="decimal"/>
      <w:start w:val="7"/>
    </w:lvl>
  </w:abstractNum>
  <w:abstractNum w:abstractNumId="138">
    <w:nsid w:val="6B47F63E"/>
    <w:multiLevelType w:val="hybridMultilevel"/>
    <w:lvl w:ilvl="0">
      <w:lvlJc w:val="left"/>
      <w:lvlText w:val="%1."/>
      <w:numFmt w:val="decimal"/>
      <w:start w:val="8"/>
    </w:lvl>
  </w:abstractNum>
  <w:abstractNum w:abstractNumId="139">
    <w:nsid w:val="5CB44A05"/>
    <w:multiLevelType w:val="hybridMultilevel"/>
    <w:lvl w:ilvl="0">
      <w:lvlJc w:val="left"/>
      <w:lvlText w:val="%1."/>
      <w:numFmt w:val="decimal"/>
      <w:start w:val="9"/>
    </w:lvl>
  </w:abstractNum>
  <w:abstractNum w:abstractNumId="140">
    <w:nsid w:val="16CF80F1"/>
    <w:multiLevelType w:val="hybridMultilevel"/>
    <w:lvl w:ilvl="0">
      <w:lvlJc w:val="left"/>
      <w:lvlText w:val="%1."/>
      <w:numFmt w:val="decimal"/>
      <w:start w:val="10"/>
    </w:lvl>
  </w:abstractNum>
  <w:abstractNum w:abstractNumId="141">
    <w:nsid w:val="1C695DEC"/>
    <w:multiLevelType w:val="hybridMultilevel"/>
    <w:lvl w:ilvl="0">
      <w:lvlJc w:val="left"/>
      <w:lvlText w:val="(%1)"/>
      <w:numFmt w:val="lowerRoman"/>
      <w:start w:val="2"/>
    </w:lvl>
  </w:abstractNum>
  <w:abstractNum w:abstractNumId="142">
    <w:nsid w:val="3FCFAED9"/>
    <w:multiLevelType w:val="hybridMultilevel"/>
    <w:lvl w:ilvl="0">
      <w:lvlJc w:val="left"/>
      <w:lvlText w:val="%1."/>
      <w:numFmt w:val="decimal"/>
      <w:start w:val="11"/>
    </w:lvl>
  </w:abstractNum>
  <w:abstractNum w:abstractNumId="143">
    <w:nsid w:val="F856867"/>
    <w:multiLevelType w:val="hybridMultilevel"/>
    <w:lvl w:ilvl="0">
      <w:lvlJc w:val="left"/>
      <w:lvlText w:val="%1."/>
      <w:numFmt w:val="decimal"/>
      <w:start w:val="12"/>
    </w:lvl>
  </w:abstractNum>
  <w:abstractNum w:abstractNumId="144">
    <w:nsid w:val="11B1CC33"/>
    <w:multiLevelType w:val="hybridMultilevel"/>
    <w:lvl w:ilvl="0">
      <w:lvlJc w:val="left"/>
      <w:lvlText w:val="%1."/>
      <w:numFmt w:val="decimal"/>
      <w:start w:val="13"/>
    </w:lvl>
  </w:abstractNum>
  <w:abstractNum w:abstractNumId="145">
    <w:nsid w:val="2E22FBB7"/>
    <w:multiLevelType w:val="hybridMultilevel"/>
    <w:lvl w:ilvl="0">
      <w:lvlJc w:val="left"/>
      <w:lvlText w:val="%1."/>
      <w:numFmt w:val="decimal"/>
      <w:start w:val="14"/>
    </w:lvl>
  </w:abstractNum>
  <w:abstractNum w:abstractNumId="146">
    <w:nsid w:val="29934699"/>
    <w:multiLevelType w:val="hybridMultilevel"/>
    <w:lvl w:ilvl="0">
      <w:lvlJc w:val="left"/>
      <w:lvlText w:val="%1."/>
      <w:numFmt w:val="decimal"/>
      <w:start w:val="15"/>
    </w:lvl>
  </w:abstractNum>
  <w:abstractNum w:abstractNumId="147">
    <w:nsid w:val="77485850"/>
    <w:multiLevelType w:val="hybridMultilevel"/>
    <w:lvl w:ilvl="0">
      <w:lvlJc w:val="left"/>
      <w:lvlText w:val="%1."/>
      <w:numFmt w:val="decimal"/>
      <w:start w:val="16"/>
    </w:lvl>
  </w:abstractNum>
  <w:abstractNum w:abstractNumId="148">
    <w:nsid w:val="744939A3"/>
    <w:multiLevelType w:val="hybridMultilevel"/>
    <w:lvl w:ilvl="0">
      <w:lvlJc w:val="left"/>
      <w:lvlText w:val="%1."/>
      <w:numFmt w:val="decimal"/>
      <w:start w:val="17"/>
    </w:lvl>
  </w:abstractNum>
  <w:abstractNum w:abstractNumId="149">
    <w:nsid w:val="4FA0D2E3"/>
    <w:multiLevelType w:val="hybridMultilevel"/>
    <w:lvl w:ilvl="0">
      <w:lvlJc w:val="left"/>
      <w:lvlText w:val="%1."/>
      <w:numFmt w:val="decimal"/>
      <w:start w:val="18"/>
    </w:lvl>
  </w:abstractNum>
  <w:abstractNum w:abstractNumId="150">
    <w:nsid w:val="6B1D2C14"/>
    <w:multiLevelType w:val="hybridMultilevel"/>
    <w:lvl w:ilvl="0">
      <w:lvlJc w:val="left"/>
      <w:lvlText w:val="%1."/>
      <w:numFmt w:val="decimal"/>
      <w:start w:val="19"/>
    </w:lvl>
  </w:abstractNum>
  <w:abstractNum w:abstractNumId="151">
    <w:nsid w:val="68B867D3"/>
    <w:multiLevelType w:val="hybridMultilevel"/>
    <w:lvl w:ilvl="0">
      <w:lvlJc w:val="left"/>
      <w:lvlText w:val="%1."/>
      <w:numFmt w:val="decimal"/>
      <w:start w:val="20"/>
    </w:lvl>
  </w:abstractNum>
  <w:abstractNum w:abstractNumId="152">
    <w:nsid w:val="3F7F5DD9"/>
    <w:multiLevelType w:val="hybridMultilevel"/>
    <w:lvl w:ilvl="0">
      <w:lvlJc w:val="left"/>
      <w:lvlText w:val="%1."/>
      <w:numFmt w:val="decimal"/>
      <w:start w:val="21"/>
    </w:lvl>
  </w:abstractNum>
  <w:abstractNum w:abstractNumId="153">
    <w:nsid w:val="2AE05A34"/>
    <w:multiLevelType w:val="hybridMultilevel"/>
    <w:lvl w:ilvl="0">
      <w:lvlJc w:val="left"/>
      <w:lvlText w:val="%1."/>
      <w:numFmt w:val="decimal"/>
      <w:start w:val="22"/>
    </w:lvl>
  </w:abstractNum>
  <w:abstractNum w:abstractNumId="154">
    <w:nsid w:val="32794FF7"/>
    <w:multiLevelType w:val="hybridMultilevel"/>
    <w:lvl w:ilvl="0">
      <w:lvlJc w:val="left"/>
      <w:lvlText w:val="%1."/>
      <w:numFmt w:val="decimal"/>
      <w:start w:val="23"/>
    </w:lvl>
  </w:abstractNum>
  <w:abstractNum w:abstractNumId="155">
    <w:nsid w:val="5454945E"/>
    <w:multiLevelType w:val="hybridMultilevel"/>
    <w:lvl w:ilvl="0">
      <w:lvlJc w:val="left"/>
      <w:lvlText w:val="%1."/>
      <w:numFmt w:val="decimal"/>
      <w:start w:val="24"/>
    </w:lvl>
  </w:abstractNum>
  <w:abstractNum w:abstractNumId="156">
    <w:nsid w:val="4DEFDFA0"/>
    <w:multiLevelType w:val="hybridMultilevel"/>
    <w:lvl w:ilvl="0">
      <w:lvlJc w:val="left"/>
      <w:lvlText w:val="%1."/>
      <w:numFmt w:val="decimal"/>
      <w:start w:val="25"/>
    </w:lvl>
  </w:abstractNum>
  <w:abstractNum w:abstractNumId="157">
    <w:nsid w:val="2123D5F2"/>
    <w:multiLevelType w:val="hybridMultilevel"/>
    <w:lvl w:ilvl="0">
      <w:lvlJc w:val="left"/>
      <w:lvlText w:val="%1."/>
      <w:numFmt w:val="decimal"/>
      <w:start w:val="26"/>
    </w:lvl>
  </w:abstractNum>
  <w:abstractNum w:abstractNumId="158">
    <w:nsid w:val="135B8110"/>
    <w:multiLevelType w:val="hybridMultilevel"/>
    <w:lvl w:ilvl="0">
      <w:lvlJc w:val="left"/>
      <w:lvlText w:val="%1."/>
      <w:numFmt w:val="decimal"/>
      <w:start w:val="27"/>
    </w:lvl>
  </w:abstractNum>
  <w:abstractNum w:abstractNumId="159">
    <w:nsid w:val="94927A8"/>
    <w:multiLevelType w:val="hybridMultilevel"/>
    <w:lvl w:ilvl="0">
      <w:lvlJc w:val="left"/>
      <w:lvlText w:val="(%1)"/>
      <w:numFmt w:val="decimal"/>
      <w:start w:val="800"/>
    </w:lvl>
  </w:abstractNum>
  <w:abstractNum w:abstractNumId="160">
    <w:nsid w:val="DCDF8F6"/>
    <w:multiLevelType w:val="hybridMultilevel"/>
    <w:lvl w:ilvl="0">
      <w:lvlJc w:val="left"/>
      <w:lvlText w:val="%1."/>
      <w:numFmt w:val="decimal"/>
      <w:start w:val="28"/>
    </w:lvl>
  </w:abstractNum>
  <w:abstractNum w:abstractNumId="161">
    <w:nsid w:val="52D7B105"/>
    <w:multiLevelType w:val="hybridMultilevel"/>
    <w:lvl w:ilvl="0">
      <w:lvlJc w:val="left"/>
      <w:lvlText w:val="%1."/>
      <w:numFmt w:val="decimal"/>
      <w:start w:val="29"/>
    </w:lvl>
  </w:abstractNum>
  <w:abstractNum w:abstractNumId="162">
    <w:nsid w:val="2E8A6394"/>
    <w:multiLevelType w:val="hybridMultilevel"/>
    <w:lvl w:ilvl="0">
      <w:lvlJc w:val="left"/>
      <w:lvlText w:val="•"/>
      <w:numFmt w:val="bullet"/>
      <w:start w:val="1"/>
    </w:lvl>
  </w:abstractNum>
  <w:abstractNum w:abstractNumId="163">
    <w:nsid w:val="24E60401"/>
    <w:multiLevelType w:val="hybridMultilevel"/>
    <w:lvl w:ilvl="0">
      <w:lvlJc w:val="left"/>
      <w:lvlText w:val="%1."/>
      <w:numFmt w:val="decimal"/>
      <w:start w:val="30"/>
    </w:lvl>
  </w:abstractNum>
  <w:abstractNum w:abstractNumId="164">
    <w:nsid w:val="2A6AD9BE"/>
    <w:multiLevelType w:val="hybridMultilevel"/>
    <w:lvl w:ilvl="0">
      <w:lvlJc w:val="left"/>
      <w:lvlText w:val="(%1)"/>
      <w:numFmt w:val="decimal"/>
      <w:start w:val="800"/>
    </w:lvl>
  </w:abstractNum>
  <w:abstractNum w:abstractNumId="165">
    <w:nsid w:val="BAAC1B4"/>
    <w:multiLevelType w:val="hybridMultilevel"/>
    <w:lvl w:ilvl="0">
      <w:lvlJc w:val="left"/>
      <w:lvlText w:val="%1."/>
      <w:numFmt w:val="decimal"/>
      <w:start w:val="31"/>
    </w:lvl>
  </w:abstractNum>
  <w:abstractNum w:abstractNumId="166">
    <w:nsid w:val="36B2ACBC"/>
    <w:multiLevelType w:val="hybridMultilevel"/>
    <w:lvl w:ilvl="0">
      <w:lvlJc w:val="left"/>
      <w:lvlText w:val="%1."/>
      <w:numFmt w:val="decimal"/>
      <w:start w:val="32"/>
    </w:lvl>
  </w:abstractNum>
  <w:abstractNum w:abstractNumId="167">
    <w:nsid w:val="779D8544"/>
    <w:multiLevelType w:val="hybridMultilevel"/>
    <w:lvl w:ilvl="0">
      <w:lvlJc w:val="left"/>
      <w:lvlText w:val="%1."/>
      <w:numFmt w:val="decimal"/>
      <w:start w:val="33"/>
    </w:lvl>
  </w:abstractNum>
  <w:abstractNum w:abstractNumId="168">
    <w:nsid w:val="4AB26E78"/>
    <w:multiLevelType w:val="hybridMultilevel"/>
    <w:lvl w:ilvl="0">
      <w:lvlJc w:val="left"/>
      <w:lvlText w:val="%1."/>
      <w:numFmt w:val="decimal"/>
      <w:start w:val="34"/>
    </w:lvl>
  </w:abstractNum>
  <w:abstractNum w:abstractNumId="169">
    <w:nsid w:val="21FAA2FA"/>
    <w:multiLevelType w:val="hybridMultilevel"/>
    <w:lvl w:ilvl="0">
      <w:lvlJc w:val="left"/>
      <w:lvlText w:val="%1."/>
      <w:numFmt w:val="decimal"/>
      <w:start w:val="35"/>
    </w:lvl>
  </w:abstractNum>
  <w:abstractNum w:abstractNumId="170">
    <w:nsid w:val="5451CF49"/>
    <w:multiLevelType w:val="hybridMultilevel"/>
    <w:lvl w:ilvl="0">
      <w:lvlJc w:val="left"/>
      <w:lvlText w:val="%1."/>
      <w:numFmt w:val="decimal"/>
      <w:start w:val="36"/>
    </w:lvl>
  </w:abstractNum>
  <w:abstractNum w:abstractNumId="171">
    <w:nsid w:val="6181EF69"/>
    <w:multiLevelType w:val="hybridMultilevel"/>
    <w:lvl w:ilvl="0">
      <w:lvlJc w:val="left"/>
      <w:lvlText w:val="%1."/>
      <w:numFmt w:val="decimal"/>
      <w:start w:val="37"/>
    </w:lvl>
  </w:abstractNum>
  <w:abstractNum w:abstractNumId="172">
    <w:nsid w:val="3E6400E6"/>
    <w:multiLevelType w:val="hybridMultilevel"/>
    <w:lvl w:ilvl="0">
      <w:lvlJc w:val="left"/>
      <w:lvlText w:val="•"/>
      <w:numFmt w:val="bullet"/>
      <w:start w:val="1"/>
    </w:lvl>
    <w:lvl w:ilvl="1">
      <w:lvlJc w:val="left"/>
      <w:lvlText w:val="•"/>
      <w:numFmt w:val="bullet"/>
      <w:start w:val="1"/>
    </w:lvl>
  </w:abstractNum>
  <w:abstractNum w:abstractNumId="173">
    <w:nsid w:val="14217E23"/>
    <w:multiLevelType w:val="hybridMultilevel"/>
    <w:lvl w:ilvl="0">
      <w:lvlJc w:val="left"/>
      <w:lvlText w:val="•"/>
      <w:numFmt w:val="bullet"/>
      <w:start w:val="1"/>
    </w:lvl>
  </w:abstractNum>
  <w:abstractNum w:abstractNumId="174">
    <w:nsid w:val="710757D0"/>
    <w:multiLevelType w:val="hybridMultilevel"/>
    <w:lvl w:ilvl="0">
      <w:lvlJc w:val="left"/>
      <w:lvlText w:val="(%1)"/>
      <w:numFmt w:val="decimal"/>
    </w:lvl>
    <w:lvl w:ilvl="1">
      <w:lvlJc w:val="left"/>
      <w:lvlText w:val="•"/>
      <w:numFmt w:val="bullet"/>
      <w:start w:val="1"/>
    </w:lvl>
  </w:abstractNum>
  <w:abstractNum w:abstractNumId="175">
    <w:nsid w:val="5015CD1A"/>
    <w:multiLevelType w:val="hybridMultilevel"/>
    <w:lvl w:ilvl="0">
      <w:lvlJc w:val="left"/>
      <w:lvlText w:val="(%1)"/>
      <w:numFmt w:val="decimal"/>
      <w:start w:val="1"/>
    </w:lvl>
  </w:abstractNum>
  <w:abstractNum w:abstractNumId="176">
    <w:nsid w:val="424479DA"/>
    <w:multiLevelType w:val="hybridMultilevel"/>
    <w:lvl w:ilvl="0">
      <w:lvlJc w:val="left"/>
      <w:lvlText w:val="•"/>
      <w:numFmt w:val="bullet"/>
      <w:start w:val="1"/>
    </w:lvl>
    <w:lvl w:ilvl="1">
      <w:lvlJc w:val="left"/>
      <w:lvlText w:val="•"/>
      <w:numFmt w:val="bullet"/>
      <w:start w:val="1"/>
    </w:lvl>
  </w:abstractNum>
  <w:abstractNum w:abstractNumId="177">
    <w:nsid w:val="1A9A9E69"/>
    <w:multiLevelType w:val="hybridMultilevel"/>
    <w:lvl w:ilvl="0">
      <w:lvlJc w:val="left"/>
      <w:lvlText w:val="(%1)"/>
      <w:numFmt w:val="lowerRoman"/>
      <w:start w:val="2"/>
    </w:lvl>
  </w:abstractNum>
  <w:abstractNum w:abstractNumId="178">
    <w:nsid w:val="475E256A"/>
    <w:multiLevelType w:val="hybridMultilevel"/>
    <w:lvl w:ilvl="0">
      <w:lvlJc w:val="left"/>
      <w:lvlText w:val="(%1)"/>
      <w:numFmt w:val="lowerRoman"/>
      <w:start w:val="2"/>
    </w:lvl>
  </w:abstractNum>
  <w:abstractNum w:abstractNumId="179">
    <w:nsid w:val="368DB37E"/>
    <w:multiLevelType w:val="hybridMultilevel"/>
    <w:lvl w:ilvl="0">
      <w:lvlJc w:val="left"/>
      <w:lvlText w:val="(%1)"/>
      <w:numFmt w:val="lowerRoman"/>
      <w:start w:val="2"/>
    </w:lvl>
  </w:abstractNum>
  <w:abstractNum w:abstractNumId="180">
    <w:nsid w:val="6A3B714C"/>
    <w:multiLevelType w:val="hybridMultilevel"/>
    <w:lvl w:ilvl="0">
      <w:lvlJc w:val="left"/>
      <w:lvlText w:val="%1."/>
      <w:numFmt w:val="decimal"/>
      <w:start w:val="5"/>
    </w:lvl>
  </w:abstractNum>
  <w:abstractNum w:abstractNumId="181">
    <w:nsid w:val="327B517E"/>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jpe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jpe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jpe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jpe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png"/><Relationship Id="rId668" Type="http://schemas.openxmlformats.org/officeDocument/2006/relationships/image" Target="media/image661.jpe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2026-03-27T07:07:17Z</dcterms:created>
  <dcterms:modified xsi:type="dcterms:W3CDTF">2026-03-27T07:07:17Z</dcterms:modified>
</cp:coreProperties>
</file>