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4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 w:lineRule="exact"/>
        <w:rPr>
          <w:sz w:val="24"/>
          <w:szCs w:val="24"/>
          <w:color w:val="auto"/>
        </w:rPr>
      </w:pPr>
    </w:p>
    <w:p>
      <w:pPr>
        <w:ind w:left="640"/>
        <w:spacing w:after="0"/>
        <w:tabs>
          <w:tab w:leader="none" w:pos="59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September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439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9160" cy="17145"/>
                    </a:xfrm>
                    <a:prstGeom prst="rect">
                      <a:avLst/>
                    </a:prstGeom>
                    <a:noFill/>
                  </pic:spPr>
                </pic:pic>
              </a:graphicData>
            </a:graphic>
          </wp:anchor>
        </w:drawing>
      </w:r>
    </w:p>
    <w:p>
      <w:pPr>
        <w:spacing w:after="0" w:line="272" w:lineRule="exact"/>
        <w:rPr>
          <w:sz w:val="24"/>
          <w:szCs w:val="24"/>
          <w:color w:val="auto"/>
        </w:rPr>
      </w:pPr>
    </w:p>
    <w:p>
      <w:pPr>
        <w:jc w:val="center"/>
        <w:ind w:left="560"/>
        <w:spacing w:after="0"/>
        <w:rPr>
          <w:sz w:val="20"/>
          <w:szCs w:val="20"/>
          <w:color w:val="auto"/>
        </w:rPr>
      </w:pPr>
      <w:r>
        <w:rPr>
          <w:rFonts w:ascii="Arial" w:cs="Arial" w:eastAsia="Arial" w:hAnsi="Arial"/>
          <w:sz w:val="18"/>
          <w:szCs w:val="18"/>
          <w:color w:val="auto"/>
        </w:rPr>
        <w:t>or</w:t>
      </w:r>
    </w:p>
    <w:p>
      <w:pPr>
        <w:spacing w:after="0" w:line="262"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to</w:t>
            </w: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66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fiscal year, if changed</w:t>
            </w:r>
          </w:p>
        </w:tc>
      </w:tr>
      <w:tr>
        <w:trPr>
          <w:trHeight w:val="237"/>
        </w:trPr>
        <w:tc>
          <w:tcPr>
            <w:tcW w:w="20" w:type="dxa"/>
            <w:vAlign w:val="bottom"/>
          </w:tcPr>
          <w:p>
            <w:pPr>
              <w:spacing w:after="0"/>
              <w:rPr>
                <w:sz w:val="20"/>
                <w:szCs w:val="20"/>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Commission File No.</w:t>
            </w:r>
          </w:p>
        </w:tc>
        <w:tc>
          <w:tcPr>
            <w:tcW w:w="40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Charters, Address and Telephone Number</w:t>
            </w:r>
          </w:p>
        </w:tc>
        <w:tc>
          <w:tcPr>
            <w:tcW w:w="1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8"/>
              </w:rPr>
              <w:t>States of Incorporation</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Identification Nos.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since last report</w:t>
            </w:r>
          </w:p>
        </w:tc>
      </w:tr>
      <w:tr>
        <w:trPr>
          <w:trHeight w:val="257"/>
        </w:trPr>
        <w:tc>
          <w:tcPr>
            <w:tcW w:w="20" w:type="dxa"/>
            <w:vAlign w:val="bottom"/>
          </w:tcPr>
          <w:p>
            <w:pPr>
              <w:spacing w:after="0"/>
              <w:rPr>
                <w:sz w:val="22"/>
                <w:szCs w:val="22"/>
                <w:color w:val="auto"/>
              </w:rPr>
            </w:pPr>
          </w:p>
        </w:tc>
        <w:tc>
          <w:tcPr>
            <w:tcW w:w="1980" w:type="dxa"/>
            <w:vAlign w:val="bottom"/>
          </w:tcPr>
          <w:p>
            <w:pPr>
              <w:jc w:val="right"/>
              <w:ind w:right="1310"/>
              <w:spacing w:after="0"/>
              <w:rPr>
                <w:sz w:val="20"/>
                <w:szCs w:val="20"/>
                <w:color w:val="auto"/>
              </w:rPr>
            </w:pPr>
            <w:r>
              <w:rPr>
                <w:rFonts w:ascii="Arial" w:cs="Arial" w:eastAsia="Arial" w:hAnsi="Arial"/>
                <w:sz w:val="18"/>
                <w:szCs w:val="18"/>
                <w:color w:val="auto"/>
                <w:w w:val="84"/>
              </w:rPr>
              <w:t>1-14201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SEMPRA ENERGY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33-0732627</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101 Ash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2000" w:type="dxa"/>
            <w:vAlign w:val="bottom"/>
            <w:gridSpan w:val="2"/>
          </w:tcPr>
          <w:p>
            <w:pPr>
              <w:jc w:val="right"/>
              <w:ind w:right="1310"/>
              <w:spacing w:after="0"/>
              <w:rPr>
                <w:sz w:val="20"/>
                <w:szCs w:val="20"/>
                <w:color w:val="auto"/>
              </w:rPr>
            </w:pPr>
            <w:r>
              <w:rPr>
                <w:rFonts w:ascii="Arial" w:cs="Arial" w:eastAsia="Arial" w:hAnsi="Arial"/>
                <w:sz w:val="18"/>
                <w:szCs w:val="18"/>
                <w:color w:val="auto"/>
                <w:w w:val="87"/>
              </w:rPr>
              <w:t>1-03779</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GAS &amp; ELECTRIC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95-1184800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8326 Century Park Court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92123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2000" w:type="dxa"/>
            <w:vAlign w:val="bottom"/>
            <w:gridSpan w:val="2"/>
          </w:tcPr>
          <w:p>
            <w:pPr>
              <w:jc w:val="right"/>
              <w:ind w:right="1310"/>
              <w:spacing w:after="0"/>
              <w:rPr>
                <w:sz w:val="20"/>
                <w:szCs w:val="20"/>
                <w:color w:val="auto"/>
              </w:rPr>
            </w:pPr>
            <w:r>
              <w:rPr>
                <w:rFonts w:ascii="Arial" w:cs="Arial" w:eastAsia="Arial" w:hAnsi="Arial"/>
                <w:sz w:val="18"/>
                <w:szCs w:val="18"/>
                <w:color w:val="auto"/>
                <w:w w:val="87"/>
              </w:rPr>
              <w:t>1-01402</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SOUTHERN CALIFORNIA GAS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95-1240705</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555 West Fifth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Los Angeles, California 90013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(213)244-1200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300"/>
        <w:spacing w:after="0" w:line="279"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10" w:lineRule="exact"/>
        <w:rPr>
          <w:sz w:val="24"/>
          <w:szCs w:val="24"/>
          <w:color w:val="auto"/>
        </w:rPr>
      </w:pPr>
    </w:p>
    <w:p>
      <w:pPr>
        <w:ind w:left="7080"/>
        <w:spacing w:after="0"/>
        <w:tabs>
          <w:tab w:leader="none" w:pos="7940" w:val="left"/>
          <w:tab w:leader="none" w:pos="97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814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31750</wp:posOffset>
            </wp:positionV>
            <wp:extent cx="831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40"/>
        <w:spacing w:after="0" w:line="27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Sempra Energy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6419850</wp:posOffset>
            </wp:positionH>
            <wp:positionV relativeFrom="paragraph">
              <wp:posOffset>-410845</wp:posOffset>
            </wp:positionV>
            <wp:extent cx="831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-213995</wp:posOffset>
            </wp:positionV>
            <wp:extent cx="831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-16510</wp:posOffset>
            </wp:positionV>
            <wp:extent cx="831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9" w:lineRule="exact"/>
        <w:rPr>
          <w:sz w:val="24"/>
          <w:szCs w:val="24"/>
          <w:color w:val="auto"/>
        </w:rPr>
      </w:pPr>
    </w:p>
    <w:p>
      <w:pPr>
        <w:ind w:right="180"/>
        <w:spacing w:after="0" w:line="32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2240" w:type="dxa"/>
            <w:vAlign w:val="bottom"/>
            <w:gridSpan w:val="2"/>
          </w:tcPr>
          <w:p>
            <w:pPr>
              <w:ind w:left="780"/>
              <w:spacing w:after="0"/>
              <w:rPr>
                <w:sz w:val="20"/>
                <w:szCs w:val="20"/>
                <w:color w:val="auto"/>
              </w:rPr>
            </w:pPr>
            <w:r>
              <w:rPr>
                <w:rFonts w:ascii="Arial" w:cs="Arial" w:eastAsia="Arial" w:hAnsi="Arial"/>
                <w:sz w:val="18"/>
                <w:szCs w:val="18"/>
                <w:color w:val="auto"/>
              </w:rPr>
              <w:t>Large</w:t>
            </w: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gridSpan w:val="2"/>
          </w:tcPr>
          <w:p>
            <w:pPr>
              <w:jc w:val="right"/>
              <w:ind w:right="23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84"/>
        </w:trPr>
        <w:tc>
          <w:tcPr>
            <w:tcW w:w="2460" w:type="dxa"/>
            <w:vAlign w:val="bottom"/>
          </w:tcPr>
          <w:p>
            <w:pPr>
              <w:spacing w:after="0"/>
              <w:rPr>
                <w:sz w:val="24"/>
                <w:szCs w:val="24"/>
                <w:color w:val="auto"/>
              </w:rPr>
            </w:pPr>
          </w:p>
        </w:tc>
        <w:tc>
          <w:tcPr>
            <w:tcW w:w="2240" w:type="dxa"/>
            <w:vAlign w:val="bottom"/>
            <w:gridSpan w:val="2"/>
          </w:tcPr>
          <w:p>
            <w:pPr>
              <w:ind w:left="400"/>
              <w:spacing w:after="0"/>
              <w:rPr>
                <w:sz w:val="20"/>
                <w:szCs w:val="20"/>
                <w:color w:val="auto"/>
              </w:rPr>
            </w:pPr>
            <w:r>
              <w:rPr>
                <w:rFonts w:ascii="Arial" w:cs="Arial" w:eastAsia="Arial" w:hAnsi="Arial"/>
                <w:sz w:val="18"/>
                <w:szCs w:val="18"/>
                <w:color w:val="auto"/>
              </w:rPr>
              <w:t>accelerated filer</w:t>
            </w:r>
          </w:p>
        </w:tc>
        <w:tc>
          <w:tcPr>
            <w:tcW w:w="2500" w:type="dxa"/>
            <w:vAlign w:val="bottom"/>
            <w:gridSpan w:val="2"/>
          </w:tcPr>
          <w:p>
            <w:pPr>
              <w:jc w:val="right"/>
              <w:ind w:right="510"/>
              <w:spacing w:after="0"/>
              <w:rPr>
                <w:sz w:val="20"/>
                <w:szCs w:val="20"/>
                <w:color w:val="auto"/>
              </w:rPr>
            </w:pPr>
            <w:r>
              <w:rPr>
                <w:rFonts w:ascii="Arial" w:cs="Arial" w:eastAsia="Arial" w:hAnsi="Arial"/>
                <w:sz w:val="18"/>
                <w:szCs w:val="18"/>
                <w:color w:val="auto"/>
              </w:rPr>
              <w:t>Accelerated filer</w:t>
            </w:r>
          </w:p>
        </w:tc>
        <w:tc>
          <w:tcPr>
            <w:tcW w:w="2380" w:type="dxa"/>
            <w:vAlign w:val="bottom"/>
            <w:gridSpan w:val="2"/>
          </w:tcPr>
          <w:p>
            <w:pPr>
              <w:ind w:left="580"/>
              <w:spacing w:after="0"/>
              <w:rPr>
                <w:sz w:val="20"/>
                <w:szCs w:val="20"/>
                <w:color w:val="auto"/>
              </w:rPr>
            </w:pPr>
            <w:r>
              <w:rPr>
                <w:rFonts w:ascii="Arial" w:cs="Arial" w:eastAsia="Arial" w:hAnsi="Arial"/>
                <w:sz w:val="18"/>
                <w:szCs w:val="18"/>
                <w:color w:val="auto"/>
              </w:rPr>
              <w:t>Non-accelerated filer</w:t>
            </w:r>
          </w:p>
        </w:tc>
        <w:tc>
          <w:tcPr>
            <w:tcW w:w="1840" w:type="dxa"/>
            <w:vAlign w:val="bottom"/>
            <w:gridSpan w:val="2"/>
          </w:tcPr>
          <w:p>
            <w:pPr>
              <w:jc w:val="right"/>
              <w:ind w:right="53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Sempra Energy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50"/>
              <w:spacing w:after="0"/>
              <w:rPr>
                <w:sz w:val="20"/>
                <w:szCs w:val="20"/>
                <w:color w:val="auto"/>
              </w:rPr>
            </w:pPr>
            <w:r>
              <w:rPr>
                <w:rFonts w:ascii="Arial" w:cs="Arial" w:eastAsia="Arial" w:hAnsi="Arial"/>
                <w:sz w:val="18"/>
                <w:szCs w:val="18"/>
                <w:color w:val="auto"/>
              </w:rPr>
              <w:t>X ]</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San Diego Gas &amp; Electric</w:t>
            </w:r>
          </w:p>
        </w:tc>
        <w:tc>
          <w:tcPr>
            <w:tcW w:w="86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2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 X ]</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Company</w:t>
            </w:r>
          </w:p>
        </w:tc>
        <w:tc>
          <w:tcPr>
            <w:tcW w:w="8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Southern California Gas</w:t>
            </w:r>
          </w:p>
        </w:tc>
        <w:tc>
          <w:tcPr>
            <w:tcW w:w="86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2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 X ]</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Company</w:t>
            </w:r>
          </w:p>
        </w:tc>
        <w:tc>
          <w:tcPr>
            <w:tcW w:w="86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38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922" w:right="239" w:bottom="19" w:gutter="0" w:footer="0" w:header="0"/>
        </w:sectPr>
      </w:pPr>
    </w:p>
    <w:bookmarkStart w:id="1" w:name="page2"/>
    <w:bookmarkEnd w:id="1"/>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Sempra Energy</w:t>
            </w: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vMerge w:val="continue"/>
          </w:tcPr>
          <w:p>
            <w:pPr>
              <w:spacing w:after="0"/>
              <w:rPr>
                <w:sz w:val="22"/>
                <w:szCs w:val="22"/>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vMerge w:val="continue"/>
          </w:tcPr>
          <w:p>
            <w:pPr>
              <w:spacing w:after="0"/>
              <w:rPr>
                <w:sz w:val="22"/>
                <w:szCs w:val="22"/>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November 1,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Sempra Energy</w:t>
            </w:r>
          </w:p>
        </w:tc>
        <w:tc>
          <w:tcPr>
            <w:tcW w:w="8360" w:type="dxa"/>
            <w:vAlign w:val="bottom"/>
          </w:tcPr>
          <w:p>
            <w:pPr>
              <w:ind w:left="420"/>
              <w:spacing w:after="0"/>
              <w:rPr>
                <w:sz w:val="20"/>
                <w:szCs w:val="20"/>
                <w:color w:val="auto"/>
              </w:rPr>
            </w:pPr>
            <w:r>
              <w:rPr>
                <w:rFonts w:ascii="Arial" w:cs="Arial" w:eastAsia="Arial" w:hAnsi="Arial"/>
                <w:sz w:val="18"/>
                <w:szCs w:val="18"/>
                <w:color w:val="auto"/>
              </w:rPr>
              <w:t>241,851,686 shares</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32"/>
        </w:trPr>
        <w:tc>
          <w:tcPr>
            <w:tcW w:w="30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8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10-Q</w:t>
      </w:r>
    </w:p>
    <w:p>
      <w:pPr>
        <w:spacing w:after="0" w:line="236" w:lineRule="auto"/>
        <w:rPr>
          <w:sz w:val="20"/>
          <w:szCs w:val="20"/>
          <w:color w:val="auto"/>
        </w:rPr>
      </w:pPr>
      <w:r>
        <w:rPr>
          <w:rFonts w:ascii="Arial" w:cs="Arial" w:eastAsia="Arial" w:hAnsi="Arial"/>
          <w:sz w:val="25"/>
          <w:szCs w:val="25"/>
          <w:color w:val="auto"/>
        </w:rPr>
        <w:t>SAN DIEGO GAS &amp; ELECTRIC COMPANY FORM 10-Q</w:t>
      </w:r>
    </w:p>
    <w:p>
      <w:pPr>
        <w:spacing w:after="0" w:line="237" w:lineRule="auto"/>
        <w:rPr>
          <w:sz w:val="20"/>
          <w:szCs w:val="20"/>
          <w:color w:val="auto"/>
        </w:rPr>
      </w:pPr>
      <w:r>
        <w:rPr>
          <w:rFonts w:ascii="Arial" w:cs="Arial" w:eastAsia="Arial" w:hAnsi="Arial"/>
          <w:sz w:val="25"/>
          <w:szCs w:val="25"/>
          <w:color w:val="auto"/>
        </w:rPr>
        <w:t>SOUTHERN CALIFORNIA GAS COMPANY FORM 10-Q</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79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ind w:left="980"/>
              <w:spacing w:after="0"/>
              <w:rPr>
                <w:sz w:val="20"/>
                <w:szCs w:val="20"/>
                <w:color w:val="auto"/>
              </w:rPr>
            </w:pPr>
            <w:r>
              <w:rPr>
                <w:rFonts w:ascii="Arial" w:cs="Arial" w:eastAsia="Arial" w:hAnsi="Arial"/>
                <w:sz w:val="16"/>
                <w:szCs w:val="16"/>
                <w:i w:val="1"/>
                <w:iCs w:val="1"/>
                <w:color w:val="auto"/>
              </w:rPr>
              <w:t>Page</w:t>
            </w:r>
          </w:p>
        </w:tc>
      </w:tr>
      <w:tr>
        <w:trPr>
          <w:trHeight w:val="215"/>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w w:val="89"/>
              </w:rPr>
              <w:t>4</w:t>
            </w:r>
          </w:p>
        </w:tc>
      </w:tr>
      <w:tr>
        <w:trPr>
          <w:trHeight w:val="184"/>
        </w:trPr>
        <w:tc>
          <w:tcPr>
            <w:tcW w:w="9380" w:type="dxa"/>
            <w:vAlign w:val="bottom"/>
            <w:tcBorders>
              <w:bottom w:val="single" w:sz="8" w:color="auto"/>
            </w:tcBorders>
            <w:gridSpan w:val="3"/>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204"/>
        </w:trPr>
        <w:tc>
          <w:tcPr>
            <w:tcW w:w="9380" w:type="dxa"/>
            <w:vAlign w:val="bottom"/>
            <w:gridSpan w:val="3"/>
          </w:tcPr>
          <w:p>
            <w:pPr>
              <w:spacing w:after="0"/>
              <w:rPr>
                <w:sz w:val="20"/>
                <w:szCs w:val="20"/>
                <w:color w:val="auto"/>
              </w:rPr>
            </w:pPr>
            <w:r>
              <w:rPr>
                <w:rFonts w:ascii="Arial" w:cs="Arial" w:eastAsia="Arial" w:hAnsi="Arial"/>
                <w:sz w:val="16"/>
                <w:szCs w:val="16"/>
                <w:b w:val="1"/>
                <w:bCs w:val="1"/>
                <w:color w:val="auto"/>
              </w:rPr>
              <w:t>PART I – FINANCIAL INFORMATION</w:t>
            </w:r>
          </w:p>
        </w:tc>
        <w:tc>
          <w:tcPr>
            <w:tcW w:w="2040" w:type="dxa"/>
            <w:vAlign w:val="bottom"/>
          </w:tcPr>
          <w:p>
            <w:pPr>
              <w:spacing w:after="0"/>
              <w:rPr>
                <w:sz w:val="17"/>
                <w:szCs w:val="17"/>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Financial Statements</w:t>
            </w:r>
          </w:p>
        </w:tc>
        <w:tc>
          <w:tcPr>
            <w:tcW w:w="2040" w:type="dxa"/>
            <w:vAlign w:val="bottom"/>
          </w:tcPr>
          <w:p>
            <w:pPr>
              <w:jc w:val="center"/>
              <w:ind w:left="199"/>
              <w:spacing w:after="0" w:line="176" w:lineRule="exact"/>
              <w:rPr>
                <w:sz w:val="20"/>
                <w:szCs w:val="20"/>
                <w:color w:val="auto"/>
              </w:rPr>
            </w:pPr>
            <w:r>
              <w:rPr>
                <w:rFonts w:ascii="Arial" w:cs="Arial" w:eastAsia="Arial" w:hAnsi="Arial"/>
                <w:sz w:val="16"/>
                <w:szCs w:val="16"/>
                <w:color w:val="auto"/>
                <w:w w:val="89"/>
              </w:rPr>
              <w:t>5</w:t>
            </w: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2.</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40" w:type="dxa"/>
            <w:vAlign w:val="bottom"/>
          </w:tcPr>
          <w:p>
            <w:pPr>
              <w:jc w:val="center"/>
              <w:ind w:left="219"/>
              <w:spacing w:after="0" w:line="176" w:lineRule="exact"/>
              <w:rPr>
                <w:sz w:val="20"/>
                <w:szCs w:val="20"/>
                <w:color w:val="auto"/>
              </w:rPr>
            </w:pPr>
            <w:r>
              <w:rPr>
                <w:rFonts w:ascii="Arial" w:cs="Arial" w:eastAsia="Arial" w:hAnsi="Arial"/>
                <w:sz w:val="16"/>
                <w:szCs w:val="16"/>
                <w:color w:val="auto"/>
              </w:rPr>
              <w:t>73</w:t>
            </w: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3.</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Quantitative and Qualitative Disclosures About Market Risk</w:t>
            </w:r>
          </w:p>
        </w:tc>
        <w:tc>
          <w:tcPr>
            <w:tcW w:w="2040" w:type="dxa"/>
            <w:vAlign w:val="bottom"/>
          </w:tcPr>
          <w:p>
            <w:pPr>
              <w:jc w:val="center"/>
              <w:ind w:left="199"/>
              <w:spacing w:after="0" w:line="176" w:lineRule="exact"/>
              <w:rPr>
                <w:sz w:val="20"/>
                <w:szCs w:val="20"/>
                <w:color w:val="auto"/>
              </w:rPr>
            </w:pPr>
            <w:r>
              <w:rPr>
                <w:rFonts w:ascii="Arial" w:cs="Arial" w:eastAsia="Arial" w:hAnsi="Arial"/>
                <w:sz w:val="16"/>
                <w:szCs w:val="16"/>
                <w:color w:val="auto"/>
              </w:rPr>
              <w:t>111</w:t>
            </w: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7960" w:type="dxa"/>
            <w:vAlign w:val="bottom"/>
          </w:tcPr>
          <w:p>
            <w:pPr>
              <w:ind w:left="620"/>
              <w:spacing w:after="0"/>
              <w:rPr>
                <w:sz w:val="20"/>
                <w:szCs w:val="20"/>
                <w:color w:val="auto"/>
              </w:rPr>
            </w:pPr>
            <w:r>
              <w:rPr>
                <w:rFonts w:ascii="Arial" w:cs="Arial" w:eastAsia="Arial" w:hAnsi="Arial"/>
                <w:sz w:val="16"/>
                <w:szCs w:val="16"/>
                <w:color w:val="auto"/>
              </w:rPr>
              <w:t>Controls and Procedures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112</w:t>
            </w:r>
          </w:p>
        </w:tc>
      </w:tr>
      <w:tr>
        <w:trPr>
          <w:trHeight w:val="216"/>
        </w:trPr>
        <w:tc>
          <w:tcPr>
            <w:tcW w:w="9380" w:type="dxa"/>
            <w:vAlign w:val="bottom"/>
            <w:tcBorders>
              <w:bottom w:val="single" w:sz="8" w:color="auto"/>
            </w:tcBorders>
            <w:gridSpan w:val="3"/>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204"/>
        </w:trPr>
        <w:tc>
          <w:tcPr>
            <w:tcW w:w="9380" w:type="dxa"/>
            <w:vAlign w:val="bottom"/>
            <w:gridSpan w:val="3"/>
          </w:tcPr>
          <w:p>
            <w:pPr>
              <w:spacing w:after="0"/>
              <w:rPr>
                <w:sz w:val="20"/>
                <w:szCs w:val="20"/>
                <w:color w:val="auto"/>
              </w:rPr>
            </w:pPr>
            <w:r>
              <w:rPr>
                <w:rFonts w:ascii="Arial" w:cs="Arial" w:eastAsia="Arial" w:hAnsi="Arial"/>
                <w:sz w:val="16"/>
                <w:szCs w:val="16"/>
                <w:b w:val="1"/>
                <w:bCs w:val="1"/>
                <w:color w:val="auto"/>
              </w:rPr>
              <w:t>PART II – OTHER INFORMATION</w:t>
            </w:r>
          </w:p>
        </w:tc>
        <w:tc>
          <w:tcPr>
            <w:tcW w:w="2040" w:type="dxa"/>
            <w:vAlign w:val="bottom"/>
          </w:tcPr>
          <w:p>
            <w:pPr>
              <w:spacing w:after="0"/>
              <w:rPr>
                <w:sz w:val="17"/>
                <w:szCs w:val="17"/>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Legal Proceedings</w:t>
            </w:r>
          </w:p>
        </w:tc>
        <w:tc>
          <w:tcPr>
            <w:tcW w:w="2040" w:type="dxa"/>
            <w:vAlign w:val="bottom"/>
          </w:tcPr>
          <w:p>
            <w:pPr>
              <w:jc w:val="center"/>
              <w:ind w:left="199"/>
              <w:spacing w:after="0" w:line="176" w:lineRule="exact"/>
              <w:rPr>
                <w:sz w:val="20"/>
                <w:szCs w:val="20"/>
                <w:color w:val="auto"/>
              </w:rPr>
            </w:pPr>
            <w:r>
              <w:rPr>
                <w:rFonts w:ascii="Arial" w:cs="Arial" w:eastAsia="Arial" w:hAnsi="Arial"/>
                <w:sz w:val="16"/>
                <w:szCs w:val="16"/>
                <w:color w:val="auto"/>
              </w:rPr>
              <w:t>113</w:t>
            </w: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1A.</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Risk Factors</w:t>
            </w:r>
          </w:p>
        </w:tc>
        <w:tc>
          <w:tcPr>
            <w:tcW w:w="2040" w:type="dxa"/>
            <w:vAlign w:val="bottom"/>
          </w:tcPr>
          <w:p>
            <w:pPr>
              <w:jc w:val="center"/>
              <w:ind w:left="199"/>
              <w:spacing w:after="0" w:line="176" w:lineRule="exact"/>
              <w:rPr>
                <w:sz w:val="20"/>
                <w:szCs w:val="20"/>
                <w:color w:val="auto"/>
              </w:rPr>
            </w:pPr>
            <w:r>
              <w:rPr>
                <w:rFonts w:ascii="Arial" w:cs="Arial" w:eastAsia="Arial" w:hAnsi="Arial"/>
                <w:sz w:val="16"/>
                <w:szCs w:val="16"/>
                <w:color w:val="auto"/>
              </w:rPr>
              <w:t>113</w:t>
            </w: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7960" w:type="dxa"/>
            <w:vAlign w:val="bottom"/>
          </w:tcPr>
          <w:p>
            <w:pPr>
              <w:ind w:left="620"/>
              <w:spacing w:after="0"/>
              <w:rPr>
                <w:sz w:val="20"/>
                <w:szCs w:val="20"/>
                <w:color w:val="auto"/>
              </w:rPr>
            </w:pPr>
            <w:r>
              <w:rPr>
                <w:rFonts w:ascii="Arial" w:cs="Arial" w:eastAsia="Arial" w:hAnsi="Arial"/>
                <w:sz w:val="16"/>
                <w:szCs w:val="16"/>
                <w:color w:val="auto"/>
              </w:rPr>
              <w:t>Exhibits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115</w:t>
            </w:r>
          </w:p>
        </w:tc>
      </w:tr>
      <w:tr>
        <w:trPr>
          <w:trHeight w:val="391"/>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Signatures</w:t>
            </w:r>
          </w:p>
        </w:tc>
        <w:tc>
          <w:tcPr>
            <w:tcW w:w="7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117</w:t>
            </w:r>
          </w:p>
        </w:tc>
      </w:tr>
    </w:tbl>
    <w:p>
      <w:pPr>
        <w:spacing w:after="0" w:line="396" w:lineRule="exact"/>
        <w:rPr>
          <w:sz w:val="20"/>
          <w:szCs w:val="20"/>
          <w:color w:val="auto"/>
        </w:rPr>
      </w:pPr>
    </w:p>
    <w:p>
      <w:pPr>
        <w:ind w:left="500" w:right="420"/>
        <w:spacing w:after="0" w:line="260"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5" w:lineRule="exact"/>
        <w:rPr>
          <w:sz w:val="20"/>
          <w:szCs w:val="20"/>
          <w:color w:val="auto"/>
        </w:rPr>
      </w:pPr>
    </w:p>
    <w:p>
      <w:pPr>
        <w:jc w:val="both"/>
        <w:ind w:left="500" w:right="240"/>
        <w:spacing w:after="0" w:line="289"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FORWARD-LOOKING STATEMENTS</w:t>
      </w:r>
    </w:p>
    <w:p>
      <w:pPr>
        <w:spacing w:after="0" w:line="19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“contemplates,” “intends,” “depends,” “should,” “could,” “would,” “will,” “may,” “potential,” “target,” “pursue,” “goals,” or similar expressions, or when we discuss our guidance, strategy, plans, goals, initiatives, objectives or intentions, we are making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8" w:lineRule="exact"/>
        <w:rPr>
          <w:sz w:val="20"/>
          <w:szCs w:val="20"/>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and the timing of actions by the California Public Utilities Commission, California State Legislature, Federal Energy Regulatory Commission, U.S. Department of Energy,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ectPr>
          <w:pgSz w:w="11900" w:h="16860" w:orient="portrait"/>
          <w:cols w:equalWidth="0" w:num="1">
            <w:col w:w="11420"/>
          </w:cols>
          <w:pgMar w:left="240" w:top="139" w:right="239" w:bottom="0" w:gutter="0" w:footer="0" w:header="0"/>
        </w:sectPr>
      </w:pPr>
    </w:p>
    <w:bookmarkStart w:id="2" w:name="page3"/>
    <w:bookmarkEnd w:id="2"/>
    <w:p>
      <w:pPr>
        <w:spacing w:after="0" w:line="39" w:lineRule="exact"/>
        <w:rPr>
          <w:sz w:val="20"/>
          <w:szCs w:val="20"/>
          <w:color w:val="auto"/>
        </w:rPr>
      </w:pPr>
    </w:p>
    <w:p>
      <w:pPr>
        <w:ind w:left="340" w:hanging="188"/>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benchmark interest rates, generally U.S. Treasury bond and Moody’s A-rated utility bond yields, on our California Utilities’ cost of capital;</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 including risks inherent in the ability to obtain, and the timing of granting of, permits, licenses, certificates and other authorizations;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and equipment failures;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inherent in nuclear power generation and radioactive materials storage, including the catastrophic release of such materials, the disallowance of the recovery of the investment in or operating costs of the generation facility due to an extended outage, and increased regulatory oversight;</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of deregulation of retail natural gas and electricity delivery;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 as described in this report and in our Annual Report on Form 10-K and other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color w:val="auto"/>
        </w:rPr>
        <w:t>PART I –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00" w:type="dxa"/>
            <w:vAlign w:val="bottom"/>
          </w:tcPr>
          <w:p>
            <w:pPr>
              <w:spacing w:after="0"/>
              <w:rPr>
                <w:sz w:val="14"/>
                <w:szCs w:val="14"/>
                <w:color w:val="auto"/>
              </w:rPr>
            </w:pPr>
          </w:p>
        </w:tc>
        <w:tc>
          <w:tcPr>
            <w:tcW w:w="24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Three months ended September 30,</w:t>
            </w:r>
          </w:p>
        </w:tc>
        <w:tc>
          <w:tcPr>
            <w:tcW w:w="2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6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2011(1)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2011(1)</w:t>
            </w:r>
          </w:p>
        </w:tc>
      </w:tr>
      <w:tr>
        <w:trPr>
          <w:trHeight w:val="231"/>
        </w:trPr>
        <w:tc>
          <w:tcPr>
            <w:tcW w:w="6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REVENUES</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6500" w:type="dxa"/>
            <w:vAlign w:val="bottom"/>
          </w:tcPr>
          <w:p>
            <w:pPr>
              <w:spacing w:after="0"/>
              <w:rPr>
                <w:sz w:val="20"/>
                <w:szCs w:val="20"/>
                <w:color w:val="auto"/>
              </w:rPr>
            </w:pPr>
            <w:r>
              <w:rPr>
                <w:rFonts w:ascii="Arial" w:cs="Arial" w:eastAsia="Arial" w:hAnsi="Arial"/>
                <w:sz w:val="16"/>
                <w:szCs w:val="16"/>
                <w:color w:val="auto"/>
              </w:rPr>
              <w:t>Utilities</w:t>
            </w:r>
          </w:p>
        </w:tc>
        <w:tc>
          <w:tcPr>
            <w:tcW w:w="740" w:type="dxa"/>
            <w:vAlign w:val="bottom"/>
          </w:tcPr>
          <w:p>
            <w:pPr>
              <w:ind w:left="6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2,170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2,065</w:t>
            </w:r>
          </w:p>
        </w:tc>
        <w:tc>
          <w:tcPr>
            <w:tcW w:w="38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6,099</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5,933</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r>
      <w:tr>
        <w:trPr>
          <w:trHeight w:val="224"/>
        </w:trPr>
        <w:tc>
          <w:tcPr>
            <w:tcW w:w="650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2,507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6,979</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7,432</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Utilities:</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(1,367)</w:t>
            </w:r>
          </w:p>
        </w:tc>
      </w:tr>
      <w:tr>
        <w:trPr>
          <w:trHeight w:val="216"/>
        </w:trPr>
        <w:tc>
          <w:tcPr>
            <w:tcW w:w="650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(1,252)</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(976)</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16"/>
        </w:trPr>
        <w:tc>
          <w:tcPr>
            <w:tcW w:w="650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(2,003)</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Franchise fees and other taxes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Equity (losses) earnings, before income tax:</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6"/>
                <w:szCs w:val="16"/>
                <w:color w:val="auto"/>
              </w:rPr>
              <w:t>Rockies Express Pipeline LLC</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6500" w:type="dxa"/>
            <w:vAlign w:val="bottom"/>
          </w:tcPr>
          <w:p>
            <w:pPr>
              <w:ind w:left="18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Remeasurement of equity method investments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Other income, net</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197"/>
        </w:trPr>
        <w:tc>
          <w:tcPr>
            <w:tcW w:w="6500" w:type="dxa"/>
            <w:vAlign w:val="bottom"/>
          </w:tcPr>
          <w:p>
            <w:pPr>
              <w:spacing w:after="0"/>
              <w:rPr>
                <w:sz w:val="20"/>
                <w:szCs w:val="20"/>
                <w:color w:val="auto"/>
              </w:rPr>
            </w:pPr>
            <w:r>
              <w:rPr>
                <w:rFonts w:ascii="Arial" w:cs="Arial" w:eastAsia="Arial" w:hAnsi="Arial"/>
                <w:sz w:val="16"/>
                <w:szCs w:val="16"/>
                <w:color w:val="auto"/>
              </w:rPr>
              <w:t>Interest income</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95"/>
        </w:trPr>
        <w:tc>
          <w:tcPr>
            <w:tcW w:w="6500" w:type="dxa"/>
            <w:vAlign w:val="bottom"/>
          </w:tcPr>
          <w:p>
            <w:pPr>
              <w:spacing w:after="0"/>
              <w:rPr>
                <w:sz w:val="20"/>
                <w:szCs w:val="20"/>
                <w:color w:val="auto"/>
              </w:rPr>
            </w:pPr>
            <w:r>
              <w:rPr>
                <w:rFonts w:ascii="Arial" w:cs="Arial" w:eastAsia="Arial" w:hAnsi="Arial"/>
                <w:sz w:val="16"/>
                <w:szCs w:val="16"/>
                <w:color w:val="auto"/>
              </w:rPr>
              <w:t>Interest expense</w:t>
            </w:r>
          </w:p>
        </w:tc>
        <w:tc>
          <w:tcPr>
            <w:tcW w:w="7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(344)</w:t>
            </w:r>
          </w:p>
        </w:tc>
      </w:tr>
    </w:tbl>
    <w:p>
      <w:pPr>
        <w:sectPr>
          <w:pgSz w:w="11900" w:h="16878" w:orient="portrait"/>
          <w:cols w:equalWidth="0" w:num="1">
            <w:col w:w="11420"/>
          </w:cols>
          <w:pgMar w:left="240" w:top="368" w:right="239" w:bottom="0" w:gutter="0" w:footer="0" w:header="0"/>
        </w:sectPr>
      </w:pPr>
    </w:p>
    <w:bookmarkStart w:id="3" w:name="page4"/>
    <w:bookmarkEnd w:id="3"/>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4274185</wp:posOffset>
            </wp:positionH>
            <wp:positionV relativeFrom="page">
              <wp:posOffset>88900</wp:posOffset>
            </wp:positionV>
            <wp:extent cx="31299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9915"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20"/>
                <w:szCs w:val="20"/>
                <w:color w:val="auto"/>
              </w:rPr>
            </w:pPr>
            <w:r>
              <w:rPr>
                <w:rFonts w:ascii="Arial" w:cs="Arial" w:eastAsia="Arial" w:hAnsi="Arial"/>
                <w:sz w:val="16"/>
                <w:szCs w:val="16"/>
                <w:color w:val="auto"/>
              </w:rPr>
              <w:t>Income before income taxes and equity earnings</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6"/>
                <w:szCs w:val="16"/>
                <w:color w:val="auto"/>
              </w:rPr>
              <w:t>of certain unconsolidated subsidiaries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388</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4"/>
        </w:trPr>
        <w:tc>
          <w:tcPr>
            <w:tcW w:w="650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615</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Earnings attributable to noncontrolling interests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6"/>
        </w:trPr>
        <w:tc>
          <w:tcPr>
            <w:tcW w:w="6500" w:type="dxa"/>
            <w:vAlign w:val="bottom"/>
          </w:tcPr>
          <w:p>
            <w:pPr>
              <w:spacing w:after="0" w:line="169" w:lineRule="exact"/>
              <w:rPr>
                <w:sz w:val="20"/>
                <w:szCs w:val="20"/>
                <w:color w:val="auto"/>
              </w:rPr>
            </w:pPr>
            <w:r>
              <w:rPr>
                <w:rFonts w:ascii="Arial" w:cs="Arial" w:eastAsia="Arial" w:hAnsi="Arial"/>
                <w:sz w:val="16"/>
                <w:szCs w:val="16"/>
                <w:color w:val="auto"/>
              </w:rPr>
              <w:t>Earnings</w:t>
            </w:r>
          </w:p>
        </w:tc>
        <w:tc>
          <w:tcPr>
            <w:tcW w:w="36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268</w:t>
            </w:r>
          </w:p>
        </w:tc>
        <w:tc>
          <w:tcPr>
            <w:tcW w:w="3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289</w:t>
            </w:r>
          </w:p>
        </w:tc>
        <w:tc>
          <w:tcPr>
            <w:tcW w:w="36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566</w:t>
            </w:r>
          </w:p>
        </w:tc>
        <w:tc>
          <w:tcPr>
            <w:tcW w:w="36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50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6"/>
                <w:szCs w:val="16"/>
                <w:color w:val="auto"/>
              </w:rPr>
              <w:t>Weighted-average number of shares outstanding, basic (thousands)</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241,689</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239,545</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241,133</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239,693</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5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245,802</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241,880</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245,013</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241,955</w:t>
            </w:r>
          </w:p>
        </w:tc>
        <w:tc>
          <w:tcPr>
            <w:tcW w:w="0" w:type="dxa"/>
            <w:vAlign w:val="bottom"/>
          </w:tcPr>
          <w:p>
            <w:pPr>
              <w:spacing w:after="0"/>
              <w:rPr>
                <w:sz w:val="1"/>
                <w:szCs w:val="1"/>
                <w:color w:val="auto"/>
              </w:rPr>
            </w:pPr>
          </w:p>
        </w:tc>
      </w:tr>
      <w:tr>
        <w:trPr>
          <w:trHeight w:val="21"/>
        </w:trPr>
        <w:tc>
          <w:tcPr>
            <w:tcW w:w="6500" w:type="dxa"/>
            <w:vAlign w:val="bottom"/>
            <w:vMerge w:val="restart"/>
          </w:tcPr>
          <w:p>
            <w:pPr>
              <w:spacing w:after="0"/>
              <w:rPr>
                <w:sz w:val="20"/>
                <w:szCs w:val="20"/>
                <w:color w:val="auto"/>
              </w:rPr>
            </w:pPr>
            <w:r>
              <w:rPr>
                <w:rFonts w:ascii="Arial" w:cs="Arial" w:eastAsia="Arial" w:hAnsi="Arial"/>
                <w:sz w:val="16"/>
                <w:szCs w:val="16"/>
                <w:color w:val="auto"/>
              </w:rPr>
              <w:t>Dividends declared per share of common stock</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5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0.60</w:t>
            </w:r>
          </w:p>
        </w:tc>
        <w:tc>
          <w:tcPr>
            <w:tcW w:w="34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0.48</w:t>
            </w:r>
          </w:p>
        </w:tc>
        <w:tc>
          <w:tcPr>
            <w:tcW w:w="36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1.80</w:t>
            </w:r>
          </w:p>
        </w:tc>
        <w:tc>
          <w:tcPr>
            <w:tcW w:w="36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
        </w:trPr>
        <w:tc>
          <w:tcPr>
            <w:tcW w:w="6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right="4620" w:firstLine="8"/>
        <w:spacing w:after="0" w:line="346" w:lineRule="auto"/>
        <w:tabs>
          <w:tab w:leader="none" w:pos="48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 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5500"/>
        <w:spacing w:after="0" w:line="23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Three months ended September 30,</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3"/>
        </w:trPr>
        <w:tc>
          <w:tcPr>
            <w:tcW w:w="4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2011(1)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31"/>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color w:val="auto"/>
              </w:rPr>
              <w:t>Non-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8"/>
                <w:szCs w:val="18"/>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center"/>
              <w:ind w:right="24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8"/>
                <w:szCs w:val="18"/>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4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r>
      <w:tr>
        <w:trPr>
          <w:trHeight w:val="223"/>
        </w:trPr>
        <w:tc>
          <w:tcPr>
            <w:tcW w:w="456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290</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r>
      <w:tr>
        <w:trPr>
          <w:trHeight w:val="224"/>
        </w:trPr>
        <w:tc>
          <w:tcPr>
            <w:tcW w:w="456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88</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4560" w:type="dxa"/>
            <w:vAlign w:val="bottom"/>
          </w:tcPr>
          <w:p>
            <w:pPr>
              <w:ind w:left="180"/>
              <w:spacing w:after="0"/>
              <w:rPr>
                <w:sz w:val="20"/>
                <w:szCs w:val="20"/>
                <w:color w:val="auto"/>
              </w:rPr>
            </w:pPr>
            <w:r>
              <w:rPr>
                <w:rFonts w:ascii="Arial" w:cs="Arial" w:eastAsia="Arial" w:hAnsi="Arial"/>
                <w:sz w:val="16"/>
                <w:szCs w:val="16"/>
                <w:color w:val="auto"/>
              </w:rPr>
              <w:t>Net actuarial (loss) gain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5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23"/>
        </w:trPr>
        <w:tc>
          <w:tcPr>
            <w:tcW w:w="456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224"/>
        </w:trPr>
        <w:tc>
          <w:tcPr>
            <w:tcW w:w="456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2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9"/>
                <w:szCs w:val="19"/>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361</w:t>
            </w:r>
          </w:p>
        </w:tc>
        <w:tc>
          <w:tcPr>
            <w:tcW w:w="3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4560" w:type="dxa"/>
            <w:vAlign w:val="bottom"/>
          </w:tcPr>
          <w:p>
            <w:pPr>
              <w:spacing w:after="0"/>
              <w:rPr>
                <w:sz w:val="20"/>
                <w:szCs w:val="20"/>
                <w:color w:val="auto"/>
              </w:rPr>
            </w:pPr>
            <w:r>
              <w:rPr>
                <w:rFonts w:ascii="Arial" w:cs="Arial" w:eastAsia="Arial" w:hAnsi="Arial"/>
                <w:sz w:val="16"/>
                <w:szCs w:val="16"/>
                <w:color w:val="auto"/>
              </w:rPr>
              <w:t>Total comprehensive income (loss), after preferred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9"/>
        </w:trPr>
        <w:tc>
          <w:tcPr>
            <w:tcW w:w="45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359</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0"/>
        </w:trPr>
        <w:tc>
          <w:tcPr>
            <w:tcW w:w="4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color w:val="auto"/>
              </w:rPr>
              <w:t>Nine months ended September 30,</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23"/>
        </w:trPr>
        <w:tc>
          <w:tcPr>
            <w:tcW w:w="4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2011(1)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31"/>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color w:val="auto"/>
              </w:rPr>
              <w:t>Non-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8"/>
                <w:szCs w:val="18"/>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center"/>
              <w:ind w:right="24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8"/>
                <w:szCs w:val="18"/>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4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r>
      <w:tr>
        <w:trPr>
          <w:trHeight w:val="223"/>
        </w:trPr>
        <w:tc>
          <w:tcPr>
            <w:tcW w:w="456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615</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r>
      <w:tr>
        <w:trPr>
          <w:trHeight w:val="224"/>
        </w:trPr>
        <w:tc>
          <w:tcPr>
            <w:tcW w:w="456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125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4560" w:type="dxa"/>
            <w:vAlign w:val="bottom"/>
          </w:tcPr>
          <w:p>
            <w:pPr>
              <w:ind w:left="180"/>
              <w:spacing w:after="0"/>
              <w:rPr>
                <w:sz w:val="20"/>
                <w:szCs w:val="20"/>
                <w:color w:val="auto"/>
              </w:rPr>
            </w:pPr>
            <w:r>
              <w:rPr>
                <w:rFonts w:ascii="Arial" w:cs="Arial" w:eastAsia="Arial" w:hAnsi="Arial"/>
                <w:sz w:val="16"/>
                <w:szCs w:val="16"/>
                <w:color w:val="auto"/>
              </w:rPr>
              <w:t>Reclassification to net income of foreign 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6"/>
                <w:szCs w:val="16"/>
                <w:color w:val="auto"/>
              </w:rPr>
              <w:t>translation adjustments related to equity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6"/>
                <w:szCs w:val="16"/>
                <w:color w:val="auto"/>
              </w:rPr>
              <w:t>method investments(2)</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4560" w:type="dxa"/>
            <w:vAlign w:val="bottom"/>
          </w:tcPr>
          <w:p>
            <w:pPr>
              <w:ind w:left="180"/>
              <w:spacing w:after="0"/>
              <w:rPr>
                <w:sz w:val="20"/>
                <w:szCs w:val="20"/>
                <w:color w:val="auto"/>
              </w:rPr>
            </w:pPr>
            <w:r>
              <w:rPr>
                <w:rFonts w:ascii="Arial" w:cs="Arial" w:eastAsia="Arial" w:hAnsi="Arial"/>
                <w:sz w:val="16"/>
                <w:szCs w:val="16"/>
                <w:color w:val="auto"/>
              </w:rPr>
              <w:t>Net actuarial (loss) gain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5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23"/>
        </w:trPr>
        <w:tc>
          <w:tcPr>
            <w:tcW w:w="456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98</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r>
      <w:tr>
        <w:trPr>
          <w:trHeight w:val="224"/>
        </w:trPr>
        <w:tc>
          <w:tcPr>
            <w:tcW w:w="456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2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671</w:t>
            </w: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9"/>
                <w:szCs w:val="19"/>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713</w:t>
            </w:r>
          </w:p>
        </w:tc>
        <w:tc>
          <w:tcPr>
            <w:tcW w:w="3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879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4"/>
        </w:trPr>
        <w:tc>
          <w:tcPr>
            <w:tcW w:w="4560" w:type="dxa"/>
            <w:vAlign w:val="bottom"/>
          </w:tcPr>
          <w:p>
            <w:pPr>
              <w:spacing w:after="0"/>
              <w:rPr>
                <w:sz w:val="20"/>
                <w:szCs w:val="20"/>
                <w:color w:val="auto"/>
              </w:rPr>
            </w:pPr>
            <w:r>
              <w:rPr>
                <w:rFonts w:ascii="Arial" w:cs="Arial" w:eastAsia="Arial" w:hAnsi="Arial"/>
                <w:sz w:val="16"/>
                <w:szCs w:val="16"/>
                <w:color w:val="auto"/>
              </w:rPr>
              <w:t>Total comprehensive income (loss), after preferred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9"/>
        </w:trPr>
        <w:tc>
          <w:tcPr>
            <w:tcW w:w="45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708</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ind w:left="480" w:hanging="472"/>
        <w:spacing w:after="0"/>
        <w:tabs>
          <w:tab w:leader="none" w:pos="4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5" w:lineRule="exact"/>
        <w:rPr>
          <w:rFonts w:ascii="Arial" w:cs="Arial" w:eastAsia="Arial" w:hAnsi="Arial"/>
          <w:sz w:val="14"/>
          <w:szCs w:val="14"/>
          <w:i w:val="1"/>
          <w:iCs w:val="1"/>
          <w:color w:val="auto"/>
        </w:rPr>
      </w:pPr>
    </w:p>
    <w:p>
      <w:pPr>
        <w:ind w:left="480" w:hanging="472"/>
        <w:spacing w:after="0"/>
        <w:tabs>
          <w:tab w:leader="none" w:pos="4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the acquisition of Chilquinta Energía and Luz del Sur.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Pr>
          <w:p>
            <w:pPr>
              <w:jc w:val="center"/>
              <w:ind w:right="64"/>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183"/>
              <w:spacing w:after="0"/>
              <w:rPr>
                <w:sz w:val="20"/>
                <w:szCs w:val="20"/>
                <w:color w:val="auto"/>
              </w:rPr>
            </w:pPr>
            <w:r>
              <w:rPr>
                <w:rFonts w:ascii="Arial" w:cs="Arial" w:eastAsia="Arial" w:hAnsi="Arial"/>
                <w:sz w:val="14"/>
                <w:szCs w:val="14"/>
                <w:color w:val="auto"/>
              </w:rPr>
              <w:t>December 31,</w:t>
            </w:r>
          </w:p>
        </w:tc>
      </w:tr>
      <w:tr>
        <w:trPr>
          <w:trHeight w:val="208"/>
        </w:trPr>
        <w:tc>
          <w:tcPr>
            <w:tcW w:w="53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2011(1)(2)</w:t>
            </w:r>
          </w:p>
        </w:tc>
      </w:tr>
      <w:tr>
        <w:trPr>
          <w:trHeight w:val="231"/>
        </w:trPr>
        <w:tc>
          <w:tcPr>
            <w:tcW w:w="5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20" w:type="dxa"/>
            <w:vAlign w:val="bottom"/>
          </w:tcPr>
          <w:p>
            <w:pPr>
              <w:jc w:val="center"/>
              <w:ind w:right="64"/>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6"/>
                <w:szCs w:val="16"/>
                <w:color w:val="auto"/>
              </w:rPr>
              <w:t>ASSETS</w:t>
            </w:r>
          </w:p>
        </w:tc>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5360" w:type="dxa"/>
            <w:vAlign w:val="bottom"/>
          </w:tcPr>
          <w:p>
            <w:pPr>
              <w:spacing w:after="0"/>
              <w:rPr>
                <w:sz w:val="20"/>
                <w:szCs w:val="20"/>
                <w:color w:val="auto"/>
              </w:rPr>
            </w:pPr>
            <w:r>
              <w:rPr>
                <w:rFonts w:ascii="Arial" w:cs="Arial" w:eastAsia="Arial" w:hAnsi="Arial"/>
                <w:sz w:val="16"/>
                <w:szCs w:val="16"/>
                <w:color w:val="auto"/>
              </w:rPr>
              <w:t>Current assets:</w:t>
            </w:r>
          </w:p>
        </w:tc>
        <w:tc>
          <w:tcPr>
            <w:tcW w:w="3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5"/>
        </w:trPr>
        <w:tc>
          <w:tcPr>
            <w:tcW w:w="53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3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6"/>
        </w:trPr>
        <w:tc>
          <w:tcPr>
            <w:tcW w:w="536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3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r>
    </w:tbl>
    <w:p>
      <w:pPr>
        <w:sectPr>
          <w:pgSz w:w="11900" w:h="16864" w:orient="portrait"/>
          <w:cols w:equalWidth="0" w:num="1">
            <w:col w:w="11420"/>
          </w:cols>
          <w:pgMar w:left="240" w:top="19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Trade accounts receivable, net</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922</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6"/>
                <w:szCs w:val="16"/>
                <w:color w:val="auto"/>
              </w:rPr>
              <w:t>Other accounts and notes receivable, net</w:t>
            </w: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w:t>
            </w: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 undercollected</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U.S. Treasury grants receivable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Settlements receivable related to wildfire litigation</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1,027</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wildfire litigation costs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intangible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investments and other assets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33,251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31,192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(8,261)</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164"/>
        </w:trPr>
        <w:tc>
          <w:tcPr>
            <w:tcW w:w="8580" w:type="dxa"/>
            <w:vAlign w:val="bottom"/>
          </w:tcPr>
          <w:p>
            <w:pPr>
              <w:ind w:left="360"/>
              <w:spacing w:after="0" w:line="164" w:lineRule="exact"/>
              <w:rPr>
                <w:sz w:val="20"/>
                <w:szCs w:val="20"/>
                <w:color w:val="auto"/>
              </w:rPr>
            </w:pPr>
            <w:r>
              <w:rPr>
                <w:rFonts w:ascii="Arial" w:cs="Arial" w:eastAsia="Arial" w:hAnsi="Arial"/>
                <w:sz w:val="16"/>
                <w:szCs w:val="16"/>
                <w:color w:val="auto"/>
              </w:rPr>
              <w:t>Property, plant and equipment, net ($473 and $494 at September 30, 2012 and</w:t>
            </w:r>
          </w:p>
        </w:tc>
        <w:tc>
          <w:tcPr>
            <w:tcW w:w="4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24,990</w:t>
            </w:r>
          </w:p>
        </w:tc>
        <w:tc>
          <w:tcPr>
            <w:tcW w:w="5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23,465</w:t>
            </w:r>
          </w:p>
        </w:tc>
        <w:tc>
          <w:tcPr>
            <w:tcW w:w="0" w:type="dxa"/>
            <w:vAlign w:val="bottom"/>
          </w:tcPr>
          <w:p>
            <w:pPr>
              <w:spacing w:after="0"/>
              <w:rPr>
                <w:sz w:val="1"/>
                <w:szCs w:val="1"/>
                <w:color w:val="auto"/>
              </w:rPr>
            </w:pPr>
          </w:p>
        </w:tc>
      </w:tr>
      <w:tr>
        <w:trPr>
          <w:trHeight w:val="167"/>
        </w:trPr>
        <w:tc>
          <w:tcPr>
            <w:tcW w:w="8580" w:type="dxa"/>
            <w:vAlign w:val="bottom"/>
          </w:tcPr>
          <w:p>
            <w:pPr>
              <w:ind w:left="540"/>
              <w:spacing w:after="0" w:line="160" w:lineRule="exact"/>
              <w:rPr>
                <w:sz w:val="20"/>
                <w:szCs w:val="20"/>
                <w:color w:val="auto"/>
              </w:rPr>
            </w:pPr>
            <w:r>
              <w:rPr>
                <w:rFonts w:ascii="Arial" w:cs="Arial" w:eastAsia="Arial" w:hAnsi="Arial"/>
                <w:sz w:val="16"/>
                <w:szCs w:val="16"/>
                <w:color w:val="auto"/>
              </w:rPr>
              <w:t>December 31, 2011, respectively, related to VIE)</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35,390</w:t>
            </w:r>
          </w:p>
        </w:tc>
        <w:tc>
          <w:tcPr>
            <w:tcW w:w="50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33,249</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5" w:lineRule="exact"/>
        <w:rPr>
          <w:rFonts w:ascii="Arial" w:cs="Arial" w:eastAsia="Arial" w:hAnsi="Arial"/>
          <w:sz w:val="14"/>
          <w:szCs w:val="14"/>
          <w:i w:val="1"/>
          <w:iCs w:val="1"/>
          <w:color w:val="auto"/>
        </w:rPr>
      </w:pP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260"/>
              <w:spacing w:after="0"/>
              <w:rPr>
                <w:sz w:val="20"/>
                <w:szCs w:val="20"/>
                <w:color w:val="auto"/>
              </w:rPr>
            </w:pPr>
            <w:r>
              <w:rPr>
                <w:rFonts w:ascii="Arial" w:cs="Arial" w:eastAsia="Arial" w:hAnsi="Arial"/>
                <w:sz w:val="14"/>
                <w:szCs w:val="14"/>
                <w:color w:val="auto"/>
              </w:rPr>
              <w:t>September 30,</w:t>
            </w:r>
          </w:p>
        </w:tc>
        <w:tc>
          <w:tcPr>
            <w:tcW w:w="1320" w:type="dxa"/>
            <w:vAlign w:val="bottom"/>
            <w:gridSpan w:val="2"/>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2011(1)(2)</w:t>
            </w: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ind w:right="260"/>
              <w:spacing w:after="0"/>
              <w:rPr>
                <w:sz w:val="20"/>
                <w:szCs w:val="20"/>
                <w:color w:val="auto"/>
              </w:rPr>
            </w:pPr>
            <w:r>
              <w:rPr>
                <w:rFonts w:ascii="Arial" w:cs="Arial" w:eastAsia="Arial" w:hAnsi="Arial"/>
                <w:sz w:val="14"/>
                <w:szCs w:val="14"/>
                <w:color w:val="auto"/>
              </w:rPr>
              <w:t>(unaudited)</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LIABILITIES AND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970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126</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155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309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273</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 overcollected</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117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709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150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284</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590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4,349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w:t>
            </w:r>
          </w:p>
        </w:tc>
        <w:tc>
          <w:tcPr>
            <w:tcW w:w="0" w:type="dxa"/>
            <w:vAlign w:val="bottom"/>
          </w:tcPr>
          <w:p>
            <w:pPr>
              <w:spacing w:after="0"/>
              <w:rPr>
                <w:sz w:val="1"/>
                <w:szCs w:val="1"/>
                <w:color w:val="auto"/>
              </w:rPr>
            </w:pP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Long-term debt ($337 and $345 at September 30, 2012 and December 31, 2011, respectively,</w:t>
            </w:r>
          </w:p>
        </w:tc>
        <w:tc>
          <w:tcPr>
            <w:tcW w:w="220" w:type="dxa"/>
            <w:vAlign w:val="bottom"/>
          </w:tcPr>
          <w:p>
            <w:pPr>
              <w:spacing w:after="0"/>
              <w:rPr>
                <w:sz w:val="14"/>
                <w:szCs w:val="14"/>
                <w:color w:val="auto"/>
              </w:rPr>
            </w:pPr>
          </w:p>
        </w:tc>
        <w:tc>
          <w:tcPr>
            <w:tcW w:w="1300" w:type="dxa"/>
            <w:vAlign w:val="bottom"/>
            <w:vMerge w:val="restart"/>
          </w:tcPr>
          <w:p>
            <w:pPr>
              <w:jc w:val="right"/>
              <w:ind w:right="80"/>
              <w:spacing w:after="0"/>
              <w:rPr>
                <w:sz w:val="20"/>
                <w:szCs w:val="20"/>
                <w:color w:val="auto"/>
              </w:rPr>
            </w:pPr>
            <w:r>
              <w:rPr>
                <w:rFonts w:ascii="Arial" w:cs="Arial" w:eastAsia="Arial" w:hAnsi="Arial"/>
                <w:sz w:val="16"/>
                <w:szCs w:val="16"/>
                <w:color w:val="auto"/>
              </w:rPr>
              <w:t>11,193</w:t>
            </w: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r>
        <w:trPr>
          <w:trHeight w:val="167"/>
        </w:trPr>
        <w:tc>
          <w:tcPr>
            <w:tcW w:w="8580" w:type="dxa"/>
            <w:vAlign w:val="bottom"/>
          </w:tcPr>
          <w:p>
            <w:pPr>
              <w:ind w:left="360"/>
              <w:spacing w:after="0" w:line="160" w:lineRule="exact"/>
              <w:rPr>
                <w:sz w:val="20"/>
                <w:szCs w:val="20"/>
                <w:color w:val="auto"/>
              </w:rPr>
            </w:pPr>
            <w:r>
              <w:rPr>
                <w:rFonts w:ascii="Arial" w:cs="Arial" w:eastAsia="Arial" w:hAnsi="Arial"/>
                <w:sz w:val="16"/>
                <w:szCs w:val="16"/>
                <w:color w:val="auto"/>
              </w:rPr>
              <w:t>related to VIE)</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1,337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1,609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2,673</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1,981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liabilities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270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22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127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1,028</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9,273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Contingently redeemable preferred stock of subsidiary</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8" w:right="239" w:bottom="0" w:gutter="0" w:footer="0" w:header="0"/>
        </w:sectPr>
      </w:pPr>
    </w:p>
    <w:bookmarkStart w:id="5" w:name="page6"/>
    <w:bookmarkEnd w:id="5"/>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 (50 million shares authorized; none issued)</w:t>
            </w: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(750 million shares authorized; 242 million and 240 million shares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outstanding at September 30, 2012 and December 31, 2011, respectively; no par value)</w:t>
            </w: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2,178</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2,104</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8,293</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8,162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(389)</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Total Sempra Energy shareholders’ equity</w:t>
            </w:r>
          </w:p>
        </w:tc>
        <w:tc>
          <w:tcPr>
            <w:tcW w:w="54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10,082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9,775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 of subsidiary</w:t>
            </w: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394</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10,496</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10,178</w:t>
            </w:r>
          </w:p>
        </w:tc>
      </w:tr>
      <w:tr>
        <w:trPr>
          <w:trHeight w:val="176"/>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5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35,390</w:t>
            </w:r>
          </w:p>
        </w:tc>
        <w:tc>
          <w:tcPr>
            <w:tcW w:w="48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33,249</w:t>
            </w: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ind w:left="500" w:hanging="492"/>
        <w:spacing w:after="0"/>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45" w:lineRule="exact"/>
        <w:rPr>
          <w:rFonts w:ascii="Arial" w:cs="Arial" w:eastAsia="Arial" w:hAnsi="Arial"/>
          <w:sz w:val="14"/>
          <w:szCs w:val="14"/>
          <w:i w:val="1"/>
          <w:iCs w:val="1"/>
          <w:color w:val="auto"/>
        </w:rPr>
      </w:pPr>
    </w:p>
    <w:p>
      <w:pPr>
        <w:ind w:left="500" w:hanging="492"/>
        <w:spacing w:after="0"/>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7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2011(1)</w:t>
            </w:r>
          </w:p>
        </w:tc>
      </w:tr>
      <w:tr>
        <w:trPr>
          <w:trHeight w:val="231"/>
        </w:trPr>
        <w:tc>
          <w:tcPr>
            <w:tcW w:w="7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3"/>
          </w:tcPr>
          <w:p>
            <w:pPr>
              <w:jc w:val="right"/>
              <w:ind w:right="779"/>
              <w:spacing w:after="0"/>
              <w:rPr>
                <w:sz w:val="20"/>
                <w:szCs w:val="20"/>
                <w:color w:val="auto"/>
              </w:rPr>
            </w:pPr>
            <w:r>
              <w:rPr>
                <w:rFonts w:ascii="Arial" w:cs="Arial" w:eastAsia="Arial" w:hAnsi="Arial"/>
                <w:sz w:val="14"/>
                <w:szCs w:val="14"/>
                <w:color w:val="auto"/>
              </w:rPr>
              <w:t>(unaudited)</w:t>
            </w:r>
          </w:p>
        </w:tc>
      </w:tr>
      <w:tr>
        <w:trPr>
          <w:trHeight w:val="189"/>
        </w:trPr>
        <w:tc>
          <w:tcPr>
            <w:tcW w:w="74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5"/>
        </w:trPr>
        <w:tc>
          <w:tcPr>
            <w:tcW w:w="74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1,073</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6"/>
                <w:szCs w:val="16"/>
                <w:color w:val="auto"/>
              </w:rPr>
              <w:t>by operating activities: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216"/>
        </w:trPr>
        <w:tc>
          <w:tcPr>
            <w:tcW w:w="748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6"/>
        </w:trPr>
        <w:tc>
          <w:tcPr>
            <w:tcW w:w="7480" w:type="dxa"/>
            <w:vAlign w:val="bottom"/>
          </w:tcPr>
          <w:p>
            <w:pPr>
              <w:ind w:left="540"/>
              <w:spacing w:after="0"/>
              <w:rPr>
                <w:sz w:val="20"/>
                <w:szCs w:val="20"/>
                <w:color w:val="auto"/>
              </w:rPr>
            </w:pPr>
            <w:r>
              <w:rPr>
                <w:rFonts w:ascii="Arial" w:cs="Arial" w:eastAsia="Arial" w:hAnsi="Arial"/>
                <w:sz w:val="16"/>
                <w:szCs w:val="16"/>
                <w:color w:val="auto"/>
              </w:rPr>
              <w:t>Equity losses (earnings)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7480" w:type="dxa"/>
            <w:vAlign w:val="bottom"/>
          </w:tcPr>
          <w:p>
            <w:pPr>
              <w:ind w:left="540"/>
              <w:spacing w:after="0"/>
              <w:rPr>
                <w:sz w:val="20"/>
                <w:szCs w:val="20"/>
                <w:color w:val="auto"/>
              </w:rPr>
            </w:pPr>
            <w:r>
              <w:rPr>
                <w:rFonts w:ascii="Arial" w:cs="Arial" w:eastAsia="Arial" w:hAnsi="Arial"/>
                <w:sz w:val="16"/>
                <w:szCs w:val="16"/>
                <w:color w:val="auto"/>
              </w:rPr>
              <w:t>Remeasurement of equity method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6"/>
        </w:trPr>
        <w:tc>
          <w:tcPr>
            <w:tcW w:w="7480" w:type="dxa"/>
            <w:vAlign w:val="bottom"/>
          </w:tcPr>
          <w:p>
            <w:pPr>
              <w:ind w:left="540"/>
              <w:spacing w:after="0"/>
              <w:rPr>
                <w:sz w:val="20"/>
                <w:szCs w:val="20"/>
                <w:color w:val="auto"/>
              </w:rPr>
            </w:pPr>
            <w:r>
              <w:rPr>
                <w:rFonts w:ascii="Arial" w:cs="Arial" w:eastAsia="Arial" w:hAnsi="Arial"/>
                <w:sz w:val="16"/>
                <w:szCs w:val="16"/>
                <w:color w:val="auto"/>
              </w:rPr>
              <w:t>Fixed-price contracts and other derivatives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7480" w:type="dxa"/>
            <w:vAlign w:val="bottom"/>
          </w:tcPr>
          <w:p>
            <w:pPr>
              <w:ind w:left="54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Distributions from RBS Sempra Commodities LLP</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748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w:t>
            </w:r>
          </w:p>
        </w:tc>
      </w:tr>
      <w:tr>
        <w:trPr>
          <w:trHeight w:val="440"/>
        </w:trPr>
        <w:tc>
          <w:tcPr>
            <w:tcW w:w="74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(2,031)</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Expenditures for investments and acquisition of businesses, net of cash acquired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Proceeds from sale of joint venture interest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Distributions from RBS Sempra Commodities LLP</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Distributions from other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Purchases of nuclear decommissioning and other trust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and other trusts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23"/>
        </w:trPr>
        <w:tc>
          <w:tcPr>
            <w:tcW w:w="748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w:t>
            </w:r>
          </w:p>
        </w:tc>
      </w:tr>
      <w:tr>
        <w:trPr>
          <w:trHeight w:val="440"/>
        </w:trPr>
        <w:tc>
          <w:tcPr>
            <w:tcW w:w="74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Redemption of subsidiary preferred stock</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Preferred dividends paid by subsidiaries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Issuances of common stock</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Issuances of debt (maturities greater than 90 days)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1,525</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Payments on debt (maturities greater than 90 days)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Decrease in short-term debt,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Purchase of noncontrolling interests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480" w:type="dxa"/>
            <w:vAlign w:val="bottom"/>
          </w:tcPr>
          <w:p>
            <w:pPr>
              <w:ind w:left="18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7480" w:type="dxa"/>
            <w:vAlign w:val="bottom"/>
          </w:tcPr>
          <w:p>
            <w:pPr>
              <w:ind w:left="360"/>
              <w:spacing w:after="0"/>
              <w:rPr>
                <w:sz w:val="20"/>
                <w:szCs w:val="20"/>
                <w:color w:val="auto"/>
              </w:rPr>
            </w:pPr>
            <w:r>
              <w:rPr>
                <w:rFonts w:ascii="Arial" w:cs="Arial" w:eastAsia="Arial" w:hAnsi="Arial"/>
                <w:sz w:val="16"/>
                <w:szCs w:val="16"/>
                <w:color w:val="auto"/>
              </w:rPr>
              <w:t>Net cash provided by financing activities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439"/>
        </w:trPr>
        <w:tc>
          <w:tcPr>
            <w:tcW w:w="74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440"/>
        </w:trPr>
        <w:tc>
          <w:tcPr>
            <w:tcW w:w="748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278</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6"/>
        </w:trPr>
        <w:tc>
          <w:tcPr>
            <w:tcW w:w="748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r>
      <w:tr>
        <w:trPr>
          <w:trHeight w:val="176"/>
        </w:trPr>
        <w:tc>
          <w:tcPr>
            <w:tcW w:w="74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Cash and cash equivalents, September 30</w:t>
            </w: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530</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657</w:t>
            </w:r>
          </w:p>
        </w:tc>
      </w:tr>
      <w:tr>
        <w:trPr>
          <w:trHeight w:val="21"/>
        </w:trPr>
        <w:tc>
          <w:tcPr>
            <w:tcW w:w="7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ind w:left="540" w:hanging="532"/>
        <w:spacing w:after="0"/>
        <w:tabs>
          <w:tab w:leader="none" w:pos="5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ectPr>
          <w:pgSz w:w="11900" w:h="16842" w:orient="portrait"/>
          <w:cols w:equalWidth="0" w:num="1">
            <w:col w:w="11420"/>
          </w:cols>
          <w:pgMar w:left="240" w:top="168" w:right="239" w:bottom="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736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00"/>
              <w:spacing w:after="0"/>
              <w:rPr>
                <w:sz w:val="20"/>
                <w:szCs w:val="20"/>
                <w:color w:val="auto"/>
              </w:rPr>
            </w:pPr>
            <w:r>
              <w:rPr>
                <w:rFonts w:ascii="Arial" w:cs="Arial" w:eastAsia="Arial" w:hAnsi="Arial"/>
                <w:sz w:val="14"/>
                <w:szCs w:val="14"/>
                <w:color w:val="auto"/>
              </w:rPr>
              <w:t>2011</w:t>
            </w:r>
          </w:p>
        </w:tc>
      </w:tr>
      <w:tr>
        <w:trPr>
          <w:trHeight w:val="231"/>
        </w:trPr>
        <w:tc>
          <w:tcPr>
            <w:tcW w:w="7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(unaudited)</w:t>
            </w:r>
          </w:p>
        </w:tc>
        <w:tc>
          <w:tcPr>
            <w:tcW w:w="820" w:type="dxa"/>
            <w:vAlign w:val="bottom"/>
            <w:tcBorders>
              <w:top w:val="single" w:sz="8" w:color="auto"/>
            </w:tcBorders>
          </w:tcPr>
          <w:p>
            <w:pPr>
              <w:spacing w:after="0"/>
              <w:rPr>
                <w:sz w:val="20"/>
                <w:szCs w:val="20"/>
                <w:color w:val="auto"/>
              </w:rPr>
            </w:pPr>
          </w:p>
        </w:tc>
      </w:tr>
      <w:tr>
        <w:trPr>
          <w:trHeight w:val="189"/>
        </w:trPr>
        <w:tc>
          <w:tcPr>
            <w:tcW w:w="736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736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2420" w:type="dxa"/>
            <w:vAlign w:val="bottom"/>
            <w:gridSpan w:val="2"/>
          </w:tcPr>
          <w:p>
            <w:pPr>
              <w:jc w:val="right"/>
              <w:ind w:right="623"/>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278</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99</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432"/>
        </w:trPr>
        <w:tc>
          <w:tcPr>
            <w:tcW w:w="736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7"/>
        </w:trPr>
        <w:tc>
          <w:tcPr>
            <w:tcW w:w="7360" w:type="dxa"/>
            <w:vAlign w:val="bottom"/>
          </w:tcPr>
          <w:p>
            <w:pPr>
              <w:ind w:left="80"/>
              <w:spacing w:after="0"/>
              <w:rPr>
                <w:sz w:val="20"/>
                <w:szCs w:val="20"/>
                <w:color w:val="auto"/>
              </w:rPr>
            </w:pPr>
            <w:r>
              <w:rPr>
                <w:rFonts w:ascii="Arial" w:cs="Arial" w:eastAsia="Arial" w:hAnsi="Arial"/>
                <w:sz w:val="16"/>
                <w:szCs w:val="16"/>
                <w:color w:val="auto"/>
              </w:rPr>
              <w:t>Acquisition of businesses:</w:t>
            </w:r>
          </w:p>
        </w:tc>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5"/>
        </w:trPr>
        <w:tc>
          <w:tcPr>
            <w:tcW w:w="7360" w:type="dxa"/>
            <w:vAlign w:val="bottom"/>
          </w:tcPr>
          <w:p>
            <w:pPr>
              <w:ind w:left="320"/>
              <w:spacing w:after="0"/>
              <w:rPr>
                <w:sz w:val="20"/>
                <w:szCs w:val="20"/>
                <w:color w:val="auto"/>
              </w:rPr>
            </w:pPr>
            <w:r>
              <w:rPr>
                <w:rFonts w:ascii="Arial" w:cs="Arial" w:eastAsia="Arial" w:hAnsi="Arial"/>
                <w:sz w:val="16"/>
                <w:szCs w:val="16"/>
                <w:color w:val="auto"/>
              </w:rPr>
              <w:t>Assets acquired</w:t>
            </w:r>
          </w:p>
        </w:tc>
        <w:tc>
          <w:tcPr>
            <w:tcW w:w="2420" w:type="dxa"/>
            <w:vAlign w:val="bottom"/>
            <w:gridSpan w:val="2"/>
          </w:tcPr>
          <w:p>
            <w:pPr>
              <w:jc w:val="right"/>
              <w:ind w:right="623"/>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2,831</w:t>
            </w:r>
          </w:p>
        </w:tc>
      </w:tr>
      <w:tr>
        <w:trPr>
          <w:trHeight w:val="216"/>
        </w:trPr>
        <w:tc>
          <w:tcPr>
            <w:tcW w:w="7360" w:type="dxa"/>
            <w:vAlign w:val="bottom"/>
          </w:tcPr>
          <w:p>
            <w:pPr>
              <w:ind w:left="320"/>
              <w:spacing w:after="0"/>
              <w:rPr>
                <w:sz w:val="20"/>
                <w:szCs w:val="20"/>
                <w:color w:val="auto"/>
              </w:rPr>
            </w:pPr>
            <w:r>
              <w:rPr>
                <w:rFonts w:ascii="Arial" w:cs="Arial" w:eastAsia="Arial" w:hAnsi="Arial"/>
                <w:sz w:val="16"/>
                <w:szCs w:val="16"/>
                <w:color w:val="auto"/>
              </w:rPr>
              <w:t>Cash paid, net of cash acquired</w:t>
            </w: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16"/>
        </w:trPr>
        <w:tc>
          <w:tcPr>
            <w:tcW w:w="7360" w:type="dxa"/>
            <w:vAlign w:val="bottom"/>
          </w:tcPr>
          <w:p>
            <w:pPr>
              <w:ind w:left="320"/>
              <w:spacing w:after="0"/>
              <w:rPr>
                <w:sz w:val="20"/>
                <w:szCs w:val="20"/>
                <w:color w:val="auto"/>
              </w:rPr>
            </w:pPr>
            <w:r>
              <w:rPr>
                <w:rFonts w:ascii="Arial" w:cs="Arial" w:eastAsia="Arial" w:hAnsi="Arial"/>
                <w:sz w:val="16"/>
                <w:szCs w:val="16"/>
                <w:color w:val="auto"/>
              </w:rPr>
              <w:t>Fair value of equity method investments immediately prior to the acquisition</w:t>
            </w: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16"/>
        </w:trPr>
        <w:tc>
          <w:tcPr>
            <w:tcW w:w="7360" w:type="dxa"/>
            <w:vAlign w:val="bottom"/>
          </w:tcPr>
          <w:p>
            <w:pPr>
              <w:ind w:left="320"/>
              <w:spacing w:after="0"/>
              <w:rPr>
                <w:sz w:val="20"/>
                <w:szCs w:val="20"/>
                <w:color w:val="auto"/>
              </w:rPr>
            </w:pPr>
            <w:r>
              <w:rPr>
                <w:rFonts w:ascii="Arial" w:cs="Arial" w:eastAsia="Arial" w:hAnsi="Arial"/>
                <w:sz w:val="16"/>
                <w:szCs w:val="16"/>
                <w:color w:val="auto"/>
              </w:rPr>
              <w:t>Fair value of noncontrolling interests</w:t>
            </w: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6"/>
        </w:trPr>
        <w:tc>
          <w:tcPr>
            <w:tcW w:w="7360" w:type="dxa"/>
            <w:vAlign w:val="bottom"/>
          </w:tcPr>
          <w:p>
            <w:pPr>
              <w:ind w:left="320"/>
              <w:spacing w:after="0"/>
              <w:rPr>
                <w:sz w:val="20"/>
                <w:szCs w:val="20"/>
                <w:color w:val="auto"/>
              </w:rPr>
            </w:pPr>
            <w:r>
              <w:rPr>
                <w:rFonts w:ascii="Arial" w:cs="Arial" w:eastAsia="Arial" w:hAnsi="Arial"/>
                <w:sz w:val="16"/>
                <w:szCs w:val="16"/>
                <w:color w:val="auto"/>
              </w:rPr>
              <w:t>Additional consideration accrued</w:t>
            </w:r>
          </w:p>
        </w:tc>
        <w:tc>
          <w:tcPr>
            <w:tcW w:w="16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176"/>
        </w:trPr>
        <w:tc>
          <w:tcPr>
            <w:tcW w:w="7360" w:type="dxa"/>
            <w:vAlign w:val="bottom"/>
          </w:tcPr>
          <w:p>
            <w:pPr>
              <w:ind w:left="320"/>
              <w:spacing w:after="0" w:line="169" w:lineRule="exact"/>
              <w:rPr>
                <w:sz w:val="20"/>
                <w:szCs w:val="20"/>
                <w:color w:val="auto"/>
              </w:rPr>
            </w:pPr>
            <w:r>
              <w:rPr>
                <w:rFonts w:ascii="Arial" w:cs="Arial" w:eastAsia="Arial" w:hAnsi="Arial"/>
                <w:sz w:val="16"/>
                <w:szCs w:val="16"/>
                <w:color w:val="auto"/>
              </w:rPr>
              <w:t>Liabilities assumed</w:t>
            </w:r>
          </w:p>
        </w:tc>
        <w:tc>
          <w:tcPr>
            <w:tcW w:w="1620" w:type="dxa"/>
            <w:vAlign w:val="bottom"/>
          </w:tcPr>
          <w:p>
            <w:pPr>
              <w:spacing w:after="0"/>
              <w:rPr>
                <w:sz w:val="15"/>
                <w:szCs w:val="15"/>
                <w:color w:val="auto"/>
              </w:rPr>
            </w:pPr>
          </w:p>
        </w:tc>
        <w:tc>
          <w:tcPr>
            <w:tcW w:w="800" w:type="dxa"/>
            <w:vAlign w:val="bottom"/>
            <w:tcBorders>
              <w:bottom w:val="single" w:sz="8" w:color="auto"/>
            </w:tcBorders>
          </w:tcPr>
          <w:p>
            <w:pPr>
              <w:jc w:val="right"/>
              <w:ind w:right="623"/>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1,027</w:t>
            </w:r>
          </w:p>
        </w:tc>
      </w:tr>
      <w:tr>
        <w:trPr>
          <w:trHeight w:val="21"/>
        </w:trPr>
        <w:tc>
          <w:tcPr>
            <w:tcW w:w="7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3"/>
        </w:trPr>
        <w:tc>
          <w:tcPr>
            <w:tcW w:w="736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2420" w:type="dxa"/>
            <w:vAlign w:val="bottom"/>
            <w:gridSpan w:val="2"/>
          </w:tcPr>
          <w:p>
            <w:pPr>
              <w:jc w:val="right"/>
              <w:ind w:right="623"/>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315</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U.S. Treasury grants receivable(1)</w:t>
            </w: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136</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13"/>
        </w:trPr>
        <w:tc>
          <w:tcPr>
            <w:tcW w:w="7360" w:type="dxa"/>
            <w:vAlign w:val="bottom"/>
          </w:tcPr>
          <w:p>
            <w:pPr>
              <w:spacing w:after="0"/>
              <w:rPr>
                <w:sz w:val="20"/>
                <w:szCs w:val="20"/>
                <w:color w:val="auto"/>
              </w:rPr>
            </w:pPr>
            <w:r>
              <w:rPr>
                <w:rFonts w:ascii="Arial" w:cs="Arial" w:eastAsia="Arial" w:hAnsi="Arial"/>
                <w:sz w:val="16"/>
                <w:szCs w:val="16"/>
                <w:color w:val="auto"/>
              </w:rPr>
              <w:t>SUPPLEMENTAL DISCLOSURE OF NONCASH FINANCING ACTIVITIES</w:t>
            </w: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7"/>
        </w:trPr>
        <w:tc>
          <w:tcPr>
            <w:tcW w:w="7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declared but not paid</w:t>
            </w:r>
          </w:p>
        </w:tc>
        <w:tc>
          <w:tcPr>
            <w:tcW w:w="242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ind w:right="5220" w:firstLine="8"/>
        <w:spacing w:after="0" w:line="265" w:lineRule="auto"/>
        <w:tabs>
          <w:tab w:leader="none" w:pos="527"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Cash grants, excluding $45 million previously recorded in 2011 as investment tax credits. 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48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2011</w:t>
            </w:r>
          </w:p>
        </w:tc>
      </w:tr>
      <w:tr>
        <w:trPr>
          <w:trHeight w:val="231"/>
        </w:trPr>
        <w:tc>
          <w:tcPr>
            <w:tcW w:w="4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3"/>
          </w:tcPr>
          <w:p>
            <w:pPr>
              <w:jc w:val="right"/>
              <w:ind w:right="820"/>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6"/>
                <w:szCs w:val="16"/>
                <w:color w:val="auto"/>
              </w:rPr>
              <w:t>Operating revenues</w:t>
            </w: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5"/>
        </w:trPr>
        <w:tc>
          <w:tcPr>
            <w:tcW w:w="4800" w:type="dxa"/>
            <w:vAlign w:val="bottom"/>
          </w:tcPr>
          <w:p>
            <w:pPr>
              <w:ind w:left="180"/>
              <w:spacing w:after="0"/>
              <w:rPr>
                <w:sz w:val="20"/>
                <w:szCs w:val="20"/>
                <w:color w:val="auto"/>
              </w:rPr>
            </w:pPr>
            <w:r>
              <w:rPr>
                <w:rFonts w:ascii="Arial" w:cs="Arial" w:eastAsia="Arial" w:hAnsi="Arial"/>
                <w:sz w:val="16"/>
                <w:szCs w:val="16"/>
                <w:color w:val="auto"/>
              </w:rPr>
              <w:t>Electric</w:t>
            </w:r>
          </w:p>
        </w:tc>
        <w:tc>
          <w:tcPr>
            <w:tcW w:w="2300" w:type="dxa"/>
            <w:vAlign w:val="bottom"/>
            <w:gridSpan w:val="2"/>
          </w:tcPr>
          <w:p>
            <w:pPr>
              <w:jc w:val="right"/>
              <w:ind w:right="623"/>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763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2,349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2,011</w:t>
            </w:r>
          </w:p>
        </w:tc>
      </w:tr>
      <w:tr>
        <w:trPr>
          <w:trHeight w:val="216"/>
        </w:trPr>
        <w:tc>
          <w:tcPr>
            <w:tcW w:w="480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23"/>
        </w:trPr>
        <w:tc>
          <w:tcPr>
            <w:tcW w:w="480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15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1,092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w:t>
            </w:r>
          </w:p>
        </w:tc>
      </w:tr>
      <w:tr>
        <w:trPr>
          <w:trHeight w:val="224"/>
        </w:trPr>
        <w:tc>
          <w:tcPr>
            <w:tcW w:w="4800" w:type="dxa"/>
            <w:vAlign w:val="bottom"/>
          </w:tcPr>
          <w:p>
            <w:pPr>
              <w:spacing w:after="0"/>
              <w:rPr>
                <w:sz w:val="20"/>
                <w:szCs w:val="20"/>
                <w:color w:val="auto"/>
              </w:rPr>
            </w:pPr>
            <w:r>
              <w:rPr>
                <w:rFonts w:ascii="Arial" w:cs="Arial" w:eastAsia="Arial" w:hAnsi="Arial"/>
                <w:sz w:val="16"/>
                <w:szCs w:val="16"/>
                <w:color w:val="auto"/>
              </w:rPr>
              <w:t>Operating expenses</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6"/>
        </w:trPr>
        <w:tc>
          <w:tcPr>
            <w:tcW w:w="480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480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16"/>
        </w:trPr>
        <w:tc>
          <w:tcPr>
            <w:tcW w:w="48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480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23"/>
        </w:trPr>
        <w:tc>
          <w:tcPr>
            <w:tcW w:w="480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5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w:t>
            </w:r>
          </w:p>
        </w:tc>
      </w:tr>
      <w:tr>
        <w:trPr>
          <w:trHeight w:val="224"/>
        </w:trPr>
        <w:tc>
          <w:tcPr>
            <w:tcW w:w="4800" w:type="dxa"/>
            <w:vAlign w:val="bottom"/>
          </w:tcPr>
          <w:p>
            <w:pPr>
              <w:spacing w:after="0"/>
              <w:rPr>
                <w:sz w:val="20"/>
                <w:szCs w:val="20"/>
                <w:color w:val="auto"/>
              </w:rPr>
            </w:pPr>
            <w:r>
              <w:rPr>
                <w:rFonts w:ascii="Arial" w:cs="Arial" w:eastAsia="Arial" w:hAnsi="Arial"/>
                <w:sz w:val="16"/>
                <w:szCs w:val="16"/>
                <w:color w:val="auto"/>
              </w:rPr>
              <w:t>Operating income</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6"/>
        </w:trPr>
        <w:tc>
          <w:tcPr>
            <w:tcW w:w="4800" w:type="dxa"/>
            <w:vAlign w:val="bottom"/>
          </w:tcPr>
          <w:p>
            <w:pPr>
              <w:spacing w:after="0"/>
              <w:rPr>
                <w:sz w:val="20"/>
                <w:szCs w:val="20"/>
                <w:color w:val="auto"/>
              </w:rPr>
            </w:pPr>
            <w:r>
              <w:rPr>
                <w:rFonts w:ascii="Arial" w:cs="Arial" w:eastAsia="Arial" w:hAnsi="Arial"/>
                <w:sz w:val="16"/>
                <w:szCs w:val="16"/>
                <w:color w:val="auto"/>
              </w:rPr>
              <w:t>Other income, net</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4800" w:type="dxa"/>
            <w:vAlign w:val="bottom"/>
          </w:tcPr>
          <w:p>
            <w:pPr>
              <w:spacing w:after="0"/>
              <w:rPr>
                <w:sz w:val="20"/>
                <w:szCs w:val="20"/>
                <w:color w:val="auto"/>
              </w:rPr>
            </w:pPr>
            <w:r>
              <w:rPr>
                <w:rFonts w:ascii="Arial" w:cs="Arial" w:eastAsia="Arial" w:hAnsi="Arial"/>
                <w:sz w:val="16"/>
                <w:szCs w:val="16"/>
                <w:color w:val="auto"/>
              </w:rPr>
              <w:t>Interest expense</w:t>
            </w:r>
          </w:p>
        </w:tc>
        <w:tc>
          <w:tcPr>
            <w:tcW w:w="1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24"/>
        </w:trPr>
        <w:tc>
          <w:tcPr>
            <w:tcW w:w="48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226</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6"/>
        </w:trPr>
        <w:tc>
          <w:tcPr>
            <w:tcW w:w="4800" w:type="dxa"/>
            <w:vAlign w:val="bottom"/>
          </w:tcPr>
          <w:p>
            <w:pPr>
              <w:spacing w:after="0"/>
              <w:rPr>
                <w:sz w:val="20"/>
                <w:szCs w:val="20"/>
                <w:color w:val="auto"/>
              </w:rPr>
            </w:pPr>
            <w:r>
              <w:rPr>
                <w:rFonts w:ascii="Arial" w:cs="Arial" w:eastAsia="Arial" w:hAnsi="Arial"/>
                <w:sz w:val="16"/>
                <w:szCs w:val="16"/>
                <w:color w:val="auto"/>
              </w:rPr>
              <w:t>Income tax expense</w:t>
            </w:r>
          </w:p>
        </w:tc>
        <w:tc>
          <w:tcPr>
            <w:tcW w:w="1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24"/>
        </w:trPr>
        <w:tc>
          <w:tcPr>
            <w:tcW w:w="4800" w:type="dxa"/>
            <w:vAlign w:val="bottom"/>
          </w:tcPr>
          <w:p>
            <w:pPr>
              <w:spacing w:after="0"/>
              <w:rPr>
                <w:sz w:val="20"/>
                <w:szCs w:val="20"/>
                <w:color w:val="auto"/>
              </w:rPr>
            </w:pPr>
            <w:r>
              <w:rPr>
                <w:rFonts w:ascii="Arial" w:cs="Arial" w:eastAsia="Arial" w:hAnsi="Arial"/>
                <w:sz w:val="16"/>
                <w:szCs w:val="16"/>
                <w:color w:val="auto"/>
              </w:rPr>
              <w:t>Net income</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6"/>
        </w:trPr>
        <w:tc>
          <w:tcPr>
            <w:tcW w:w="4800" w:type="dxa"/>
            <w:vAlign w:val="bottom"/>
          </w:tcPr>
          <w:p>
            <w:pPr>
              <w:spacing w:after="0"/>
              <w:rPr>
                <w:sz w:val="20"/>
                <w:szCs w:val="20"/>
                <w:color w:val="auto"/>
              </w:rPr>
            </w:pPr>
            <w:r>
              <w:rPr>
                <w:rFonts w:ascii="Arial" w:cs="Arial" w:eastAsia="Arial" w:hAnsi="Arial"/>
                <w:sz w:val="16"/>
                <w:szCs w:val="16"/>
                <w:color w:val="auto"/>
              </w:rPr>
              <w:t>Earnings attributable to noncontrolling interest</w:t>
            </w:r>
          </w:p>
        </w:tc>
        <w:tc>
          <w:tcPr>
            <w:tcW w:w="1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4"/>
        </w:trPr>
        <w:tc>
          <w:tcPr>
            <w:tcW w:w="4800" w:type="dxa"/>
            <w:vAlign w:val="bottom"/>
          </w:tcPr>
          <w:p>
            <w:pPr>
              <w:spacing w:after="0"/>
              <w:rPr>
                <w:sz w:val="20"/>
                <w:szCs w:val="20"/>
                <w:color w:val="auto"/>
              </w:rPr>
            </w:pPr>
            <w:r>
              <w:rPr>
                <w:rFonts w:ascii="Arial" w:cs="Arial" w:eastAsia="Arial" w:hAnsi="Arial"/>
                <w:sz w:val="16"/>
                <w:szCs w:val="16"/>
                <w:color w:val="auto"/>
              </w:rPr>
              <w:t>Earnings</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176</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6"/>
        </w:trPr>
        <w:tc>
          <w:tcPr>
            <w:tcW w:w="480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1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76"/>
        </w:trPr>
        <w:tc>
          <w:tcPr>
            <w:tcW w:w="480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1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23"/>
              <w:spacing w:after="0" w:line="176"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174</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113</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374</w:t>
            </w:r>
          </w:p>
        </w:tc>
        <w:tc>
          <w:tcPr>
            <w:tcW w:w="28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273</w:t>
            </w:r>
          </w:p>
        </w:tc>
      </w:tr>
      <w:tr>
        <w:trPr>
          <w:trHeight w:val="21"/>
        </w:trPr>
        <w:tc>
          <w:tcPr>
            <w:tcW w:w="4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-1905</wp:posOffset>
            </wp:positionV>
            <wp:extent cx="4296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96410" cy="1714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2011</w:t>
            </w:r>
          </w:p>
        </w:tc>
        <w:tc>
          <w:tcPr>
            <w:tcW w:w="1020" w:type="dxa"/>
            <w:vAlign w:val="bottom"/>
            <w:tcBorders>
              <w:bottom w:val="single" w:sz="8" w:color="auto"/>
            </w:tcBorders>
          </w:tcPr>
          <w:p>
            <w:pPr>
              <w:spacing w:after="0"/>
              <w:rPr>
                <w:sz w:val="14"/>
                <w:szCs w:val="14"/>
                <w:color w:val="auto"/>
              </w:rPr>
            </w:pPr>
          </w:p>
        </w:tc>
      </w:tr>
      <w:tr>
        <w:trPr>
          <w:trHeight w:val="231"/>
        </w:trPr>
        <w:tc>
          <w:tcPr>
            <w:tcW w:w="4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ind w:left="100"/>
              <w:spacing w:after="0"/>
              <w:rPr>
                <w:sz w:val="20"/>
                <w:szCs w:val="20"/>
                <w:color w:val="auto"/>
              </w:rPr>
            </w:pPr>
            <w:r>
              <w:rPr>
                <w:rFonts w:ascii="Arial" w:cs="Arial" w:eastAsia="Arial" w:hAnsi="Arial"/>
                <w:sz w:val="14"/>
                <w:szCs w:val="14"/>
                <w:color w:val="auto"/>
              </w:rPr>
              <w:t>(unaudited)</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Non-</w:t>
            </w: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Non-</w:t>
            </w:r>
          </w:p>
        </w:tc>
        <w:tc>
          <w:tcPr>
            <w:tcW w:w="102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1020" w:type="dxa"/>
            <w:vAlign w:val="bottom"/>
          </w:tcPr>
          <w:p>
            <w:pPr>
              <w:spacing w:after="0"/>
              <w:rPr>
                <w:sz w:val="18"/>
                <w:szCs w:val="18"/>
                <w:color w:val="auto"/>
              </w:rPr>
            </w:pPr>
          </w:p>
        </w:tc>
      </w:tr>
      <w:tr>
        <w:trPr>
          <w:trHeight w:val="208"/>
        </w:trPr>
        <w:tc>
          <w:tcPr>
            <w:tcW w:w="4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SDG&amp;E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w:t>
            </w: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SDG&amp;E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w:t>
            </w: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r>
    </w:tbl>
    <w:p>
      <w:pPr>
        <w:sectPr>
          <w:pgSz w:w="11900" w:h="16838" w:orient="portrait"/>
          <w:cols w:equalWidth="0" w:num="1">
            <w:col w:w="11420"/>
          </w:cols>
          <w:pgMar w:left="240" w:top="130" w:right="239" w:bottom="0" w:gutter="0" w:footer="0" w:header="0"/>
        </w:sectPr>
      </w:pPr>
    </w:p>
    <w:bookmarkStart w:id="7" w:name="page8"/>
    <w:bookmarkEnd w:id="7"/>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188</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40"/>
        </w:trPr>
        <w:tc>
          <w:tcPr>
            <w:tcW w:w="4660" w:type="dxa"/>
            <w:vAlign w:val="bottom"/>
            <w:vMerge w:val="restart"/>
          </w:tcPr>
          <w:p>
            <w:pPr>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184</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color w:val="auto"/>
              </w:rPr>
              <w:t>Non-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Interest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w w:val="97"/>
              </w:rPr>
              <w:t>SDG&amp;E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401</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388</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0"/>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180" w:type="dxa"/>
            <w:vAlign w:val="bottom"/>
            <w:tcBorders>
              <w:bottom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8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80" w:type="dxa"/>
            <w:vAlign w:val="bottom"/>
            <w:gridSpan w:val="2"/>
          </w:tcPr>
          <w:p>
            <w:pPr>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5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Accounts receivable – trade,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6"/>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Accounts receivable – other,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Due from unconsolidated affiliates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Income taxes receivable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balancing accounts,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 regulatory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Settlements receivable related to wildfire litigation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440"/>
        </w:trPr>
        <w:tc>
          <w:tcPr>
            <w:tcW w:w="85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taxes recoverable in rates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pension and other postretirement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benefit obligations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wildfire litigation costs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 regulatory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Nuclear decommissioning trusts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Sundry</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440"/>
        </w:trPr>
        <w:tc>
          <w:tcPr>
            <w:tcW w:w="858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13,827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13,003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8400" w:type="dxa"/>
            <w:vAlign w:val="bottom"/>
          </w:tcPr>
          <w:p>
            <w:pPr>
              <w:ind w:left="180"/>
              <w:spacing w:after="0" w:line="164" w:lineRule="exact"/>
              <w:rPr>
                <w:sz w:val="20"/>
                <w:szCs w:val="20"/>
                <w:color w:val="auto"/>
              </w:rPr>
            </w:pPr>
            <w:r>
              <w:rPr>
                <w:rFonts w:ascii="Arial" w:cs="Arial" w:eastAsia="Arial" w:hAnsi="Arial"/>
                <w:sz w:val="16"/>
                <w:szCs w:val="16"/>
                <w:color w:val="auto"/>
              </w:rPr>
              <w:t>Property, plant and equipment, net ($473 and $494 at September 30, 2012 and</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10,631</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10,040</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8400" w:type="dxa"/>
            <w:vAlign w:val="bottom"/>
          </w:tcPr>
          <w:p>
            <w:pPr>
              <w:ind w:left="360"/>
              <w:spacing w:after="0" w:line="160" w:lineRule="exact"/>
              <w:rPr>
                <w:sz w:val="20"/>
                <w:szCs w:val="20"/>
                <w:color w:val="auto"/>
              </w:rPr>
            </w:pPr>
            <w:r>
              <w:rPr>
                <w:rFonts w:ascii="Arial" w:cs="Arial" w:eastAsia="Arial" w:hAnsi="Arial"/>
                <w:sz w:val="16"/>
                <w:szCs w:val="16"/>
                <w:color w:val="auto"/>
              </w:rPr>
              <w:t>December 31, 2011, respectively, related to VIE)</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5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14,589</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13,555</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p>
      <w:pPr>
        <w:ind w:left="8800"/>
        <w:spacing w:after="0"/>
        <w:tabs>
          <w:tab w:leader="none" w:pos="10240" w:val="left"/>
        </w:tabs>
        <w:rPr>
          <w:sz w:val="20"/>
          <w:szCs w:val="20"/>
          <w:color w:val="auto"/>
        </w:rPr>
      </w:pPr>
      <w:r>
        <w:rPr>
          <w:rFonts w:ascii="Arial" w:cs="Arial" w:eastAsia="Arial" w:hAnsi="Arial"/>
          <w:sz w:val="14"/>
          <w:szCs w:val="14"/>
          <w:color w:val="auto"/>
        </w:rPr>
        <w:t>September 30,</w:t>
      </w:r>
      <w:r>
        <w:rPr>
          <w:sz w:val="20"/>
          <w:szCs w:val="20"/>
          <w:color w:val="auto"/>
        </w:rPr>
        <w:tab/>
      </w:r>
      <w:r>
        <w:rPr>
          <w:rFonts w:ascii="Arial" w:cs="Arial" w:eastAsia="Arial" w:hAnsi="Arial"/>
          <w:sz w:val="14"/>
          <w:szCs w:val="14"/>
          <w:color w:val="auto"/>
        </w:rPr>
        <w:t>December 31,</w:t>
      </w:r>
    </w:p>
    <w:p>
      <w:pPr>
        <w:spacing w:after="0" w:line="55" w:lineRule="exact"/>
        <w:rPr>
          <w:sz w:val="20"/>
          <w:szCs w:val="20"/>
          <w:color w:val="auto"/>
        </w:rPr>
      </w:pPr>
    </w:p>
    <w:p>
      <w:pPr>
        <w:ind w:left="9100"/>
        <w:spacing w:after="0"/>
        <w:tabs>
          <w:tab w:leader="none" w:pos="10440" w:val="left"/>
        </w:tabs>
        <w:rPr>
          <w:sz w:val="20"/>
          <w:szCs w:val="20"/>
          <w:color w:val="auto"/>
        </w:rPr>
      </w:pPr>
      <w:r>
        <w:rPr>
          <w:rFonts w:ascii="Arial" w:cs="Arial" w:eastAsia="Arial" w:hAnsi="Arial"/>
          <w:sz w:val="14"/>
          <w:szCs w:val="14"/>
          <w:color w:val="auto"/>
        </w:rPr>
        <w:t>2012</w:t>
      </w:r>
      <w:r>
        <w:rPr>
          <w:sz w:val="20"/>
          <w:szCs w:val="20"/>
          <w:color w:val="auto"/>
        </w:rPr>
        <w:tab/>
      </w:r>
      <w:r>
        <w:rPr>
          <w:rFonts w:ascii="Arial" w:cs="Arial" w:eastAsia="Arial" w:hAnsi="Arial"/>
          <w:sz w:val="14"/>
          <w:szCs w:val="14"/>
          <w:color w:val="auto"/>
        </w:rPr>
        <w:t>2011(1)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2"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(unaudited)</w:t>
      </w:r>
    </w:p>
    <w:p>
      <w:pPr>
        <w:sectPr>
          <w:pgSz w:w="11900" w:h="16867" w:orient="portrait"/>
          <w:cols w:equalWidth="0" w:num="1">
            <w:col w:w="11420"/>
          </w:cols>
          <w:pgMar w:left="240" w:top="128" w:right="23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LIABILITIES AND EQUITY</w:t>
      </w:r>
    </w:p>
    <w:p>
      <w:pPr>
        <w:sectPr>
          <w:pgSz w:w="11900" w:h="16867" w:orient="portrait"/>
          <w:cols w:equalWidth="0" w:num="1">
            <w:col w:w="11420"/>
          </w:cols>
          <w:pgMar w:left="240" w:top="128"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Long-term debt ($337 and $345 at September 30, 2012 and December 31, 2011,</w:t>
            </w:r>
          </w:p>
        </w:tc>
        <w:tc>
          <w:tcPr>
            <w:tcW w:w="4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4,293</w:t>
            </w:r>
          </w:p>
        </w:tc>
        <w:tc>
          <w:tcPr>
            <w:tcW w:w="5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4,058</w:t>
            </w:r>
          </w:p>
        </w:tc>
        <w:tc>
          <w:tcPr>
            <w:tcW w:w="0" w:type="dxa"/>
            <w:vAlign w:val="bottom"/>
          </w:tcPr>
          <w:p>
            <w:pPr>
              <w:spacing w:after="0"/>
              <w:rPr>
                <w:sz w:val="1"/>
                <w:szCs w:val="1"/>
                <w:color w:val="auto"/>
              </w:rPr>
            </w:pPr>
          </w:p>
        </w:tc>
      </w:tr>
      <w:tr>
        <w:trPr>
          <w:trHeight w:val="167"/>
        </w:trPr>
        <w:tc>
          <w:tcPr>
            <w:tcW w:w="8580" w:type="dxa"/>
            <w:vAlign w:val="bottom"/>
          </w:tcPr>
          <w:p>
            <w:pPr>
              <w:ind w:left="180"/>
              <w:spacing w:after="0" w:line="160" w:lineRule="exact"/>
              <w:rPr>
                <w:sz w:val="20"/>
                <w:szCs w:val="20"/>
                <w:color w:val="auto"/>
              </w:rPr>
            </w:pPr>
            <w:r>
              <w:rPr>
                <w:rFonts w:ascii="Arial" w:cs="Arial" w:eastAsia="Arial" w:hAnsi="Arial"/>
                <w:sz w:val="16"/>
                <w:szCs w:val="16"/>
                <w:color w:val="auto"/>
              </w:rPr>
              <w:t>respectively, related to VIE)</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Contingently redeemable preferred stock</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Total SDG&amp;E shareholder's equity</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4,113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3,739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w:t>
            </w:r>
          </w:p>
        </w:tc>
        <w:tc>
          <w:tcPr>
            <w:tcW w:w="0" w:type="dxa"/>
            <w:vAlign w:val="bottom"/>
          </w:tcPr>
          <w:p>
            <w:pPr>
              <w:spacing w:after="0"/>
              <w:rPr>
                <w:sz w:val="1"/>
                <w:szCs w:val="1"/>
                <w:color w:val="auto"/>
              </w:rPr>
            </w:pPr>
          </w:p>
        </w:tc>
      </w:tr>
      <w:tr>
        <w:trPr>
          <w:trHeight w:val="176"/>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14,589</w:t>
            </w:r>
          </w:p>
        </w:tc>
        <w:tc>
          <w:tcPr>
            <w:tcW w:w="50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13,555</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2460" w:type="dxa"/>
            <w:vAlign w:val="bottom"/>
            <w:gridSpan w:val="3"/>
          </w:tcPr>
          <w:p>
            <w:pPr>
              <w:jc w:val="center"/>
              <w:ind w:left="345"/>
              <w:spacing w:after="0"/>
              <w:rPr>
                <w:sz w:val="20"/>
                <w:szCs w:val="20"/>
                <w:color w:val="auto"/>
              </w:rPr>
            </w:pPr>
            <w:r>
              <w:rPr>
                <w:rFonts w:ascii="Arial" w:cs="Arial" w:eastAsia="Arial" w:hAnsi="Arial"/>
                <w:sz w:val="14"/>
                <w:szCs w:val="14"/>
                <w:color w:val="auto"/>
              </w:rPr>
              <w:t>Nine months ended</w:t>
            </w:r>
          </w:p>
        </w:tc>
        <w:tc>
          <w:tcPr>
            <w:tcW w:w="420" w:type="dxa"/>
            <w:vAlign w:val="bottom"/>
          </w:tcPr>
          <w:p>
            <w:pPr>
              <w:spacing w:after="0"/>
              <w:rPr>
                <w:sz w:val="14"/>
                <w:szCs w:val="14"/>
                <w:color w:val="auto"/>
              </w:rPr>
            </w:pPr>
          </w:p>
        </w:tc>
      </w:tr>
      <w:tr>
        <w:trPr>
          <w:trHeight w:val="164"/>
        </w:trPr>
        <w:tc>
          <w:tcPr>
            <w:tcW w:w="85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443"/>
              <w:spacing w:after="0" w:line="157" w:lineRule="exact"/>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4"/>
                <w:szCs w:val="14"/>
                <w:color w:val="auto"/>
              </w:rPr>
            </w:pPr>
          </w:p>
        </w:tc>
      </w:tr>
      <w:tr>
        <w:trPr>
          <w:trHeight w:val="223"/>
        </w:trPr>
        <w:tc>
          <w:tcPr>
            <w:tcW w:w="8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9"/>
                <w:szCs w:val="19"/>
                <w:color w:val="auto"/>
              </w:rPr>
            </w:pPr>
          </w:p>
        </w:tc>
      </w:tr>
      <w:tr>
        <w:trPr>
          <w:trHeight w:val="231"/>
        </w:trPr>
        <w:tc>
          <w:tcPr>
            <w:tcW w:w="8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gridSpan w:val="2"/>
          </w:tcPr>
          <w:p>
            <w:pPr>
              <w:jc w:val="center"/>
              <w:ind w:right="443"/>
              <w:spacing w:after="0"/>
              <w:rPr>
                <w:sz w:val="20"/>
                <w:szCs w:val="20"/>
                <w:color w:val="auto"/>
              </w:rPr>
            </w:pPr>
            <w:r>
              <w:rPr>
                <w:rFonts w:ascii="Arial" w:cs="Arial" w:eastAsia="Arial" w:hAnsi="Arial"/>
                <w:sz w:val="14"/>
                <w:szCs w:val="14"/>
                <w:color w:val="auto"/>
              </w:rPr>
              <w:t>(unaudited)</w:t>
            </w:r>
          </w:p>
        </w:tc>
        <w:tc>
          <w:tcPr>
            <w:tcW w:w="420" w:type="dxa"/>
            <w:vAlign w:val="bottom"/>
          </w:tcPr>
          <w:p>
            <w:pPr>
              <w:spacing w:after="0"/>
              <w:rPr>
                <w:sz w:val="20"/>
                <w:szCs w:val="20"/>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65"/>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401</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854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359</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854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262</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6"/>
        </w:trPr>
        <w:tc>
          <w:tcPr>
            <w:tcW w:w="8540" w:type="dxa"/>
            <w:vAlign w:val="bottom"/>
          </w:tcPr>
          <w:p>
            <w:pPr>
              <w:ind w:left="540"/>
              <w:spacing w:after="0"/>
              <w:rPr>
                <w:sz w:val="20"/>
                <w:szCs w:val="20"/>
                <w:color w:val="auto"/>
              </w:rPr>
            </w:pPr>
            <w:r>
              <w:rPr>
                <w:rFonts w:ascii="Arial" w:cs="Arial" w:eastAsia="Arial" w:hAnsi="Arial"/>
                <w:sz w:val="16"/>
                <w:szCs w:val="16"/>
                <w:color w:val="auto"/>
              </w:rPr>
              <w:t>Fixed price contracts and other derivatives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8540" w:type="dxa"/>
            <w:vAlign w:val="bottom"/>
          </w:tcPr>
          <w:p>
            <w:pPr>
              <w:ind w:left="54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(518)</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201</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4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r>
    </w:tbl>
    <w:p>
      <w:pPr>
        <w:spacing w:after="0" w:line="200" w:lineRule="exact"/>
        <w:rPr>
          <w:sz w:val="20"/>
          <w:szCs w:val="20"/>
          <w:color w:val="auto"/>
        </w:rPr>
      </w:pPr>
    </w:p>
    <w:p>
      <w:pPr>
        <w:sectPr>
          <w:pgSz w:w="11900" w:h="16838" w:orient="portrait"/>
          <w:cols w:equalWidth="0" w:num="1">
            <w:col w:w="11420"/>
          </w:cols>
          <w:pgMar w:left="240" w:top="128" w:right="239" w:bottom="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Expenditures for property, plant and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Purchases of nuclear decommissioning trust assets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sales by nuclear decommissioning trusts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Decrease in restricted cash</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restricted cash</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Capital contribution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236" w:hanging="1236"/>
        <w:spacing w:after="0"/>
        <w:tabs>
          <w:tab w:leader="none" w:pos="1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(1,162)</w:t>
      </w:r>
    </w:p>
    <w:p>
      <w:pPr>
        <w:spacing w:after="0" w:line="32" w:lineRule="exact"/>
        <w:rPr>
          <w:sz w:val="20"/>
          <w:szCs w:val="20"/>
          <w:color w:val="auto"/>
        </w:rPr>
      </w:pPr>
    </w:p>
    <w:p>
      <w:pPr>
        <w:ind w:left="1376" w:hanging="1376"/>
        <w:spacing w:after="0"/>
        <w:tabs>
          <w:tab w:leader="none" w:pos="13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(395)</w:t>
      </w:r>
    </w:p>
    <w:p>
      <w:pPr>
        <w:spacing w:after="0" w:line="32" w:lineRule="exact"/>
        <w:rPr>
          <w:sz w:val="20"/>
          <w:szCs w:val="20"/>
          <w:color w:val="auto"/>
        </w:rPr>
      </w:pPr>
    </w:p>
    <w:tbl>
      <w:tblPr>
        <w:tblLayout w:type="fixed"/>
        <w:tblInd w:w="56" w:type="dxa"/>
        <w:tblCellMar>
          <w:top w:w="0" w:type="dxa"/>
          <w:left w:w="0" w:type="dxa"/>
          <w:bottom w:w="0" w:type="dxa"/>
          <w:right w:w="0" w:type="dxa"/>
        </w:tblCellMar>
      </w:tblPr>
      <w:tr>
        <w:trPr>
          <w:trHeight w:val="195"/>
        </w:trPr>
        <w:tc>
          <w:tcPr>
            <w:tcW w:w="840" w:type="dxa"/>
            <w:vAlign w:val="bottom"/>
          </w:tcPr>
          <w:p>
            <w:pPr>
              <w:jc w:val="right"/>
              <w:ind w:right="479"/>
              <w:spacing w:after="0"/>
              <w:rPr>
                <w:sz w:val="20"/>
                <w:szCs w:val="20"/>
                <w:color w:val="auto"/>
              </w:rPr>
            </w:pPr>
            <w:r>
              <w:rPr>
                <w:rFonts w:ascii="Arial" w:cs="Arial" w:eastAsia="Arial" w:hAnsi="Arial"/>
                <w:sz w:val="16"/>
                <w:szCs w:val="16"/>
                <w:color w:val="auto"/>
                <w:w w:val="97"/>
              </w:rPr>
              <w:t>524</w:t>
            </w:r>
          </w:p>
        </w:tc>
        <w:tc>
          <w:tcPr>
            <w:tcW w:w="82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216"/>
        </w:trPr>
        <w:tc>
          <w:tcPr>
            <w:tcW w:w="840" w:type="dxa"/>
            <w:vAlign w:val="bottom"/>
          </w:tcPr>
          <w:p>
            <w:pPr>
              <w:jc w:val="right"/>
              <w:ind w:right="479"/>
              <w:spacing w:after="0"/>
              <w:rPr>
                <w:sz w:val="20"/>
                <w:szCs w:val="20"/>
                <w:color w:val="auto"/>
              </w:rPr>
            </w:pPr>
            <w:r>
              <w:rPr>
                <w:rFonts w:ascii="Arial" w:cs="Arial" w:eastAsia="Arial" w:hAnsi="Arial"/>
                <w:sz w:val="16"/>
                <w:szCs w:val="16"/>
                <w:color w:val="auto"/>
              </w:rPr>
              <w:t>74</w:t>
            </w:r>
          </w:p>
        </w:tc>
        <w:tc>
          <w:tcPr>
            <w:tcW w:w="820" w:type="dxa"/>
            <w:vAlign w:val="bottom"/>
          </w:tcPr>
          <w:p>
            <w:pPr>
              <w:jc w:val="right"/>
              <w:spacing w:after="0"/>
              <w:rPr>
                <w:sz w:val="20"/>
                <w:szCs w:val="20"/>
                <w:color w:val="auto"/>
              </w:rPr>
            </w:pPr>
            <w:r>
              <w:rPr>
                <w:rFonts w:ascii="Arial" w:cs="Arial" w:eastAsia="Arial" w:hAnsi="Arial"/>
                <w:sz w:val="16"/>
                <w:szCs w:val="16"/>
                <w:color w:val="auto"/>
              </w:rPr>
              <w:t>340</w:t>
            </w:r>
          </w:p>
        </w:tc>
      </w:tr>
    </w:tbl>
    <w:p>
      <w:pPr>
        <w:spacing w:after="0" w:line="21" w:lineRule="exact"/>
        <w:rPr>
          <w:sz w:val="20"/>
          <w:szCs w:val="20"/>
          <w:color w:val="auto"/>
        </w:rPr>
      </w:pPr>
    </w:p>
    <w:p>
      <w:pPr>
        <w:ind w:left="1376" w:hanging="1286"/>
        <w:spacing w:after="0"/>
        <w:tabs>
          <w:tab w:leader="none" w:pos="13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wp:posOffset>
            </wp:positionV>
            <wp:extent cx="18268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line="39" w:lineRule="exact"/>
        <w:rPr>
          <w:sz w:val="20"/>
          <w:szCs w:val="20"/>
          <w:color w:val="auto"/>
        </w:rPr>
      </w:pPr>
    </w:p>
    <w:p>
      <w:pPr>
        <w:ind w:left="1236" w:hanging="1236"/>
        <w:spacing w:after="0"/>
        <w:tabs>
          <w:tab w:leader="none" w:pos="12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(1,183)</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76"/>
        <w:spacing w:after="0"/>
        <w:rPr>
          <w:rFonts w:ascii="Arial" w:cs="Arial" w:eastAsia="Arial" w:hAnsi="Arial"/>
          <w:sz w:val="16"/>
          <w:szCs w:val="16"/>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-426085</wp:posOffset>
            </wp:positionV>
            <wp:extent cx="18268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ectPr>
          <w:pgSz w:w="11900" w:h="16838" w:orient="portrait"/>
          <w:cols w:equalWidth="0" w:num="2">
            <w:col w:w="8944" w:space="720"/>
            <w:col w:w="1756"/>
          </w:cols>
          <w:pgMar w:left="240" w:top="128"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Capital (distribution) contribution at Otay Mesa VIE</w:t>
            </w: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854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Issuance of long-term debt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Payments on long-term debt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Increase in short-term debt, net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8540" w:type="dxa"/>
            <w:vAlign w:val="bottom"/>
          </w:tcPr>
          <w:p>
            <w:pPr>
              <w:ind w:left="360"/>
              <w:spacing w:after="0"/>
              <w:rPr>
                <w:sz w:val="20"/>
                <w:szCs w:val="20"/>
                <w:color w:val="auto"/>
              </w:rPr>
            </w:pPr>
            <w:r>
              <w:rPr>
                <w:rFonts w:ascii="Arial" w:cs="Arial" w:eastAsia="Arial" w:hAnsi="Arial"/>
                <w:sz w:val="16"/>
                <w:szCs w:val="16"/>
                <w:color w:val="auto"/>
              </w:rPr>
              <w:t>Net cash provided by financing activities</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440"/>
        </w:trPr>
        <w:tc>
          <w:tcPr>
            <w:tcW w:w="854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6"/>
        </w:trPr>
        <w:tc>
          <w:tcPr>
            <w:tcW w:w="8540" w:type="dxa"/>
            <w:vAlign w:val="bottom"/>
          </w:tcPr>
          <w:p>
            <w:pPr>
              <w:spacing w:after="0" w:line="169" w:lineRule="exact"/>
              <w:rPr>
                <w:sz w:val="20"/>
                <w:szCs w:val="20"/>
                <w:color w:val="auto"/>
              </w:rPr>
            </w:pPr>
            <w:r>
              <w:rPr>
                <w:rFonts w:ascii="Arial" w:cs="Arial" w:eastAsia="Arial" w:hAnsi="Arial"/>
                <w:sz w:val="16"/>
                <w:szCs w:val="16"/>
                <w:color w:val="auto"/>
              </w:rPr>
              <w:t>Cash and cash equivalents, September 30</w:t>
            </w:r>
          </w:p>
        </w:tc>
        <w:tc>
          <w:tcPr>
            <w:tcW w:w="600" w:type="dxa"/>
            <w:vAlign w:val="bottom"/>
            <w:tcBorders>
              <w:bottom w:val="single" w:sz="8" w:color="auto"/>
            </w:tcBorders>
          </w:tcPr>
          <w:p>
            <w:pPr>
              <w:jc w:val="right"/>
              <w:ind w:right="41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w:t>
            </w:r>
          </w:p>
        </w:tc>
        <w:tc>
          <w:tcPr>
            <w:tcW w:w="580" w:type="dxa"/>
            <w:vAlign w:val="bottom"/>
            <w:tcBorders>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
        </w:trPr>
        <w:tc>
          <w:tcPr>
            <w:tcW w:w="854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8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Income tax (refunds) payments, net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413"/>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413"/>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NONCASH FINANCING ACTIVITIES</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declared but not paid</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
        </w:trPr>
        <w:tc>
          <w:tcPr>
            <w:tcW w:w="8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45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w:t>
            </w:r>
          </w:p>
        </w:tc>
      </w:tr>
      <w:tr>
        <w:trPr>
          <w:trHeight w:val="231"/>
        </w:trPr>
        <w:tc>
          <w:tcPr>
            <w:tcW w:w="4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3"/>
          </w:tcPr>
          <w:p>
            <w:pPr>
              <w:jc w:val="right"/>
              <w:ind w:right="820"/>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84"/>
        </w:trPr>
        <w:tc>
          <w:tcPr>
            <w:tcW w:w="4580" w:type="dxa"/>
            <w:vAlign w:val="bottom"/>
          </w:tcPr>
          <w:p>
            <w:pPr>
              <w:spacing w:after="0"/>
              <w:rPr>
                <w:sz w:val="20"/>
                <w:szCs w:val="20"/>
                <w:color w:val="auto"/>
              </w:rPr>
            </w:pPr>
            <w:r>
              <w:rPr>
                <w:rFonts w:ascii="Arial" w:cs="Arial" w:eastAsia="Arial" w:hAnsi="Arial"/>
                <w:sz w:val="16"/>
                <w:szCs w:val="16"/>
                <w:color w:val="auto"/>
              </w:rPr>
              <w:t>Operating revenues</w:t>
            </w:r>
          </w:p>
        </w:tc>
        <w:tc>
          <w:tcPr>
            <w:tcW w:w="2580" w:type="dxa"/>
            <w:vAlign w:val="bottom"/>
            <w:gridSpan w:val="2"/>
          </w:tcPr>
          <w:p>
            <w:pPr>
              <w:jc w:val="right"/>
              <w:ind w:right="683"/>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728</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2,328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2,776</w:t>
            </w:r>
          </w:p>
        </w:tc>
      </w:tr>
      <w:tr>
        <w:trPr>
          <w:trHeight w:val="224"/>
        </w:trPr>
        <w:tc>
          <w:tcPr>
            <w:tcW w:w="4580" w:type="dxa"/>
            <w:vAlign w:val="bottom"/>
          </w:tcPr>
          <w:p>
            <w:pPr>
              <w:spacing w:after="0"/>
              <w:rPr>
                <w:sz w:val="20"/>
                <w:szCs w:val="20"/>
                <w:color w:val="auto"/>
              </w:rPr>
            </w:pPr>
            <w:r>
              <w:rPr>
                <w:rFonts w:ascii="Arial" w:cs="Arial" w:eastAsia="Arial" w:hAnsi="Arial"/>
                <w:sz w:val="16"/>
                <w:szCs w:val="16"/>
                <w:color w:val="auto"/>
              </w:rPr>
              <w:t>Operating expenses</w:t>
            </w:r>
          </w:p>
        </w:tc>
        <w:tc>
          <w:tcPr>
            <w:tcW w:w="17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16"/>
        </w:trPr>
        <w:tc>
          <w:tcPr>
            <w:tcW w:w="458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946</w:t>
            </w:r>
          </w:p>
        </w:tc>
      </w:tr>
      <w:tr>
        <w:trPr>
          <w:trHeight w:val="216"/>
        </w:trPr>
        <w:tc>
          <w:tcPr>
            <w:tcW w:w="45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458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7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23"/>
        </w:trPr>
        <w:tc>
          <w:tcPr>
            <w:tcW w:w="458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7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r>
      <w:tr>
        <w:trPr>
          <w:trHeight w:val="224"/>
        </w:trPr>
        <w:tc>
          <w:tcPr>
            <w:tcW w:w="4580" w:type="dxa"/>
            <w:vAlign w:val="bottom"/>
          </w:tcPr>
          <w:p>
            <w:pPr>
              <w:spacing w:after="0"/>
              <w:rPr>
                <w:sz w:val="20"/>
                <w:szCs w:val="20"/>
                <w:color w:val="auto"/>
              </w:rPr>
            </w:pPr>
            <w:r>
              <w:rPr>
                <w:rFonts w:ascii="Arial" w:cs="Arial" w:eastAsia="Arial" w:hAnsi="Arial"/>
                <w:sz w:val="16"/>
                <w:szCs w:val="16"/>
                <w:color w:val="auto"/>
              </w:rPr>
              <w:t>Operating income</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Other income, net</w:t>
            </w: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Interest income</w:t>
            </w: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Interest expense</w:t>
            </w:r>
          </w:p>
        </w:tc>
        <w:tc>
          <w:tcPr>
            <w:tcW w:w="17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24"/>
        </w:trPr>
        <w:tc>
          <w:tcPr>
            <w:tcW w:w="45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Income tax expense</w:t>
            </w:r>
          </w:p>
        </w:tc>
        <w:tc>
          <w:tcPr>
            <w:tcW w:w="17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24"/>
        </w:trPr>
        <w:tc>
          <w:tcPr>
            <w:tcW w:w="4580" w:type="dxa"/>
            <w:vAlign w:val="bottom"/>
          </w:tcPr>
          <w:p>
            <w:pPr>
              <w:spacing w:after="0"/>
              <w:rPr>
                <w:sz w:val="20"/>
                <w:szCs w:val="20"/>
                <w:color w:val="auto"/>
              </w:rPr>
            </w:pPr>
            <w:r>
              <w:rPr>
                <w:rFonts w:ascii="Arial" w:cs="Arial" w:eastAsia="Arial" w:hAnsi="Arial"/>
                <w:sz w:val="16"/>
                <w:szCs w:val="16"/>
                <w:color w:val="auto"/>
              </w:rPr>
              <w:t>Net income</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17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4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1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3"/>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71</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81</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190</w:t>
            </w:r>
          </w:p>
        </w:tc>
        <w:tc>
          <w:tcPr>
            <w:tcW w:w="28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208</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5500"/>
        <w:spacing w:after="0" w:line="252" w:lineRule="auto"/>
        <w:rPr>
          <w:sz w:val="20"/>
          <w:szCs w:val="20"/>
          <w:color w:val="auto"/>
        </w:rPr>
      </w:pPr>
      <w:r>
        <w:rPr>
          <w:rFonts w:ascii="Arial" w:cs="Arial" w:eastAsia="Arial" w:hAnsi="Arial"/>
          <w:sz w:val="16"/>
          <w:szCs w:val="16"/>
          <w:b w:val="1"/>
          <w:bCs w:val="1"/>
          <w:color w:val="auto"/>
        </w:rPr>
        <w:t>SOUTHERN CALIFORNIA GAS COMPANY AND SUBSIDIARIES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3020" w:type="dxa"/>
            <w:vAlign w:val="bottom"/>
            <w:tcBorders>
              <w:bottom w:val="single" w:sz="8" w:color="auto"/>
            </w:tcBorders>
            <w:gridSpan w:val="3"/>
          </w:tcPr>
          <w:p>
            <w:pPr>
              <w:jc w:val="center"/>
              <w:ind w:left="363"/>
              <w:spacing w:after="0"/>
              <w:rPr>
                <w:sz w:val="20"/>
                <w:szCs w:val="20"/>
                <w:color w:val="auto"/>
              </w:rPr>
            </w:pPr>
            <w:r>
              <w:rPr>
                <w:rFonts w:ascii="Arial" w:cs="Arial" w:eastAsia="Arial" w:hAnsi="Arial"/>
                <w:sz w:val="14"/>
                <w:szCs w:val="14"/>
                <w:color w:val="auto"/>
              </w:rPr>
              <w:t>Three months ended September 30,</w:t>
            </w:r>
          </w:p>
        </w:tc>
        <w:tc>
          <w:tcPr>
            <w:tcW w:w="440" w:type="dxa"/>
            <w:vAlign w:val="bottom"/>
            <w:tcBorders>
              <w:bottom w:val="single" w:sz="8" w:color="auto"/>
            </w:tcBorders>
          </w:tcPr>
          <w:p>
            <w:pPr>
              <w:spacing w:after="0"/>
              <w:rPr>
                <w:sz w:val="14"/>
                <w:szCs w:val="14"/>
                <w:color w:val="auto"/>
              </w:rPr>
            </w:pPr>
          </w:p>
        </w:tc>
      </w:tr>
      <w:tr>
        <w:trPr>
          <w:trHeight w:val="223"/>
        </w:trPr>
        <w:tc>
          <w:tcPr>
            <w:tcW w:w="7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9"/>
                <w:szCs w:val="19"/>
                <w:color w:val="auto"/>
              </w:rPr>
            </w:pPr>
          </w:p>
        </w:tc>
      </w:tr>
      <w:tr>
        <w:trPr>
          <w:trHeight w:val="231"/>
        </w:trPr>
        <w:tc>
          <w:tcPr>
            <w:tcW w:w="7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jc w:val="center"/>
              <w:ind w:left="221"/>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9"/>
        </w:trPr>
        <w:tc>
          <w:tcPr>
            <w:tcW w:w="796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81"/>
              <w:spacing w:after="0"/>
              <w:rPr>
                <w:sz w:val="20"/>
                <w:szCs w:val="20"/>
                <w:color w:val="auto"/>
              </w:rPr>
            </w:pPr>
            <w:r>
              <w:rPr>
                <w:rFonts w:ascii="Arial" w:cs="Arial" w:eastAsia="Arial" w:hAnsi="Arial"/>
                <w:sz w:val="16"/>
                <w:szCs w:val="16"/>
                <w:color w:val="auto"/>
              </w:rPr>
              <w:t>71</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796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0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7960" w:type="dxa"/>
            <w:vAlign w:val="bottom"/>
          </w:tcPr>
          <w:p>
            <w:pPr>
              <w:spacing w:after="0"/>
              <w:rPr>
                <w:sz w:val="20"/>
                <w:szCs w:val="20"/>
                <w:color w:val="auto"/>
              </w:rPr>
            </w:pPr>
            <w:r>
              <w:rPr>
                <w:rFonts w:ascii="Arial" w:cs="Arial" w:eastAsia="Arial" w:hAnsi="Arial"/>
                <w:sz w:val="16"/>
                <w:szCs w:val="16"/>
                <w:color w:val="auto"/>
              </w:rPr>
              <w:t>Total other comprehensive income</w:t>
            </w: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7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04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71</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1"/>
        </w:trPr>
        <w:tc>
          <w:tcPr>
            <w:tcW w:w="79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90"/>
        </w:trPr>
        <w:tc>
          <w:tcPr>
            <w:tcW w:w="796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363"/>
              <w:spacing w:after="0"/>
              <w:rPr>
                <w:sz w:val="20"/>
                <w:szCs w:val="20"/>
                <w:color w:val="auto"/>
              </w:rPr>
            </w:pPr>
            <w:r>
              <w:rPr>
                <w:rFonts w:ascii="Arial" w:cs="Arial" w:eastAsia="Arial" w:hAnsi="Arial"/>
                <w:sz w:val="14"/>
                <w:szCs w:val="14"/>
                <w:color w:val="auto"/>
              </w:rPr>
              <w:t>Nine months ended September 30,</w:t>
            </w:r>
          </w:p>
        </w:tc>
        <w:tc>
          <w:tcPr>
            <w:tcW w:w="440" w:type="dxa"/>
            <w:vAlign w:val="bottom"/>
            <w:tcBorders>
              <w:bottom w:val="single" w:sz="8" w:color="auto"/>
            </w:tcBorders>
          </w:tcPr>
          <w:p>
            <w:pPr>
              <w:spacing w:after="0"/>
              <w:rPr>
                <w:sz w:val="16"/>
                <w:szCs w:val="16"/>
                <w:color w:val="auto"/>
              </w:rPr>
            </w:pPr>
          </w:p>
        </w:tc>
      </w:tr>
      <w:tr>
        <w:trPr>
          <w:trHeight w:val="223"/>
        </w:trPr>
        <w:tc>
          <w:tcPr>
            <w:tcW w:w="7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9"/>
                <w:szCs w:val="19"/>
                <w:color w:val="auto"/>
              </w:rPr>
            </w:pPr>
          </w:p>
        </w:tc>
      </w:tr>
      <w:tr>
        <w:trPr>
          <w:trHeight w:val="231"/>
        </w:trPr>
        <w:tc>
          <w:tcPr>
            <w:tcW w:w="7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jc w:val="center"/>
              <w:ind w:left="221"/>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9"/>
        </w:trPr>
        <w:tc>
          <w:tcPr>
            <w:tcW w:w="796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81"/>
              <w:spacing w:after="0"/>
              <w:rPr>
                <w:sz w:val="20"/>
                <w:szCs w:val="20"/>
                <w:color w:val="auto"/>
              </w:rPr>
            </w:pPr>
            <w:r>
              <w:rPr>
                <w:rFonts w:ascii="Arial" w:cs="Arial" w:eastAsia="Arial" w:hAnsi="Arial"/>
                <w:sz w:val="16"/>
                <w:szCs w:val="16"/>
                <w:color w:val="auto"/>
              </w:rPr>
              <w:t>191</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6"/>
        </w:trPr>
        <w:tc>
          <w:tcPr>
            <w:tcW w:w="796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0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7960" w:type="dxa"/>
            <w:vAlign w:val="bottom"/>
          </w:tcPr>
          <w:p>
            <w:pPr>
              <w:spacing w:after="0"/>
              <w:rPr>
                <w:sz w:val="20"/>
                <w:szCs w:val="20"/>
                <w:color w:val="auto"/>
              </w:rPr>
            </w:pPr>
            <w:r>
              <w:rPr>
                <w:rFonts w:ascii="Arial" w:cs="Arial" w:eastAsia="Arial" w:hAnsi="Arial"/>
                <w:sz w:val="16"/>
                <w:szCs w:val="16"/>
                <w:color w:val="auto"/>
              </w:rPr>
              <w:t>Total other comprehensive income</w:t>
            </w: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04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192</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1"/>
        </w:trPr>
        <w:tc>
          <w:tcPr>
            <w:tcW w:w="7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128" w:right="239" w:bottom="0" w:gutter="0" w:footer="0" w:header="0"/>
        </w:sectPr>
      </w:pPr>
    </w:p>
    <w:bookmarkStart w:id="10" w:name="page11"/>
    <w:bookmarkEnd w:id="10"/>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8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r>
      <w:tr>
        <w:trPr>
          <w:trHeight w:val="231"/>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 trade,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 other,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w:t>
            </w:r>
          </w:p>
        </w:tc>
      </w:tr>
    </w:tbl>
    <w:p>
      <w:pPr>
        <w:spacing w:after="0" w:line="200" w:lineRule="exact"/>
        <w:rPr>
          <w:sz w:val="20"/>
          <w:szCs w:val="20"/>
          <w:color w:val="auto"/>
        </w:rPr>
      </w:pPr>
    </w:p>
    <w:p>
      <w:pPr>
        <w:sectPr>
          <w:pgSz w:w="11900" w:h="16870" w:orient="portrait"/>
          <w:cols w:equalWidth="0" w:num="1">
            <w:col w:w="11420"/>
          </w:cols>
          <w:pgMar w:left="240" w:top="446" w:right="239" w:bottom="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plant and equipment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accumulated depreciation and amortization</w:t>
      </w:r>
    </w:p>
    <w:p>
      <w:pPr>
        <w:spacing w:after="0" w:line="5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Property, plant and equipment, net</w:t>
      </w: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10,919</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10,565</w:t>
            </w:r>
          </w:p>
        </w:tc>
      </w:tr>
      <w:tr>
        <w:trPr>
          <w:trHeight w:val="216"/>
        </w:trPr>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(4,098)</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r>
      <w:tr>
        <w:trPr>
          <w:trHeight w:val="223"/>
        </w:trPr>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r>
      <w:tr>
        <w:trPr>
          <w:trHeight w:val="195"/>
        </w:trPr>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8,784</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8,475</w:t>
            </w:r>
          </w:p>
        </w:tc>
      </w:tr>
    </w:tbl>
    <w:p>
      <w:pPr>
        <w:spacing w:after="0" w:line="26" w:lineRule="exact"/>
        <w:rPr>
          <w:sz w:val="20"/>
          <w:szCs w:val="20"/>
          <w:color w:val="auto"/>
        </w:rPr>
      </w:pPr>
    </w:p>
    <w:p>
      <w:pPr>
        <w:sectPr>
          <w:pgSz w:w="11900" w:h="16870" w:orient="portrait"/>
          <w:cols w:equalWidth="0" w:num="2">
            <w:col w:w="7860" w:space="720"/>
            <w:col w:w="2840"/>
          </w:cols>
          <w:pgMar w:left="240" w:top="446" w:right="239" w:bottom="0" w:gutter="0" w:footer="0" w:header="0"/>
          <w:type w:val="continuous"/>
        </w:sectPr>
      </w:pPr>
    </w:p>
    <w:p>
      <w:pPr>
        <w:ind w:left="500" w:hanging="492"/>
        <w:spacing w:after="0"/>
        <w:tabs>
          <w:tab w:leader="none" w:pos="50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0"/>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8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r>
      <w:tr>
        <w:trPr>
          <w:trHeight w:val="231"/>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8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LIABILITIES AND SHAREHOLDERS' EQUITY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r>
      <w:tr>
        <w:trPr>
          <w:trHeight w:val="224"/>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1,084</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taxes refundable in rates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4,071</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w:t>
            </w:r>
          </w:p>
        </w:tc>
      </w:tr>
      <w:tr>
        <w:trPr>
          <w:trHeight w:val="176"/>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8,784</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8,475</w:t>
            </w: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70" w:orient="portrait"/>
          <w:cols w:equalWidth="0" w:num="1">
            <w:col w:w="11420"/>
          </w:cols>
          <w:pgMar w:left="240" w:top="446" w:right="239" w:bottom="0" w:gutter="0" w:footer="0" w:header="0"/>
          <w:type w:val="continuous"/>
        </w:sectPr>
      </w:pPr>
    </w:p>
    <w:bookmarkStart w:id="11" w:name="page12"/>
    <w:bookmarkEnd w:id="11"/>
    <w:p>
      <w:pPr>
        <w:spacing w:after="0" w:line="63"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-1905</wp:posOffset>
            </wp:positionV>
            <wp:extent cx="16205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62" w:lineRule="exact"/>
        <w:rPr>
          <w:sz w:val="20"/>
          <w:szCs w:val="20"/>
          <w:color w:val="auto"/>
        </w:rPr>
      </w:pPr>
    </w:p>
    <w:p>
      <w:pPr>
        <w:ind w:left="9320"/>
        <w:spacing w:after="0"/>
        <w:tabs>
          <w:tab w:leader="none" w:pos="10580" w:val="left"/>
        </w:tabs>
        <w:rPr>
          <w:sz w:val="20"/>
          <w:szCs w:val="20"/>
          <w:color w:val="auto"/>
        </w:rPr>
      </w:pPr>
      <w:r>
        <w:rPr>
          <w:rFonts w:ascii="Arial" w:cs="Arial" w:eastAsia="Arial" w:hAnsi="Arial"/>
          <w:sz w:val="14"/>
          <w:szCs w:val="14"/>
          <w:color w:val="auto"/>
        </w:rPr>
        <w:t>2012</w:t>
      </w:r>
      <w:r>
        <w:rPr>
          <w:sz w:val="20"/>
          <w:szCs w:val="20"/>
          <w:color w:val="auto"/>
        </w:rPr>
        <w:tab/>
      </w:r>
      <w:r>
        <w:rPr>
          <w:rFonts w:ascii="Arial" w:cs="Arial" w:eastAsia="Arial" w:hAnsi="Arial"/>
          <w:sz w:val="14"/>
          <w:szCs w:val="14"/>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2" w:lineRule="exact"/>
        <w:rPr>
          <w:sz w:val="20"/>
          <w:szCs w:val="20"/>
          <w:color w:val="auto"/>
        </w:rPr>
      </w:pPr>
    </w:p>
    <w:p>
      <w:pPr>
        <w:ind w:left="9780"/>
        <w:spacing w:after="0"/>
        <w:rPr>
          <w:sz w:val="20"/>
          <w:szCs w:val="20"/>
          <w:color w:val="auto"/>
        </w:rPr>
      </w:pPr>
      <w:r>
        <w:rPr>
          <w:rFonts w:ascii="Arial" w:cs="Arial" w:eastAsia="Arial" w:hAnsi="Arial"/>
          <w:sz w:val="14"/>
          <w:szCs w:val="14"/>
          <w:color w:val="auto"/>
        </w:rPr>
        <w:t>(unaudited)</w:t>
      </w:r>
    </w:p>
    <w:p>
      <w:pPr>
        <w:sectPr>
          <w:pgSz w:w="11900" w:h="16902" w:orient="portrait"/>
          <w:cols w:equalWidth="0" w:num="1">
            <w:col w:w="11420"/>
          </w:cols>
          <w:pgMar w:left="240" w:top="130" w:right="239" w:bottom="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ind w:left="18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activities: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Deferred income taxes and investment tax credits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change in other working capital components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assets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liabilities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Expenditures for property, plant and equipment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loans to affiliates, net</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Issuances of long-term debt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Common dividends paid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 of long-term debt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dividends paid</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Debt issuance costs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940" w:val="left"/>
          <w:tab w:leader="none" w:pos="2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191 $</w:t>
      </w:r>
      <w:r>
        <w:rPr>
          <w:sz w:val="20"/>
          <w:szCs w:val="20"/>
          <w:color w:val="auto"/>
        </w:rPr>
        <w:tab/>
      </w:r>
      <w:r>
        <w:rPr>
          <w:rFonts w:ascii="Arial" w:cs="Arial" w:eastAsia="Arial" w:hAnsi="Arial"/>
          <w:sz w:val="16"/>
          <w:szCs w:val="16"/>
          <w:color w:val="auto"/>
        </w:rPr>
        <w:t>209</w:t>
      </w:r>
    </w:p>
    <w:p>
      <w:pPr>
        <w:spacing w:after="0" w:line="200" w:lineRule="exact"/>
        <w:rPr>
          <w:sz w:val="20"/>
          <w:szCs w:val="20"/>
          <w:color w:val="auto"/>
        </w:rPr>
      </w:pPr>
    </w:p>
    <w:p>
      <w:pPr>
        <w:spacing w:after="0" w:line="264"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16"/>
          <w:szCs w:val="16"/>
          <w:color w:val="auto"/>
        </w:rPr>
        <w:t>268</w:t>
      </w:r>
      <w:r>
        <w:rPr>
          <w:sz w:val="20"/>
          <w:szCs w:val="20"/>
          <w:color w:val="auto"/>
        </w:rPr>
        <w:tab/>
      </w:r>
      <w:r>
        <w:rPr>
          <w:rFonts w:ascii="Arial" w:cs="Arial" w:eastAsia="Arial" w:hAnsi="Arial"/>
          <w:sz w:val="16"/>
          <w:szCs w:val="16"/>
          <w:color w:val="auto"/>
        </w:rPr>
        <w:t>246</w:t>
      </w:r>
    </w:p>
    <w:p>
      <w:pPr>
        <w:spacing w:after="0" w:line="32" w:lineRule="exact"/>
        <w:rPr>
          <w:sz w:val="20"/>
          <w:szCs w:val="20"/>
          <w:color w:val="auto"/>
        </w:rPr>
      </w:pPr>
    </w:p>
    <w:p>
      <w:pPr>
        <w:ind w:left="2340" w:hanging="1288"/>
        <w:spacing w:after="0"/>
        <w:tabs>
          <w:tab w:leader="none" w:pos="2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79</w:t>
      </w:r>
    </w:p>
    <w:p>
      <w:pPr>
        <w:spacing w:after="0" w:line="32" w:lineRule="exact"/>
        <w:rPr>
          <w:rFonts w:ascii="Arial" w:cs="Arial" w:eastAsia="Arial" w:hAnsi="Arial"/>
          <w:sz w:val="16"/>
          <w:szCs w:val="16"/>
          <w:color w:val="auto"/>
        </w:rPr>
      </w:pPr>
    </w:p>
    <w:p>
      <w:pPr>
        <w:ind w:left="2360" w:hanging="1281"/>
        <w:spacing w:after="0"/>
        <w:tabs>
          <w:tab w:leader="none" w:pos="2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(4)</w:t>
      </w:r>
    </w:p>
    <w:p>
      <w:pPr>
        <w:spacing w:after="0" w:line="32" w:lineRule="exact"/>
        <w:rPr>
          <w:sz w:val="20"/>
          <w:szCs w:val="20"/>
          <w:color w:val="auto"/>
        </w:rPr>
      </w:pPr>
    </w:p>
    <w:p>
      <w:pPr>
        <w:jc w:val="both"/>
        <w:ind w:left="960"/>
        <w:spacing w:after="0"/>
        <w:tabs>
          <w:tab w:leader="none" w:pos="2260" w:val="left"/>
        </w:tabs>
        <w:rPr>
          <w:sz w:val="20"/>
          <w:szCs w:val="20"/>
          <w:color w:val="auto"/>
        </w:rPr>
      </w:pPr>
      <w:r>
        <w:rPr>
          <w:rFonts w:ascii="Arial" w:cs="Arial" w:eastAsia="Arial" w:hAnsi="Arial"/>
          <w:sz w:val="16"/>
          <w:szCs w:val="16"/>
          <w:color w:val="auto"/>
        </w:rPr>
        <w:t>240</w:t>
      </w:r>
      <w:r>
        <w:rPr>
          <w:sz w:val="20"/>
          <w:szCs w:val="20"/>
          <w:color w:val="auto"/>
        </w:rPr>
        <w:tab/>
      </w:r>
      <w:r>
        <w:rPr>
          <w:rFonts w:ascii="Arial" w:cs="Arial" w:eastAsia="Arial" w:hAnsi="Arial"/>
          <w:sz w:val="16"/>
          <w:szCs w:val="16"/>
          <w:color w:val="auto"/>
        </w:rPr>
        <w:t>(46)</w:t>
      </w:r>
    </w:p>
    <w:p>
      <w:pPr>
        <w:spacing w:after="0" w:line="32" w:lineRule="exact"/>
        <w:rPr>
          <w:sz w:val="20"/>
          <w:szCs w:val="20"/>
          <w:color w:val="auto"/>
        </w:rPr>
      </w:pPr>
    </w:p>
    <w:p>
      <w:pPr>
        <w:ind w:left="2340" w:hanging="1198"/>
        <w:spacing w:after="0"/>
        <w:tabs>
          <w:tab w:leader="none" w:pos="2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17</w:t>
      </w:r>
    </w:p>
    <w:p>
      <w:pPr>
        <w:spacing w:after="0" w:line="32" w:lineRule="exact"/>
        <w:rPr>
          <w:sz w:val="20"/>
          <w:szCs w:val="20"/>
          <w:color w:val="auto"/>
        </w:rPr>
      </w:pPr>
    </w:p>
    <w:p>
      <w:pPr>
        <w:jc w:val="both"/>
        <w:ind w:left="1060"/>
        <w:spacing w:after="0"/>
        <w:tabs>
          <w:tab w:leader="none" w:pos="23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6205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39"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16"/>
          <w:szCs w:val="16"/>
          <w:color w:val="auto"/>
        </w:rPr>
        <w:t>746</w:t>
      </w:r>
      <w:r>
        <w:rPr>
          <w:sz w:val="20"/>
          <w:szCs w:val="20"/>
          <w:color w:val="auto"/>
        </w:rPr>
        <w:tab/>
      </w:r>
      <w:r>
        <w:rPr>
          <w:rFonts w:ascii="Arial" w:cs="Arial" w:eastAsia="Arial" w:hAnsi="Arial"/>
          <w:sz w:val="16"/>
          <w:szCs w:val="16"/>
          <w:color w:val="auto"/>
        </w:rPr>
        <w:t>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6205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180" w:hanging="1281"/>
        <w:spacing w:after="0"/>
        <w:tabs>
          <w:tab w:leader="none" w:pos="2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(499)</w:t>
      </w:r>
    </w:p>
    <w:p>
      <w:pPr>
        <w:spacing w:after="0" w:line="32" w:lineRule="exact"/>
        <w:rPr>
          <w:sz w:val="20"/>
          <w:szCs w:val="20"/>
          <w:color w:val="auto"/>
        </w:rPr>
      </w:pPr>
    </w:p>
    <w:p>
      <w:pPr>
        <w:ind w:left="2280" w:hanging="1381"/>
        <w:spacing w:after="0"/>
        <w:tabs>
          <w:tab w:leader="none" w:pos="2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6205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51" w:lineRule="exact"/>
        <w:rPr>
          <w:sz w:val="20"/>
          <w:szCs w:val="20"/>
          <w:color w:val="auto"/>
        </w:rPr>
      </w:pPr>
    </w:p>
    <w:p>
      <w:pPr>
        <w:ind w:left="2180" w:hanging="1281"/>
        <w:spacing w:after="0"/>
        <w:tabs>
          <w:tab w:leader="none" w:pos="2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6205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60"/>
        <w:spacing w:after="0"/>
        <w:tabs>
          <w:tab w:leader="none" w:pos="2340" w:val="left"/>
        </w:tabs>
        <w:rPr>
          <w:sz w:val="20"/>
          <w:szCs w:val="20"/>
          <w:color w:val="auto"/>
        </w:rPr>
      </w:pPr>
      <w:r>
        <w:rPr>
          <w:rFonts w:ascii="Arial" w:cs="Arial" w:eastAsia="Arial" w:hAnsi="Arial"/>
          <w:sz w:val="16"/>
          <w:szCs w:val="16"/>
          <w:color w:val="auto"/>
        </w:rPr>
        <w:t>348</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ind w:left="2280" w:hanging="1381"/>
        <w:spacing w:after="0"/>
        <w:tabs>
          <w:tab w:leader="none" w:pos="22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(50)</w:t>
      </w:r>
    </w:p>
    <w:p>
      <w:pPr>
        <w:spacing w:after="0" w:line="44" w:lineRule="exact"/>
        <w:rPr>
          <w:sz w:val="20"/>
          <w:szCs w:val="20"/>
          <w:color w:val="auto"/>
        </w:rPr>
      </w:pPr>
    </w:p>
    <w:p>
      <w:pPr>
        <w:ind w:left="2180" w:hanging="1110"/>
        <w:spacing w:after="0"/>
        <w:tabs>
          <w:tab w:leader="none" w:pos="2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(250)</w:t>
      </w:r>
    </w:p>
    <w:p>
      <w:pPr>
        <w:spacing w:after="0" w:line="32" w:lineRule="exact"/>
        <w:rPr>
          <w:rFonts w:ascii="Arial" w:cs="Arial" w:eastAsia="Arial" w:hAnsi="Arial"/>
          <w:sz w:val="16"/>
          <w:szCs w:val="16"/>
          <w:color w:val="auto"/>
        </w:rPr>
      </w:pPr>
    </w:p>
    <w:p>
      <w:pPr>
        <w:ind w:left="2360" w:hanging="1281"/>
        <w:spacing w:after="0"/>
        <w:tabs>
          <w:tab w:leader="none" w:pos="2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(1)</w:t>
      </w:r>
    </w:p>
    <w:p>
      <w:pPr>
        <w:spacing w:after="0" w:line="32" w:lineRule="exact"/>
        <w:rPr>
          <w:sz w:val="20"/>
          <w:szCs w:val="20"/>
          <w:color w:val="auto"/>
        </w:rPr>
      </w:pPr>
    </w:p>
    <w:p>
      <w:pPr>
        <w:ind w:left="2360" w:hanging="1281"/>
        <w:spacing w:after="0"/>
        <w:tabs>
          <w:tab w:leader="none" w:pos="2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194(301)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16205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05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16205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27" w:lineRule="exact"/>
        <w:rPr>
          <w:sz w:val="20"/>
          <w:szCs w:val="20"/>
          <w:color w:val="auto"/>
        </w:rPr>
      </w:pPr>
    </w:p>
    <w:p>
      <w:pPr>
        <w:sectPr>
          <w:pgSz w:w="11900" w:h="16902" w:orient="portrait"/>
          <w:cols w:equalWidth="0" w:num="2">
            <w:col w:w="8140" w:space="720"/>
            <w:col w:w="2560"/>
          </w:cols>
          <w:pgMar w:left="240" w:top="130" w:right="239" w:bottom="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1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221</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7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76"/>
        </w:trPr>
        <w:tc>
          <w:tcPr>
            <w:tcW w:w="7120" w:type="dxa"/>
            <w:vAlign w:val="bottom"/>
          </w:tcPr>
          <w:p>
            <w:pPr>
              <w:spacing w:after="0" w:line="169" w:lineRule="exact"/>
              <w:rPr>
                <w:sz w:val="20"/>
                <w:szCs w:val="20"/>
                <w:color w:val="auto"/>
              </w:rPr>
            </w:pPr>
            <w:r>
              <w:rPr>
                <w:rFonts w:ascii="Arial" w:cs="Arial" w:eastAsia="Arial" w:hAnsi="Arial"/>
                <w:sz w:val="16"/>
                <w:szCs w:val="16"/>
                <w:color w:val="auto"/>
              </w:rPr>
              <w:t>Cash and cash equivalents, September 30</w:t>
            </w:r>
          </w:p>
        </w:tc>
        <w:tc>
          <w:tcPr>
            <w:tcW w:w="1740" w:type="dxa"/>
            <w:vAlign w:val="bottom"/>
          </w:tcPr>
          <w:p>
            <w:pPr>
              <w:spacing w:after="0"/>
              <w:rPr>
                <w:sz w:val="15"/>
                <w:szCs w:val="15"/>
                <w:color w:val="auto"/>
              </w:rPr>
            </w:pPr>
          </w:p>
        </w:tc>
        <w:tc>
          <w:tcPr>
            <w:tcW w:w="520" w:type="dxa"/>
            <w:vAlign w:val="bottom"/>
            <w:tcBorders>
              <w:bottom w:val="single" w:sz="8" w:color="auto"/>
            </w:tcBorders>
          </w:tcPr>
          <w:p>
            <w:pPr>
              <w:jc w:val="right"/>
              <w:ind w:right="339"/>
              <w:spacing w:after="0" w:line="176"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257</w:t>
            </w:r>
          </w:p>
        </w:tc>
        <w:tc>
          <w:tcPr>
            <w:tcW w:w="520" w:type="dxa"/>
            <w:vAlign w:val="bottom"/>
            <w:tcBorders>
              <w:bottom w:val="single" w:sz="8" w:color="auto"/>
            </w:tcBorders>
          </w:tcPr>
          <w:p>
            <w:pPr>
              <w:jc w:val="right"/>
              <w:ind w:right="339"/>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
        </w:trPr>
        <w:tc>
          <w:tcPr>
            <w:tcW w:w="712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71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12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22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3"/>
        </w:trPr>
        <w:tc>
          <w:tcPr>
            <w:tcW w:w="712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1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Accrued capital expenditures</w:t>
            </w:r>
          </w:p>
        </w:tc>
        <w:tc>
          <w:tcPr>
            <w:tcW w:w="22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auto"/>
        </w:rPr>
        <w:t>SEMPRA ENERGY AND SUBSIDIARIES</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2012 Business Segment Realignment</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January 1, 2012, management realigned some of the company’s major subsidiaries to better fit its strategic direction and to enhance the management and integration of our assets. This realignment resulted in a change in reportable segments in 2012. In accordance with accounting principles generally accepted in the United States (GAAP), historical information for Sempra Energy has been restated in its Condensed Consolidated Financial Statements and these Notes to reflect the effect of this change. All discussions of our operating units and reportable segments in these Notes reflect the new segments and operating structure.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ectPr>
          <w:pgSz w:w="11900" w:h="16902" w:orient="portrait"/>
          <w:cols w:equalWidth="0" w:num="1">
            <w:col w:w="11420"/>
          </w:cols>
          <w:pgMar w:left="240" w:top="130" w:right="239" w:bottom="0" w:gutter="0" w:footer="0" w:header="0"/>
          <w:type w:val="continuous"/>
        </w:sectPr>
      </w:pP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Energy’s Condensed Consolidated Financial Statements include the accounts of Sempra Energy, a California-based Fortune 500 holding company, and its consolidated subsidiaries and variable interest entities (VIEs). Sempra Energy’s principal operating units are</w:t>
      </w:r>
    </w:p>
    <w:p>
      <w:pPr>
        <w:sectPr>
          <w:pgSz w:w="11900" w:h="16902" w:orient="portrait"/>
          <w:cols w:equalWidth="0" w:num="1">
            <w:col w:w="11420"/>
          </w:cols>
          <w:pgMar w:left="240" w:top="130" w:right="239" w:bottom="0" w:gutter="0" w:footer="0" w:header="0"/>
          <w:type w:val="continuous"/>
        </w:sectPr>
      </w:pPr>
    </w:p>
    <w:bookmarkStart w:id="12" w:name="page13"/>
    <w:bookmarkEnd w:id="12"/>
    <w:p>
      <w:pPr>
        <w:ind w:left="340" w:hanging="188"/>
        <w:spacing w:after="0"/>
        <w:tabs>
          <w:tab w:leader="none" w:pos="34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San Diego Gas &amp; Electric Company (SDG&amp;E) and Southern California Gas Company (SoCalGas), which are separate, reportable segments;</w:t>
      </w:r>
    </w:p>
    <w:p>
      <w:pPr>
        <w:spacing w:after="0" w:line="263" w:lineRule="exact"/>
        <w:rPr>
          <w:rFonts w:ascii="Arial" w:cs="Arial" w:eastAsia="Arial" w:hAnsi="Arial"/>
          <w:sz w:val="17"/>
          <w:szCs w:val="17"/>
          <w:b w:val="1"/>
          <w:bCs w:val="1"/>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each of our segments in Note 11.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refer to SDG&amp;E and SoCalGas collectively as the California Utilities, which do not include the utilities in our Sempra International and Sempra U.S. Gas</w:t>
      </w:r>
    </w:p>
    <w:p>
      <w:pPr>
        <w:spacing w:after="0" w:line="46" w:lineRule="exact"/>
        <w:rPr>
          <w:sz w:val="20"/>
          <w:szCs w:val="20"/>
          <w:color w:val="auto"/>
        </w:rPr>
      </w:pPr>
    </w:p>
    <w:p>
      <w:pPr>
        <w:ind w:right="300" w:firstLine="8"/>
        <w:spacing w:after="0" w:line="255" w:lineRule="auto"/>
        <w:tabs>
          <w:tab w:leader="none" w:pos="1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subsidiaries in Note 4 herein and Note 4 of the Notes to Consolidated Financial Statements in our Annual Report on Form 10-K for the year ended December 31, 2011 and in our Current Report on Form 8-K filed on May 11, 2012, discussed below under “Basis of Presentation.”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SoCalGas’ Condensed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4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We have prepared the Condensed Consolidated Financial Statements in conformity with GAAP and in accordance with the interim-period-reporting requirements of Form 10-Q. Results of operations for interim periods are not necessarily indicative of results for the entire year. We evaluated events and transactions that occurred after September 30, 2012 through the date the financial statements were issued and, in the opinion of management, the accompanying statements reflect all adjustments necessary for a fair presentation. These adjustments are only of a normal, recurring nature.</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All December 31, 2011 balance sheet information in the Condensed Consolidated Financial Statements has been derived from our audited 2011 consolidated financial statements. Certain information and note disclosures normally included in annual financial statements prepared in accordance with GAAP have been condensed or omitted pursuant to the interim-period-reporting provisions of GAAP and the Securities and Exchange Commission.</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read the information in this Quarterly Report in conjunction with our Annual Report on Form 10-K for the year ended December 31, 2011 (the Annual Report) and our Quarterly Reports on Form 10-Q for the quarters ended March 31 and June 30, 2012, which are combined reports for Sempra Energy, SDG&amp;E and SoCalGas. You should also read the information in this Quarterly Report in conjunction with Sempra Energy’s Current Report on Form 8-K and accompanying exhibits, filed on May 11, 2012, which updates the information in the Annual Report primarily for the change in reportable segments (discussed above) and change in accounting principle (discussed below) and which we refer to in this Quarterly Report as the Updated Annual Report. Although the Updated Annual Report contains the separate information for SDG&amp;E and SoCalGas, as filed in the Annual Report, the Form 8-K did not provide updates to their information as separate registrants as they were not impacted by the change in reportable segments or change in accounting principle at Sempra Energy.</w:t>
      </w:r>
    </w:p>
    <w:p>
      <w:pPr>
        <w:spacing w:after="0" w:line="192"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Mexico, S de RL de CV (Ecogas) in Northern Mexico, all natural gas distribution utilities. The California Utilities, Sempra Natural Gas’ Mobile Gas and Willmut Gas, and Sempra Mexico’s Ecogas prepare their financial statements in accordance with GAAP provisions governing regulated operations, as we discuss in Note 1 of the Notes to Consolidated Financial Statements in the Updated Annual Report.</w:t>
      </w:r>
    </w:p>
    <w:p>
      <w:pPr>
        <w:spacing w:after="0" w:line="1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Updated Annual Report. We follow the same accounting policies for interim reporting purposes, except for the adoption of new accounting standards as we discuss in Note 2.</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Accounting Principle</w:t>
      </w:r>
    </w:p>
    <w:p>
      <w:pPr>
        <w:spacing w:after="0" w:line="2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Effective January 1, 2012, we changed our method of accounting for investment tax credits (ITC) from the flow-through method to the deferral method for Sempra Energy. Under the flow-through method, we reduced our income tax expense by the amount of ITC in the year in which the qualifying assets were placed in service. Under the deferral method, we record ITC in the year when the qualifying assets are placed in service as a reduction to the cost of the asset that generated the ITC. This results in lower book depreciation over the life of the asset. This change has no historical or prospective impact on the California Utilities because ITC is effectively deferred as a result of the application of regulatory accounting required under GAAP.</w:t>
      </w:r>
    </w:p>
    <w:p>
      <w:pPr>
        <w:sectPr>
          <w:pgSz w:w="11900" w:h="16838" w:orient="portrait"/>
          <w:cols w:equalWidth="0" w:num="1">
            <w:col w:w="11400"/>
          </w:cols>
          <w:pgMar w:left="240" w:top="341" w:right="259" w:bottom="19" w:gutter="0" w:footer="0" w:header="0"/>
        </w:sectPr>
      </w:pPr>
    </w:p>
    <w:bookmarkStart w:id="13" w:name="page14"/>
    <w:bookmarkEnd w:id="13"/>
    <w:p>
      <w:pPr>
        <w:ind w:right="260"/>
        <w:spacing w:after="0" w:line="264" w:lineRule="auto"/>
        <w:rPr>
          <w:sz w:val="20"/>
          <w:szCs w:val="20"/>
          <w:color w:val="auto"/>
        </w:rPr>
      </w:pPr>
      <w:r>
        <w:rPr>
          <w:rFonts w:ascii="Arial" w:cs="Arial" w:eastAsia="Arial" w:hAnsi="Arial"/>
          <w:sz w:val="18"/>
          <w:szCs w:val="18"/>
          <w:color w:val="auto"/>
        </w:rPr>
        <w:t>The flow-through method and the deferral method are both acceptable under GAAP, but the deferral method is the preferred method. We believe that the deferral method is preferable for the ITC we receive because it recognizes ITC benefits over the same periods as the associated costs for which the ITC are intended to compensate.</w:t>
      </w:r>
    </w:p>
    <w:p>
      <w:pPr>
        <w:spacing w:after="0" w:line="18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We applied this change in accounting principle by retrospectively adjusting the historical financial statement amounts for all periods presented. Upon adopting the deferral method, we recorded an adjustment for the cumulative effect of the change in accounting principle to reduce Sempra Energy Consolidated retained earnings as of January 1, 2011 by $37 million.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certain solar and wind generating assets being placed into service during 2011 and 2012, we have elected to seek cash grants rather than ITC for which the projects also qualify. Accordingly, cash grant accounting, which is similar to deferral accounting of ITC, is required to be applied. As a result, the impact of our change in accounting policy for ITC on our financial statements for the three months and nine months ending September 30, 2012 is insignificant. Cash grants are generally expected to be collectable in cash shortly after a project is constructed. Conversion of ITC to cash is generally dependent on reducing cash tax payments.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effects of the change in accounting principle on Sempra Energy’s Condensed Consolidated Financial Statements for the historical periods presented.</w:t>
      </w:r>
    </w:p>
    <w:p>
      <w:pPr>
        <w:spacing w:after="0" w:line="200" w:lineRule="exact"/>
        <w:rPr>
          <w:sz w:val="20"/>
          <w:szCs w:val="20"/>
          <w:color w:val="auto"/>
        </w:rPr>
      </w:pPr>
    </w:p>
    <w:p>
      <w:pPr>
        <w:spacing w:after="0" w:line="372" w:lineRule="exact"/>
        <w:rPr>
          <w:sz w:val="20"/>
          <w:szCs w:val="20"/>
          <w:color w:val="auto"/>
        </w:rPr>
      </w:pPr>
    </w:p>
    <w:p>
      <w:pPr>
        <w:ind w:right="4580"/>
        <w:spacing w:after="0" w:line="296" w:lineRule="auto"/>
        <w:rPr>
          <w:sz w:val="20"/>
          <w:szCs w:val="20"/>
          <w:color w:val="auto"/>
        </w:rPr>
      </w:pPr>
      <w:r>
        <w:rPr>
          <w:rFonts w:ascii="Arial" w:cs="Arial" w:eastAsia="Arial" w:hAnsi="Arial"/>
          <w:sz w:val="16"/>
          <w:szCs w:val="16"/>
          <w:b w:val="1"/>
          <w:bCs w:val="1"/>
          <w:color w:val="auto"/>
        </w:rPr>
        <w:t xml:space="preserve">EFFECT OF CHANGE IN ACCOUNTING PRINCIPLE – SEMPRA ENERGY CONSOLIDATED </w:t>
      </w:r>
      <w:r>
        <w:rPr>
          <w:rFonts w:ascii="Arial" w:cs="Arial" w:eastAsia="Arial" w:hAnsi="Arial"/>
          <w:sz w:val="14"/>
          <w:szCs w:val="14"/>
          <w:i w:val="1"/>
          <w:i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5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4"/>
          </w:tcPr>
          <w:p>
            <w:pPr>
              <w:jc w:val="center"/>
              <w:ind w:left="668"/>
              <w:spacing w:after="0" w:line="159" w:lineRule="exact"/>
              <w:rPr>
                <w:sz w:val="20"/>
                <w:szCs w:val="20"/>
                <w:color w:val="auto"/>
              </w:rPr>
            </w:pPr>
            <w:r>
              <w:rPr>
                <w:rFonts w:ascii="Arial" w:cs="Arial" w:eastAsia="Arial" w:hAnsi="Arial"/>
                <w:sz w:val="14"/>
                <w:szCs w:val="14"/>
                <w:color w:val="auto"/>
              </w:rPr>
              <w:t>Three months ended September 30, 2011</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color w:val="auto"/>
              </w:rPr>
              <w:t>As</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color w:val="auto"/>
              </w:rPr>
              <w:t>Originally</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color w:val="auto"/>
              </w:rPr>
              <w:t>Retrospectively</w:t>
            </w:r>
          </w:p>
        </w:tc>
        <w:tc>
          <w:tcPr>
            <w:tcW w:w="0" w:type="dxa"/>
            <w:vAlign w:val="bottom"/>
          </w:tcPr>
          <w:p>
            <w:pPr>
              <w:spacing w:after="0"/>
              <w:rPr>
                <w:sz w:val="1"/>
                <w:szCs w:val="1"/>
                <w:color w:val="auto"/>
              </w:rPr>
            </w:pPr>
          </w:p>
        </w:tc>
      </w:tr>
      <w:tr>
        <w:trPr>
          <w:trHeight w:val="208"/>
        </w:trPr>
        <w:tc>
          <w:tcPr>
            <w:tcW w:w="5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Reported</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Adjustments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4"/>
                <w:szCs w:val="14"/>
                <w:color w:val="auto"/>
              </w:rPr>
              <w:t>CONDENSED CONSOLIDATED STATEMENT OF OPERATIONS</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Income tax expense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7</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440" w:type="dxa"/>
            <w:vAlign w:val="bottom"/>
          </w:tcPr>
          <w:p>
            <w:pPr>
              <w:spacing w:after="0"/>
              <w:rPr>
                <w:sz w:val="18"/>
                <w:szCs w:val="18"/>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Earnings</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440" w:type="dxa"/>
            <w:vAlign w:val="bottom"/>
          </w:tcPr>
          <w:p>
            <w:pPr>
              <w:spacing w:after="0"/>
              <w:rPr>
                <w:sz w:val="18"/>
                <w:szCs w:val="18"/>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368"/>
        </w:trPr>
        <w:tc>
          <w:tcPr>
            <w:tcW w:w="590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(0.02)</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7"/>
        </w:trPr>
        <w:tc>
          <w:tcPr>
            <w:tcW w:w="59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Diluted earnings per common share</w:t>
            </w:r>
          </w:p>
        </w:tc>
        <w:tc>
          <w:tcPr>
            <w:tcW w:w="58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1.22</w:t>
            </w:r>
          </w:p>
        </w:tc>
        <w:tc>
          <w:tcPr>
            <w:tcW w:w="4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(0.02)</w:t>
            </w:r>
          </w:p>
        </w:tc>
        <w:tc>
          <w:tcPr>
            <w:tcW w:w="4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gridSpan w:val="4"/>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9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left="668"/>
              <w:spacing w:after="0"/>
              <w:rPr>
                <w:sz w:val="20"/>
                <w:szCs w:val="20"/>
                <w:color w:val="auto"/>
              </w:rPr>
            </w:pPr>
            <w:r>
              <w:rPr>
                <w:rFonts w:ascii="Arial" w:cs="Arial" w:eastAsia="Arial" w:hAnsi="Arial"/>
                <w:sz w:val="14"/>
                <w:szCs w:val="14"/>
                <w:color w:val="auto"/>
              </w:rPr>
              <w:t>Nine months ended September 30, 2011</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color w:val="auto"/>
              </w:rPr>
              <w:t>As</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color w:val="auto"/>
              </w:rPr>
              <w:t>Originally</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color w:val="auto"/>
              </w:rPr>
              <w:t>Retrospectively</w:t>
            </w:r>
          </w:p>
        </w:tc>
        <w:tc>
          <w:tcPr>
            <w:tcW w:w="0" w:type="dxa"/>
            <w:vAlign w:val="bottom"/>
          </w:tcPr>
          <w:p>
            <w:pPr>
              <w:spacing w:after="0"/>
              <w:rPr>
                <w:sz w:val="1"/>
                <w:szCs w:val="1"/>
                <w:color w:val="auto"/>
              </w:rPr>
            </w:pPr>
          </w:p>
        </w:tc>
      </w:tr>
      <w:tr>
        <w:trPr>
          <w:trHeight w:val="208"/>
        </w:trPr>
        <w:tc>
          <w:tcPr>
            <w:tcW w:w="5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Reported</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Adjustments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4"/>
                <w:szCs w:val="14"/>
                <w:color w:val="auto"/>
              </w:rPr>
              <w:t>CONDENSED CONSOLIDATED STATEMENT OF OPERATIONS</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Income before income taxes and equity earnings</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4"/>
                <w:szCs w:val="14"/>
                <w:color w:val="auto"/>
              </w:rPr>
              <w:t>of certain unconsolidated subsidiaries</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1,316</w:t>
            </w:r>
          </w:p>
        </w:tc>
        <w:tc>
          <w:tcPr>
            <w:tcW w:w="440" w:type="dxa"/>
            <w:vAlign w:val="bottom"/>
          </w:tcPr>
          <w:p>
            <w:pPr>
              <w:spacing w:after="0"/>
              <w:rPr>
                <w:sz w:val="18"/>
                <w:szCs w:val="18"/>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Income tax expense</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440" w:type="dxa"/>
            <w:vAlign w:val="bottom"/>
          </w:tcPr>
          <w:p>
            <w:pPr>
              <w:spacing w:after="0"/>
              <w:rPr>
                <w:sz w:val="18"/>
                <w:szCs w:val="18"/>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20</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1,092</w:t>
            </w:r>
          </w:p>
        </w:tc>
        <w:tc>
          <w:tcPr>
            <w:tcW w:w="440" w:type="dxa"/>
            <w:vAlign w:val="bottom"/>
          </w:tcPr>
          <w:p>
            <w:pPr>
              <w:spacing w:after="0"/>
              <w:rPr>
                <w:sz w:val="18"/>
                <w:szCs w:val="18"/>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Earnings</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1,065</w:t>
            </w:r>
          </w:p>
        </w:tc>
        <w:tc>
          <w:tcPr>
            <w:tcW w:w="440" w:type="dxa"/>
            <w:vAlign w:val="bottom"/>
          </w:tcPr>
          <w:p>
            <w:pPr>
              <w:spacing w:after="0"/>
              <w:rPr>
                <w:sz w:val="18"/>
                <w:szCs w:val="18"/>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368"/>
        </w:trPr>
        <w:tc>
          <w:tcPr>
            <w:tcW w:w="590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(0.08)</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57"/>
        </w:trPr>
        <w:tc>
          <w:tcPr>
            <w:tcW w:w="5900" w:type="dxa"/>
            <w:vAlign w:val="bottom"/>
            <w:vMerge w:val="restart"/>
          </w:tcPr>
          <w:p>
            <w:pPr>
              <w:spacing w:after="0"/>
              <w:rPr>
                <w:sz w:val="20"/>
                <w:szCs w:val="20"/>
                <w:color w:val="auto"/>
              </w:rPr>
            </w:pPr>
            <w:r>
              <w:rPr>
                <w:rFonts w:ascii="Arial" w:cs="Arial" w:eastAsia="Arial" w:hAnsi="Arial"/>
                <w:sz w:val="14"/>
                <w:szCs w:val="14"/>
                <w:color w:val="auto"/>
              </w:rPr>
              <w:t>Diluted earnings per common share</w:t>
            </w:r>
          </w:p>
        </w:tc>
        <w:tc>
          <w:tcPr>
            <w:tcW w:w="58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4.40</w:t>
            </w:r>
          </w:p>
        </w:tc>
        <w:tc>
          <w:tcPr>
            <w:tcW w:w="4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(0.08)</w:t>
            </w:r>
          </w:p>
        </w:tc>
        <w:tc>
          <w:tcPr>
            <w:tcW w:w="4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1"/>
        </w:trPr>
        <w:tc>
          <w:tcPr>
            <w:tcW w:w="590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5900" w:type="dxa"/>
            <w:vAlign w:val="bottom"/>
          </w:tcPr>
          <w:p>
            <w:pPr>
              <w:spacing w:after="0"/>
              <w:rPr>
                <w:sz w:val="20"/>
                <w:szCs w:val="20"/>
                <w:color w:val="auto"/>
              </w:rPr>
            </w:pPr>
            <w:r>
              <w:rPr>
                <w:rFonts w:ascii="Arial" w:cs="Arial" w:eastAsia="Arial" w:hAnsi="Arial"/>
                <w:sz w:val="14"/>
                <w:szCs w:val="14"/>
                <w:color w:val="auto"/>
              </w:rPr>
              <w:t>CONDENSED CONSOLIDATED STATEMENT OF CASH FLOWS</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1,092</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(19)</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4"/>
                <w:szCs w:val="14"/>
                <w:color w:val="auto"/>
              </w:rPr>
              <w:t>operating activities:</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440" w:type="dxa"/>
            <w:vAlign w:val="bottom"/>
          </w:tcPr>
          <w:p>
            <w:pPr>
              <w:spacing w:after="0"/>
              <w:rPr>
                <w:sz w:val="18"/>
                <w:szCs w:val="18"/>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4"/>
                <w:szCs w:val="14"/>
                <w:color w:val="auto"/>
              </w:rPr>
              <w:t>Deferred income taxes and investment tax credits</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440" w:type="dxa"/>
            <w:vAlign w:val="bottom"/>
          </w:tcPr>
          <w:p>
            <w:pPr>
              <w:spacing w:after="0"/>
              <w:rPr>
                <w:sz w:val="18"/>
                <w:szCs w:val="18"/>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(13)</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change in other working capital components (income taxes)</w:t>
            </w: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33</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9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color w:val="auto"/>
              </w:rPr>
              <w:t>As of December 31, 2011</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color w:val="auto"/>
              </w:rPr>
              <w:t>As</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color w:val="auto"/>
              </w:rPr>
              <w:t>Originally</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color w:val="auto"/>
              </w:rPr>
              <w:t>Retrospectively</w:t>
            </w:r>
          </w:p>
        </w:tc>
        <w:tc>
          <w:tcPr>
            <w:tcW w:w="0" w:type="dxa"/>
            <w:vAlign w:val="bottom"/>
          </w:tcPr>
          <w:p>
            <w:pPr>
              <w:spacing w:after="0"/>
              <w:rPr>
                <w:sz w:val="1"/>
                <w:szCs w:val="1"/>
                <w:color w:val="auto"/>
              </w:rPr>
            </w:pPr>
          </w:p>
        </w:tc>
      </w:tr>
      <w:tr>
        <w:trPr>
          <w:trHeight w:val="208"/>
        </w:trPr>
        <w:tc>
          <w:tcPr>
            <w:tcW w:w="5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Reported</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Adjustments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4"/>
                <w:szCs w:val="14"/>
                <w:color w:val="auto"/>
              </w:rPr>
              <w:t>CONDENSED CONSOLIDATED BALANCE SHEET</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31,303</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(111)</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31,192</w:t>
            </w: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(7,731)</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(7,727)</w:t>
            </w:r>
          </w:p>
        </w:tc>
        <w:tc>
          <w:tcPr>
            <w:tcW w:w="0" w:type="dxa"/>
            <w:vAlign w:val="bottom"/>
          </w:tcPr>
          <w:p>
            <w:pPr>
              <w:spacing w:after="0"/>
              <w:rPr>
                <w:sz w:val="1"/>
                <w:szCs w:val="1"/>
                <w:color w:val="auto"/>
              </w:rPr>
            </w:pPr>
          </w:p>
        </w:tc>
      </w:tr>
      <w:tr>
        <w:trPr>
          <w:trHeight w:val="162"/>
        </w:trPr>
        <w:tc>
          <w:tcPr>
            <w:tcW w:w="5900" w:type="dxa"/>
            <w:vAlign w:val="bottom"/>
            <w:vMerge w:val="restart"/>
          </w:tcPr>
          <w:p>
            <w:pPr>
              <w:ind w:left="200"/>
              <w:spacing w:after="0"/>
              <w:rPr>
                <w:sz w:val="20"/>
                <w:szCs w:val="20"/>
                <w:color w:val="auto"/>
              </w:rPr>
            </w:pPr>
            <w:r>
              <w:rPr>
                <w:rFonts w:ascii="Arial" w:cs="Arial" w:eastAsia="Arial" w:hAnsi="Arial"/>
                <w:sz w:val="14"/>
                <w:szCs w:val="14"/>
                <w:color w:val="auto"/>
              </w:rPr>
              <w:t>Property, plant and equipment, net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23,572</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(107)</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23,465</w:t>
            </w:r>
          </w:p>
        </w:tc>
        <w:tc>
          <w:tcPr>
            <w:tcW w:w="0" w:type="dxa"/>
            <w:vAlign w:val="bottom"/>
          </w:tcPr>
          <w:p>
            <w:pPr>
              <w:spacing w:after="0"/>
              <w:rPr>
                <w:sz w:val="1"/>
                <w:szCs w:val="1"/>
                <w:color w:val="auto"/>
              </w:rPr>
            </w:pPr>
          </w:p>
        </w:tc>
      </w:tr>
      <w:tr>
        <w:trPr>
          <w:trHeight w:val="21"/>
        </w:trPr>
        <w:tc>
          <w:tcPr>
            <w:tcW w:w="590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5900" w:type="dxa"/>
            <w:vAlign w:val="bottom"/>
          </w:tcPr>
          <w:p>
            <w:pPr>
              <w:spacing w:after="0"/>
              <w:rPr>
                <w:sz w:val="20"/>
                <w:szCs w:val="20"/>
                <w:color w:val="auto"/>
              </w:rPr>
            </w:pPr>
            <w:r>
              <w:rPr>
                <w:rFonts w:ascii="Arial" w:cs="Arial" w:eastAsia="Arial" w:hAnsi="Arial"/>
                <w:sz w:val="14"/>
                <w:szCs w:val="14"/>
                <w:color w:val="auto"/>
              </w:rPr>
              <w:t>Income taxes payable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(11)</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Deferred income taxes, noncurrent liability</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1,554</w:t>
            </w:r>
          </w:p>
        </w:tc>
        <w:tc>
          <w:tcPr>
            <w:tcW w:w="440" w:type="dxa"/>
            <w:vAlign w:val="bottom"/>
          </w:tcPr>
          <w:p>
            <w:pPr>
              <w:spacing w:after="0"/>
              <w:rPr>
                <w:sz w:val="18"/>
                <w:szCs w:val="18"/>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(34)</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Deferred credits and other</w:t>
            </w:r>
          </w:p>
        </w:tc>
        <w:tc>
          <w:tcPr>
            <w:tcW w:w="5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773</w:t>
            </w:r>
          </w:p>
        </w:tc>
        <w:tc>
          <w:tcPr>
            <w:tcW w:w="440" w:type="dxa"/>
            <w:vAlign w:val="bottom"/>
          </w:tcPr>
          <w:p>
            <w:pPr>
              <w:spacing w:after="0"/>
              <w:rPr>
                <w:sz w:val="18"/>
                <w:szCs w:val="18"/>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0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Retained earnings(1)</w:t>
            </w: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8,225</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8,162</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00" w:right="200" w:hanging="492"/>
        <w:spacing w:after="0" w:line="273" w:lineRule="auto"/>
        <w:tabs>
          <w:tab w:leader="none" w:pos="500" w:val="left"/>
        </w:tabs>
        <w:numPr>
          <w:ilvl w:val="0"/>
          <w:numId w:val="28"/>
        </w:numPr>
        <w:rPr>
          <w:rFonts w:ascii="Arial" w:cs="Arial" w:eastAsia="Arial" w:hAnsi="Arial"/>
          <w:sz w:val="14"/>
          <w:szCs w:val="14"/>
          <w:i w:val="1"/>
          <w:iCs w:val="1"/>
          <w:color w:val="auto"/>
        </w:rPr>
      </w:pPr>
      <w:r>
        <w:rPr>
          <w:rFonts w:ascii="Arial" w:cs="Arial" w:eastAsia="Arial" w:hAnsi="Arial"/>
          <w:sz w:val="14"/>
          <w:szCs w:val="14"/>
          <w:color w:val="auto"/>
        </w:rPr>
        <w:t>Adjustment includes the cumulative effect of the change in accounting principle of reductions in net income and earnings of $26 million, $30 million, a negligible amount, and $7 million for the years ended December 31, 2011, 2010, 2009 and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ectPr>
          <w:pgSz w:w="11900" w:h="16838" w:orient="portrait"/>
          <w:cols w:equalWidth="0" w:num="1">
            <w:col w:w="11420"/>
          </w:cols>
          <w:pgMar w:left="240" w:top="125" w:right="239" w:bottom="12" w:gutter="0" w:footer="0" w:header="0"/>
        </w:sectPr>
      </w:pPr>
    </w:p>
    <w:bookmarkStart w:id="14" w:name="page15"/>
    <w:bookmarkEnd w:id="14"/>
    <w:p>
      <w:pPr>
        <w:spacing w:after="0" w:line="9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Accounting Standards Update (ASU) 2011-04, “Amendments to Achieve Common Fair Value Measurement and Disclosure Requirements in U.S. GAAP and International Financial Reporting Standards (IFRSs)” (ASU 2011-04): </w:t>
      </w:r>
      <w:r>
        <w:rPr>
          <w:rFonts w:ascii="Arial" w:cs="Arial" w:eastAsia="Arial" w:hAnsi="Arial"/>
          <w:sz w:val="18"/>
          <w:szCs w:val="18"/>
          <w:color w:val="auto"/>
        </w:rPr>
        <w:t>ASU 2011-04 amends Accounting Standards Codification (ASC) Topic 820,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and provides changes in the wording used to describe the requirements for measuring fair value and disclosing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fair value measurement. ASU 2011-04 results in common fair value measurement and disclosure requirements under both GAAP and IFRSs.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ASU 2011-04 expands fair value measurement disclosures for Level 3 instruments to require</w:t>
      </w:r>
    </w:p>
    <w:p>
      <w:pPr>
        <w:spacing w:after="0" w:line="225" w:lineRule="exact"/>
        <w:rPr>
          <w:sz w:val="20"/>
          <w:szCs w:val="20"/>
          <w:color w:val="auto"/>
        </w:rPr>
      </w:pPr>
    </w:p>
    <w:p>
      <w:pPr>
        <w:ind w:left="340" w:hanging="188"/>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quantitative information about the unobservable inputs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description of the valuation process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qualitative discussion about the sensitivity of the measurements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adopted ASU 2011-04 on January 1, 2012 and it did not affect our financial position, results of operations or cash flows. The required disclosure is provided in Note 8.</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ASU 2011-05, “Presentation of Comprehensive Income” (ASU 2011-05) and ASU 2011-12, “Deferral of the Effective Date for Amendments to the Presentation of Reclassifications of Items Out of Accumulated Other Comprehensive Income in Accounting Standards Update No. 2011-05” (ASU 2011-12): </w:t>
      </w:r>
      <w:r>
        <w:rPr>
          <w:rFonts w:ascii="Arial" w:cs="Arial" w:eastAsia="Arial" w:hAnsi="Arial"/>
          <w:sz w:val="16"/>
          <w:szCs w:val="16"/>
          <w:color w:val="auto"/>
        </w:rPr>
        <w:t>ASU 2011-05 amends ASC Topic 220,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eliminates the option to report other comprehensive income and its components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statement of changes in equity. The ASU allows an entity an option to present the components of net income and other comprehensive income in one continuous statement, referred to as the statement of comprehensive income, or in two separate, but consecutive, statements.</w:t>
      </w:r>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ASU 2011-05 does not change the items that must be reported in other comprehensive income, when an item of other comprehensive income must be reclassified to net income, or the earnings per share computation.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ASU 2011-12 defers the requirement to separately present on the face of the statement of operations or statement of comprehensive income reclassification adjustments for items that are reclassified from other comprehensive income to net income.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adopted ASU 2011-05 on January 1, 2012 and have elected to present the components of net income and other comprehensive income in two separate, but consecutive, statements for all periods presented.</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ASU 2011-11, “Disclosures about Offsetting Assets and Liabilities” (ASU 2011-11): </w:t>
      </w:r>
      <w:r>
        <w:rPr>
          <w:rFonts w:ascii="Arial" w:cs="Arial" w:eastAsia="Arial" w:hAnsi="Arial"/>
          <w:sz w:val="18"/>
          <w:szCs w:val="18"/>
          <w:color w:val="auto"/>
        </w:rPr>
        <w:t>In order to allow for balance sheet comparison between GAAP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IFRSs, ASU 2011-11 requires enhanced disclosures related to financial assets and liabilities eligible for offsetting in the statement of financial position. An entity will have to disclose both gross and net information about financial instruments and transactions subject to a master netting arrangement and eligible for offset, including cash collateral received and posted.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will adopt ASU 2011-11 on January 1, 2013 as required and do not expect it to affect our financial position, results of operations or cash flows. We will provide the additional disclosure in our 2013 interim financial statements.</w:t>
      </w:r>
    </w:p>
    <w:p>
      <w:pPr>
        <w:spacing w:after="0" w:line="166"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i w:val="1"/>
          <w:iCs w:val="1"/>
          <w:color w:val="auto"/>
        </w:rPr>
        <w:t>ASU 2012-02, “Testing Indefinite-Lived Intangible Assets for Impairment” (ASU 2012-02)</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2012-02 amends ASC Topic 350,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Intangibles – Goodwill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and Others</w:t>
      </w:r>
      <w:r>
        <w:rPr>
          <w:rFonts w:ascii="Arial" w:cs="Arial" w:eastAsia="Arial" w:hAnsi="Arial"/>
          <w:sz w:val="17"/>
          <w:szCs w:val="17"/>
          <w:color w:val="auto"/>
        </w:rPr>
        <w:t>, to provide an option to first make a qualitative assessment of whether it is more likely than not that the fair value of an indefinite-lived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 is less than its carrying amount before applying the quantitative impairment test. An entity is required to perform the quantitative test only if it determines that it is more likely than not that the fair value of an indefinite-lived intangible asset is less than its carrying amount.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We will adopt ASU 2012-02 for our annual impairment testing as of October 1, 2012 and do not expect it to significantly affect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NOTE 3. ACQUISITION AND INVESTMENT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investments in unconsolidated entities in Note 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Chilquinta Energía S.A. (Chilquinta Energía) and Luz del Sur S.A.A. (Luz del Sur)</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6, 2011, Sempra South American Utilities acquired from AEI its interests in Chilquinta Energía in Chile and Luz del Sur in Peru, and their subsidiaries. Prior to the acquisition, Sempra South American Utilities and AEI each owned 50 percent of Chilquinta Energía and approximately 38 percent of Luz del Sur and accounted for the investments under the equity method. Upon completion of the acquisition and a public tender offer to the minority shareholders of Luz del Sur, Sempra South American Utilities owned 100 percent of Chilquinta Energía and approximately 80 percent of Luz del Sur, with the remaining shares of Luz del Sur held by institutional investors and the general public. As part of the transaction, Sempra South American Utilities also acquired AEI’s interests in two energy-services companies, Tecnored S.A. (Tecnored) and Tecsur S.A. (Tecsur). We provide additional information about Sempra South American Utilities’ acquisition of Chilquinta Energía and Luz del Sur and the public tender offer in Note 3 of the Notes to Consolidated Financial Statements in the Updated Annual Report.</w:t>
      </w:r>
    </w:p>
    <w:p>
      <w:pPr>
        <w:spacing w:after="0" w:line="19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results for the nine months ended September 30, 2011 include a $277 million gain (both pretax and after-tax) related to the remeasurement of equity method investments, included as Remeasurement of Equity Method Investments on our Condensed Consolidated Statement of Operations. We discuss the</w:t>
      </w:r>
    </w:p>
    <w:p>
      <w:pPr>
        <w:sectPr>
          <w:pgSz w:w="11900" w:h="16935" w:orient="portrait"/>
          <w:cols w:equalWidth="0" w:num="1">
            <w:col w:w="11420"/>
          </w:cols>
          <w:pgMar w:left="240" w:top="125"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calculation of the gain in Note 3 of the Notes to Consolidated Financial Statements in the Updated Annual Report.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Condensed Consolidated Statements of Operations include 100 percent of the acquired companies’ revenues, net income and earnings of $1.1 billion, $155 million and $135 million, respectively, for the nine months ended September 30, 2012, including revenues, net income, and earnings of $356 million, $56 million and $49 million, respectively, for the three months ended September 30, 2012. Net income and earnings include holding companies reported in Parent and Other. Revenues, net income and earnings from the date of acquisition were $706 million, $108 million and $92 million, respectively, for the nine months ended September 30, 2011 and $345 million, $60 million and $52 million, respectively, for the three months ended September 30, 2011. These amounts do not include the remeasurement gain.</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Following are pro forma revenues and earnings for Sempra Energy had the acquisition occurred on January 1, 2010, which primarily reflect the changes to revenues and earnings from our increased ownership and consolidation of the entities acquired. Although some short-term debt borrowings may have resulted from the actual acquisition in 2011, we have not assumed any additional interest expense in the pro forma impact on earnings below, as the amounts would be immaterial due to the low interest rates available to us on commercial paper. The pro forma amounts do not include the impact of the increased ownership in Luz del Sur resulting from the tender offer completed in September 2011 discussed above and in Note 3 of the Notes to Consolidated Financial Statements in the Updated Annual Report.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4040" w:type="dxa"/>
            <w:vAlign w:val="bottom"/>
          </w:tcPr>
          <w:p>
            <w:pPr>
              <w:ind w:left="2700"/>
              <w:spacing w:after="0"/>
              <w:rPr>
                <w:sz w:val="20"/>
                <w:szCs w:val="20"/>
                <w:color w:val="auto"/>
              </w:rPr>
            </w:pPr>
            <w:r>
              <w:rPr>
                <w:rFonts w:ascii="Arial" w:cs="Arial" w:eastAsia="Arial" w:hAnsi="Arial"/>
                <w:sz w:val="14"/>
                <w:szCs w:val="14"/>
                <w:color w:val="auto"/>
              </w:rPr>
              <w:t>Three months ended</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jc w:val="right"/>
              <w:ind w:right="423"/>
              <w:spacing w:after="0"/>
              <w:rPr>
                <w:sz w:val="20"/>
                <w:szCs w:val="20"/>
                <w:color w:val="auto"/>
              </w:rPr>
            </w:pPr>
            <w:r>
              <w:rPr>
                <w:rFonts w:ascii="Arial" w:cs="Arial" w:eastAsia="Arial" w:hAnsi="Arial"/>
                <w:sz w:val="14"/>
                <w:szCs w:val="14"/>
                <w:color w:val="auto"/>
              </w:rPr>
              <w:t>Nine months ended</w:t>
            </w:r>
          </w:p>
        </w:tc>
        <w:tc>
          <w:tcPr>
            <w:tcW w:w="680" w:type="dxa"/>
            <w:vAlign w:val="bottom"/>
          </w:tcPr>
          <w:p>
            <w:pPr>
              <w:spacing w:after="0"/>
              <w:rPr>
                <w:sz w:val="14"/>
                <w:szCs w:val="14"/>
                <w:color w:val="auto"/>
              </w:rPr>
            </w:pPr>
          </w:p>
        </w:tc>
      </w:tr>
      <w:tr>
        <w:trPr>
          <w:trHeight w:val="208"/>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4040" w:type="dxa"/>
            <w:vAlign w:val="bottom"/>
            <w:tcBorders>
              <w:bottom w:val="single" w:sz="8" w:color="auto"/>
            </w:tcBorders>
          </w:tcPr>
          <w:p>
            <w:pPr>
              <w:ind w:left="2720"/>
              <w:spacing w:after="0"/>
              <w:rPr>
                <w:sz w:val="20"/>
                <w:szCs w:val="20"/>
                <w:color w:val="auto"/>
              </w:rPr>
            </w:pPr>
            <w:r>
              <w:rPr>
                <w:rFonts w:ascii="Arial" w:cs="Arial" w:eastAsia="Arial" w:hAnsi="Arial"/>
                <w:sz w:val="14"/>
                <w:szCs w:val="14"/>
                <w:color w:val="auto"/>
              </w:rPr>
              <w:t>September 30, 2011</w:t>
            </w: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September 30, 2011</w:t>
            </w:r>
          </w:p>
        </w:tc>
        <w:tc>
          <w:tcPr>
            <w:tcW w:w="680" w:type="dxa"/>
            <w:vAlign w:val="bottom"/>
            <w:tcBorders>
              <w:bottom w:val="single" w:sz="8" w:color="auto"/>
            </w:tcBorders>
          </w:tcPr>
          <w:p>
            <w:pPr>
              <w:spacing w:after="0"/>
              <w:rPr>
                <w:sz w:val="18"/>
                <w:szCs w:val="18"/>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6"/>
                <w:szCs w:val="16"/>
                <w:color w:val="auto"/>
              </w:rPr>
              <w:t>Revenues</w:t>
            </w:r>
          </w:p>
        </w:tc>
        <w:tc>
          <w:tcPr>
            <w:tcW w:w="4040" w:type="dxa"/>
            <w:vAlign w:val="bottom"/>
          </w:tcPr>
          <w:p>
            <w:pPr>
              <w:jc w:val="right"/>
              <w:ind w:right="1425"/>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w w:val="99"/>
              </w:rPr>
              <w:t>2,576</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7,775</w:t>
            </w:r>
          </w:p>
        </w:tc>
        <w:tc>
          <w:tcPr>
            <w:tcW w:w="680" w:type="dxa"/>
            <w:vAlign w:val="bottom"/>
          </w:tcPr>
          <w:p>
            <w:pPr>
              <w:spacing w:after="0"/>
              <w:rPr>
                <w:sz w:val="19"/>
                <w:szCs w:val="19"/>
                <w:color w:val="auto"/>
              </w:rPr>
            </w:pPr>
          </w:p>
        </w:tc>
      </w:tr>
      <w:tr>
        <w:trPr>
          <w:trHeight w:val="209"/>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Earnings(1)</w:t>
            </w:r>
          </w:p>
        </w:tc>
        <w:tc>
          <w:tcPr>
            <w:tcW w:w="4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289</w:t>
            </w: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ind w:left="640" w:hanging="632"/>
        <w:spacing w:after="0"/>
        <w:tabs>
          <w:tab w:leader="none" w:pos="6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change in accounting principle as we discuss in Note 1.</w:t>
      </w:r>
    </w:p>
    <w:p>
      <w:pPr>
        <w:spacing w:after="0" w:line="45" w:lineRule="exact"/>
        <w:rPr>
          <w:rFonts w:ascii="Arial" w:cs="Arial" w:eastAsia="Arial" w:hAnsi="Arial"/>
          <w:sz w:val="14"/>
          <w:szCs w:val="14"/>
          <w:i w:val="1"/>
          <w:iCs w:val="1"/>
          <w:color w:val="auto"/>
        </w:rPr>
      </w:pPr>
    </w:p>
    <w:p>
      <w:pPr>
        <w:ind w:left="640" w:hanging="632"/>
        <w:spacing w:after="0"/>
        <w:tabs>
          <w:tab w:leader="none" w:pos="6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$277 million gain related to remeasurement of equity method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Willmut Gas Company</w:t>
      </w:r>
    </w:p>
    <w:p>
      <w:pPr>
        <w:spacing w:after="0" w:line="2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May 2012, Sempra Natural Gas acquired 100 percent of the outstanding common stock of Willmut Gas Company (Willmut Gas), a regulated natural gas distribution utility serving approximately 20,000 customers in Hattiesburg, Mississippi, in order to expand Sempra Natural Gas’ service area in the Southeast United States. Willmut Gas was purchased for $19 million in cash and the assumption of $10 million of liabilities. Included in the acquisition was $17 million in net property, plant and equipment. As a result of the acquisition, we recorded $10 million of goodwill.</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results of operations for Willmut Gas are included in our Condensed Consolidated Statements of Operations and Cash Flows beginning from the date of acquisition and include revenues of $5 million and negligible earnings for the nine months ended September 30, 2012 and revenues of $3 million and negligible earnings for the three months ended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19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provide additional information concerning all of our equity method investments in Note 4 of the Notes to Consolidated Financial Statements in the Updated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nine months ended September 30, 2012, Sempra Renewables invested $296 million in its renewable wind generation joint ventures, of which $249 million was invested in the Flat Ridge 2 Wind Farm project.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Sempra Natural Gas owns a 25-percent interest in Rockies Express Pipeline LLC (Rockies Express), a partnership that operates a natural gas pipeline, the Rockies Express Pipeline (REX), that links producing areas in the Rocky Mountains region to the upper Midwest and the eastern United States. In August 2012, Kinder Morgan Energy Partners L.P. (KMP) announced the sale of its 50 percent interest in Rockies Express, as part of a larger asset group, to Tallgrass Energy Partners, L.P. (Tallgrass). Phillips 66 owns the remaining interest of 25 percent. Our total investment in Rockies Express is accounted for as an equity method investment.</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general partner of KMP is Kinder Morgan, Inc. (KMI). As a condition of KMI receiving antitrust approval from the Federal Trade Commission (FTC) for its acquisition of El Paso Corporation, KMI agreed to divest certain assets in its natural gas pipeline group. Included in these assets is KMP’s interest in Rockies Express. KMP recorded remeasurement losses during the first nine months of 2012 associated with these discontinued operations. We have recorded impairments of our partnership investment in Rockies Express of $300 million ($179 million after-tax) in the quarter ended June 30, 2012 and an additional $100 million ($60 million after-tax) in the quarter ended September 30, 2012. Our remaining carrying value in Rockies Express as of September 30, 2012 is $369 million. We recorded the write-downs as a result of our estimate of fair value for our investment at the reporting date and our conclusion that the impairments are other-than-temporary, as required by GAAP. We discuss the fair value measurement of our investment in Rockies Express in Note 8.</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3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July, November and December of 2010 and February of 2011. We account for our investment in RBS Sempra Commodities under the equity method, and report our share of partnership earnings and other associated costs in Parent and Other.</w:t>
      </w:r>
    </w:p>
    <w:p>
      <w:pPr>
        <w:sectPr>
          <w:pgSz w:w="11900" w:h="16838" w:orient="portrait"/>
          <w:cols w:equalWidth="0" w:num="1">
            <w:col w:w="11420"/>
          </w:cols>
          <w:pgMar w:left="240" w:top="125" w:right="239" w:bottom="0" w:gutter="0" w:footer="0" w:header="0"/>
        </w:sectPr>
      </w:pPr>
    </w:p>
    <w:bookmarkStart w:id="16" w:name="page17"/>
    <w:bookmarkEnd w:id="16"/>
    <w:p>
      <w:pPr>
        <w:spacing w:after="0" w:line="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April 2011, we and RBS entered into a letter agreement (Letter Agreement) which amended certain provisions of the agreements that formed RBS Sempra Commodities. The Letter Agreement addresses the wind-down of the partnership and the distribution of the partnership’s remaining assets. In accordance with the Letter Agreement, we received distributions in the nine months ended September 30, 2011 of $329 million on April 15, 2011 and $98 million on August 9, 2011. The investment balance of $126 million at September 30, 2012 reflects remaining distributions expected to be received from the partnership in accordance with the Letter Agreement. The timing and amount of distributions may be impacted by the matters we discuss related to RBS Sempra Commodities in Note 10 under “Other Litigation.” In addition, amounts may be retained by the partnership for an extended period of time to help offset unanticipated future general and administrative costs necessary to complete the dissolution of the partnership.</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Letter Agreement described above, we also released RBS from its indemnification obligations with respect to the items for which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Chase &amp; Co. (JP Morgan), one of the buyers of the partnership’s businesses, has agreed to indemnify us.</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recorded no equity earnings or losses related to the partnership for the three months or nine months ended September 30, 2012. Pretax equity losses from RBS Sempra Commodities were $16 million and $24 million for the three months and nine months ended September 30, 2011, respectively. Included in the equity losses is an impairment charge of $16 million ($10 million after-tax) for the three months and nine months ended September 30, 2011 to reduce our investment in RBS Sempra Commodities. We discuss the fair value measurement of our investment in the partnership in Note 8.</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discuss the RBS Sempra Commodities sales transactions, the Letter Agreement and other matters concerning the partnership in Note 4 of the Notes to Consolidated Financial Statements in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S. TREASURY GRANTS RECEIVABLE</w:t>
      </w:r>
    </w:p>
    <w:p>
      <w:pPr>
        <w:spacing w:after="0" w:line="2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September 30, 2012, Sempra Renewables has recorded grants receivable totaling $181 million. Based on eligible costs at its Mesquite Solar 1 and Copper Mountain Solar 2 generating facilities, the grants are recognized as receivables when the projects, or portions of projects, are placed into service. The grants are expected to be received in 2013.</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by segment are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2012</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2011</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2012</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2011</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2012</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2011</w:t>
            </w:r>
          </w:p>
        </w:tc>
      </w:tr>
      <w:tr>
        <w:trPr>
          <w:trHeight w:val="223"/>
        </w:trPr>
        <w:tc>
          <w:tcPr>
            <w:tcW w:w="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color w:val="auto"/>
              </w:rPr>
              <w:t>Natural Gas</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color w:val="auto"/>
              </w:rPr>
              <w:t>Materials and supplies</w:t>
            </w: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SDG&amp;E</w:t>
            </w:r>
          </w:p>
        </w:tc>
        <w:tc>
          <w:tcPr>
            <w:tcW w:w="900" w:type="dxa"/>
            <w:vAlign w:val="bottom"/>
            <w:gridSpan w:val="2"/>
          </w:tcPr>
          <w:p>
            <w:pPr>
              <w:jc w:val="right"/>
              <w:ind w:right="363"/>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7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4"/>
        </w:trPr>
        <w:tc>
          <w:tcPr>
            <w:tcW w:w="270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w:t>
            </w:r>
          </w:p>
        </w:tc>
        <w:tc>
          <w:tcPr>
            <w:tcW w:w="6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2700" w:type="dxa"/>
            <w:vAlign w:val="bottom"/>
            <w:gridSpan w:val="2"/>
          </w:tcPr>
          <w:p>
            <w:pPr>
              <w:spacing w:after="0"/>
              <w:rPr>
                <w:sz w:val="20"/>
                <w:szCs w:val="20"/>
                <w:color w:val="auto"/>
              </w:rPr>
            </w:pPr>
            <w:r>
              <w:rPr>
                <w:rFonts w:ascii="Arial" w:cs="Arial" w:eastAsia="Arial" w:hAnsi="Arial"/>
                <w:sz w:val="16"/>
                <w:szCs w:val="16"/>
                <w:color w:val="auto"/>
              </w:rPr>
              <w:t>Sempra South American Utilities</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2700" w:type="dxa"/>
            <w:vAlign w:val="bottom"/>
            <w:gridSpan w:val="2"/>
          </w:tcPr>
          <w:p>
            <w:pPr>
              <w:spacing w:after="0"/>
              <w:rPr>
                <w:sz w:val="20"/>
                <w:szCs w:val="20"/>
                <w:color w:val="auto"/>
              </w:rPr>
            </w:pPr>
            <w:r>
              <w:rPr>
                <w:rFonts w:ascii="Arial" w:cs="Arial" w:eastAsia="Arial" w:hAnsi="Arial"/>
                <w:sz w:val="16"/>
                <w:szCs w:val="16"/>
                <w:color w:val="auto"/>
              </w:rPr>
              <w:t>Sempra Mexico</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2700" w:type="dxa"/>
            <w:vAlign w:val="bottom"/>
            <w:gridSpan w:val="2"/>
          </w:tcPr>
          <w:p>
            <w:pPr>
              <w:spacing w:after="0"/>
              <w:rPr>
                <w:sz w:val="20"/>
                <w:szCs w:val="20"/>
                <w:color w:val="auto"/>
              </w:rPr>
            </w:pPr>
            <w:r>
              <w:rPr>
                <w:rFonts w:ascii="Arial" w:cs="Arial" w:eastAsia="Arial" w:hAnsi="Arial"/>
                <w:sz w:val="16"/>
                <w:szCs w:val="16"/>
                <w:color w:val="auto"/>
              </w:rPr>
              <w:t>Sempra Natural Gas</w:t>
            </w:r>
          </w:p>
        </w:tc>
        <w:tc>
          <w:tcPr>
            <w:tcW w:w="3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176"/>
        </w:trPr>
        <w:tc>
          <w:tcPr>
            <w:tcW w:w="2700" w:type="dxa"/>
            <w:vAlign w:val="bottom"/>
            <w:gridSpan w:val="2"/>
          </w:tcPr>
          <w:p>
            <w:pPr>
              <w:spacing w:after="0" w:line="176" w:lineRule="exact"/>
              <w:rPr>
                <w:sz w:val="20"/>
                <w:szCs w:val="20"/>
                <w:color w:val="auto"/>
              </w:rPr>
            </w:pPr>
            <w:r>
              <w:rPr>
                <w:rFonts w:ascii="Arial" w:cs="Arial" w:eastAsia="Arial" w:hAnsi="Arial"/>
                <w:sz w:val="16"/>
                <w:szCs w:val="16"/>
                <w:color w:val="auto"/>
              </w:rPr>
              <w:t>Sempra Energy Consolidated</w:t>
            </w:r>
          </w:p>
        </w:tc>
        <w:tc>
          <w:tcPr>
            <w:tcW w:w="360" w:type="dxa"/>
            <w:vAlign w:val="bottom"/>
          </w:tcPr>
          <w:p>
            <w:pPr>
              <w:spacing w:after="0"/>
              <w:rPr>
                <w:sz w:val="15"/>
                <w:szCs w:val="15"/>
                <w:color w:val="auto"/>
              </w:rPr>
            </w:pPr>
          </w:p>
        </w:tc>
        <w:tc>
          <w:tcPr>
            <w:tcW w:w="540" w:type="dxa"/>
            <w:vAlign w:val="bottom"/>
          </w:tcPr>
          <w:p>
            <w:pPr>
              <w:jc w:val="right"/>
              <w:ind w:right="363"/>
              <w:spacing w:after="0" w:line="176"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239</w:t>
            </w:r>
          </w:p>
        </w:tc>
        <w:tc>
          <w:tcPr>
            <w:tcW w:w="760" w:type="dxa"/>
            <w:vAlign w:val="bottom"/>
          </w:tcPr>
          <w:p>
            <w:pPr>
              <w:jc w:val="right"/>
              <w:ind w:right="562"/>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195</w:t>
            </w:r>
          </w:p>
        </w:tc>
        <w:tc>
          <w:tcPr>
            <w:tcW w:w="400" w:type="dxa"/>
            <w:vAlign w:val="bottom"/>
          </w:tcPr>
          <w:p>
            <w:pPr>
              <w:jc w:val="right"/>
              <w:ind w:right="202"/>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159</w:t>
            </w:r>
          </w:p>
        </w:tc>
        <w:tc>
          <w:tcPr>
            <w:tcW w:w="900" w:type="dxa"/>
            <w:vAlign w:val="bottom"/>
          </w:tcPr>
          <w:p>
            <w:pPr>
              <w:jc w:val="right"/>
              <w:ind w:right="722"/>
              <w:spacing w:after="0" w:line="176" w:lineRule="exact"/>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151</w:t>
            </w:r>
          </w:p>
        </w:tc>
        <w:tc>
          <w:tcPr>
            <w:tcW w:w="600" w:type="dxa"/>
            <w:vAlign w:val="bottom"/>
          </w:tcPr>
          <w:p>
            <w:pPr>
              <w:jc w:val="right"/>
              <w:ind w:right="402"/>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398</w:t>
            </w:r>
          </w:p>
        </w:tc>
        <w:tc>
          <w:tcPr>
            <w:tcW w:w="640" w:type="dxa"/>
            <w:vAlign w:val="bottom"/>
          </w:tcPr>
          <w:p>
            <w:pPr>
              <w:jc w:val="right"/>
              <w:ind w:right="462"/>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346</w:t>
            </w:r>
          </w:p>
        </w:tc>
      </w:tr>
      <w:tr>
        <w:trPr>
          <w:trHeight w:val="21"/>
        </w:trPr>
        <w:tc>
          <w:tcPr>
            <w:tcW w:w="20" w:type="dxa"/>
            <w:vAlign w:val="bottom"/>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70" w:lineRule="exact"/>
        <w:rPr>
          <w:sz w:val="20"/>
          <w:szCs w:val="20"/>
          <w:color w:val="auto"/>
        </w:rPr>
      </w:pPr>
    </w:p>
    <w:p>
      <w:pPr>
        <w:ind w:left="340" w:hanging="188"/>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 to absorb losses or right to receive benefits that could be significant to the VIE.</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impacts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Otay Mesa VIE</w:t>
      </w:r>
    </w:p>
    <w:p>
      <w:pPr>
        <w:sectPr>
          <w:pgSz w:w="11900" w:h="16921" w:orient="portrait"/>
          <w:cols w:equalWidth="0" w:num="1">
            <w:col w:w="11420"/>
          </w:cols>
          <w:pgMar w:left="240" w:top="125" w:right="239" w:bottom="0" w:gutter="0" w:footer="0" w:header="0"/>
        </w:sectPr>
      </w:pPr>
    </w:p>
    <w:p>
      <w:pPr>
        <w:spacing w:after="0" w:line="2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SDG&amp;E has an agreement to purchase power generated at the Otay Mesa Energy Center (OMEC), a 605-megawatt (MW) generating facility. In addition to tolling, the agreement provides SDG&amp;E with the option to purchase the power plant at the end of the contract term in 2019, or upon earlier termination of the</w:t>
      </w:r>
    </w:p>
    <w:p>
      <w:pPr>
        <w:sectPr>
          <w:pgSz w:w="11900" w:h="16921" w:orient="portrait"/>
          <w:cols w:equalWidth="0" w:num="1">
            <w:col w:w="11420"/>
          </w:cols>
          <w:pgMar w:left="240" w:top="125" w:right="239" w:bottom="0" w:gutter="0" w:footer="0" w:header="0"/>
          <w:type w:val="continuous"/>
        </w:sectPr>
      </w:pPr>
    </w:p>
    <w:bookmarkStart w:id="17" w:name="page18"/>
    <w:bookmarkEnd w:id="17"/>
    <w:p>
      <w:pPr>
        <w:ind w:right="340"/>
        <w:spacing w:after="0" w:line="308" w:lineRule="auto"/>
        <w:rPr>
          <w:sz w:val="20"/>
          <w:szCs w:val="20"/>
          <w:color w:val="auto"/>
        </w:rPr>
      </w:pPr>
      <w:r>
        <w:rPr>
          <w:rFonts w:ascii="Arial" w:cs="Arial" w:eastAsia="Arial" w:hAnsi="Arial"/>
          <w:sz w:val="17"/>
          <w:szCs w:val="17"/>
          <w:color w:val="auto"/>
        </w:rPr>
        <w:t>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SDG&amp;E and Sempra Energy have consolidated Otay Mesa VIE since the second quarter of 2007. Otay Mesa VIE’s equity of $90 million at September 30, 2012 and $102 million at December 31, 2011 is included on the Condensed Consolidated Balance Sheets in Other Noncontrolling Interests for Sempra Energy and in Noncontrolling Interest for SDG&amp;E.</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OMEC LLC has a loan outstanding of $347 million at September 30, 2012,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as of September 30, 2012.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In addition, SDG&amp;E is not exposed to losses or gains as a result of these other VIEs, because all such variability would be recovered in rates.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requirements of GAAP concerning the consolidation of VIEs.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generally correspond to SDG&amp;E’s Condensed Consolidated Statements of Operations.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Pr>
          <w:p>
            <w:pPr>
              <w:spacing w:after="0"/>
              <w:rPr>
                <w:sz w:val="14"/>
                <w:szCs w:val="14"/>
                <w:color w:val="auto"/>
              </w:rPr>
            </w:pPr>
          </w:p>
        </w:tc>
        <w:tc>
          <w:tcPr>
            <w:tcW w:w="2800" w:type="dxa"/>
            <w:vAlign w:val="bottom"/>
            <w:gridSpan w:val="3"/>
          </w:tcPr>
          <w:p>
            <w:pPr>
              <w:jc w:val="right"/>
              <w:ind w:right="2"/>
              <w:spacing w:after="0"/>
              <w:rPr>
                <w:sz w:val="20"/>
                <w:szCs w:val="20"/>
                <w:color w:val="auto"/>
              </w:rPr>
            </w:pPr>
            <w:r>
              <w:rPr>
                <w:rFonts w:ascii="Arial" w:cs="Arial" w:eastAsia="Arial" w:hAnsi="Arial"/>
                <w:sz w:val="14"/>
                <w:szCs w:val="14"/>
                <w:color w:val="auto"/>
              </w:rPr>
              <w:t>Three months ended September 30,</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4"/>
          </w:tcPr>
          <w:p>
            <w:pPr>
              <w:jc w:val="right"/>
              <w:ind w:right="480"/>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51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4"/>
                <w:szCs w:val="14"/>
                <w:color w:val="auto"/>
              </w:rPr>
              <w:t>2012</w:t>
            </w:r>
          </w:p>
        </w:tc>
        <w:tc>
          <w:tcPr>
            <w:tcW w:w="6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color w:val="auto"/>
              </w:rPr>
              <w:t>2011</w:t>
            </w:r>
          </w:p>
        </w:tc>
        <w:tc>
          <w:tcPr>
            <w:tcW w:w="5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720"/>
              <w:spacing w:after="0"/>
              <w:rPr>
                <w:sz w:val="20"/>
                <w:szCs w:val="20"/>
                <w:color w:val="auto"/>
              </w:rPr>
            </w:pPr>
            <w:r>
              <w:rPr>
                <w:rFonts w:ascii="Arial" w:cs="Arial" w:eastAsia="Arial" w:hAnsi="Arial"/>
                <w:sz w:val="14"/>
                <w:szCs w:val="14"/>
                <w:color w:val="auto"/>
              </w:rPr>
              <w:t>2012</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9"/>
                <w:szCs w:val="19"/>
                <w:color w:val="auto"/>
              </w:rPr>
            </w:pPr>
          </w:p>
        </w:tc>
      </w:tr>
      <w:tr>
        <w:trPr>
          <w:trHeight w:val="421"/>
        </w:trPr>
        <w:tc>
          <w:tcPr>
            <w:tcW w:w="5120" w:type="dxa"/>
            <w:vAlign w:val="bottom"/>
          </w:tcPr>
          <w:p>
            <w:pPr>
              <w:spacing w:after="0"/>
              <w:rPr>
                <w:sz w:val="20"/>
                <w:szCs w:val="20"/>
                <w:color w:val="auto"/>
              </w:rPr>
            </w:pPr>
            <w:r>
              <w:rPr>
                <w:rFonts w:ascii="Arial" w:cs="Arial" w:eastAsia="Arial" w:hAnsi="Arial"/>
                <w:sz w:val="16"/>
                <w:szCs w:val="16"/>
                <w:color w:val="auto"/>
              </w:rPr>
              <w:t>Operating revenues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120" w:type="dxa"/>
            <w:vAlign w:val="bottom"/>
          </w:tcPr>
          <w:p>
            <w:pPr>
              <w:ind w:left="180"/>
              <w:spacing w:after="0"/>
              <w:rPr>
                <w:sz w:val="20"/>
                <w:szCs w:val="20"/>
                <w:color w:val="auto"/>
              </w:rPr>
            </w:pPr>
            <w:r>
              <w:rPr>
                <w:rFonts w:ascii="Arial" w:cs="Arial" w:eastAsia="Arial" w:hAnsi="Arial"/>
                <w:sz w:val="16"/>
                <w:szCs w:val="16"/>
                <w:color w:val="auto"/>
              </w:rPr>
              <w:t>Electric</w:t>
            </w:r>
          </w:p>
        </w:tc>
        <w:tc>
          <w:tcPr>
            <w:tcW w:w="110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110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24"/>
        </w:trPr>
        <w:tc>
          <w:tcPr>
            <w:tcW w:w="5120" w:type="dxa"/>
            <w:vAlign w:val="bottom"/>
          </w:tcPr>
          <w:p>
            <w:pPr>
              <w:spacing w:after="0"/>
              <w:rPr>
                <w:sz w:val="20"/>
                <w:szCs w:val="20"/>
                <w:color w:val="auto"/>
              </w:rPr>
            </w:pPr>
            <w:r>
              <w:rPr>
                <w:rFonts w:ascii="Arial" w:cs="Arial" w:eastAsia="Arial" w:hAnsi="Arial"/>
                <w:sz w:val="16"/>
                <w:szCs w:val="16"/>
                <w:color w:val="auto"/>
              </w:rPr>
              <w:t>Operating expenses</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11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(66)</w:t>
            </w: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1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08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10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80" w:type="dxa"/>
            <w:vAlign w:val="bottom"/>
          </w:tcPr>
          <w:p>
            <w:pPr>
              <w:spacing w:after="0"/>
              <w:rPr>
                <w:sz w:val="19"/>
                <w:szCs w:val="19"/>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24"/>
        </w:trPr>
        <w:tc>
          <w:tcPr>
            <w:tcW w:w="5120" w:type="dxa"/>
            <w:vAlign w:val="bottom"/>
          </w:tcPr>
          <w:p>
            <w:pPr>
              <w:spacing w:after="0"/>
              <w:rPr>
                <w:sz w:val="20"/>
                <w:szCs w:val="20"/>
                <w:color w:val="auto"/>
              </w:rPr>
            </w:pPr>
            <w:r>
              <w:rPr>
                <w:rFonts w:ascii="Arial" w:cs="Arial" w:eastAsia="Arial" w:hAnsi="Arial"/>
                <w:sz w:val="16"/>
                <w:szCs w:val="16"/>
                <w:color w:val="auto"/>
              </w:rPr>
              <w:t>Operating income</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w:t>
            </w:r>
          </w:p>
        </w:tc>
        <w:tc>
          <w:tcPr>
            <w:tcW w:w="10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21</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32</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1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24"/>
        </w:trPr>
        <w:tc>
          <w:tcPr>
            <w:tcW w:w="5120" w:type="dxa"/>
            <w:vAlign w:val="bottom"/>
          </w:tcPr>
          <w:p>
            <w:pPr>
              <w:spacing w:after="0"/>
              <w:rPr>
                <w:sz w:val="20"/>
                <w:szCs w:val="20"/>
                <w:color w:val="auto"/>
              </w:rPr>
            </w:pPr>
            <w:r>
              <w:rPr>
                <w:rFonts w:ascii="Arial" w:cs="Arial" w:eastAsia="Arial" w:hAnsi="Arial"/>
                <w:sz w:val="16"/>
                <w:szCs w:val="16"/>
                <w:color w:val="auto"/>
              </w:rPr>
              <w:t>Income before income taxes/Net income</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w:t>
            </w:r>
          </w:p>
        </w:tc>
        <w:tc>
          <w:tcPr>
            <w:tcW w:w="10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21</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23</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Earnings attributable to noncontrolling interest</w:t>
            </w:r>
          </w:p>
        </w:tc>
        <w:tc>
          <w:tcPr>
            <w:tcW w:w="11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8"/>
                <w:szCs w:val="18"/>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176"/>
        </w:trPr>
        <w:tc>
          <w:tcPr>
            <w:tcW w:w="512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Earnings</w:t>
            </w:r>
          </w:p>
        </w:tc>
        <w:tc>
          <w:tcPr>
            <w:tcW w:w="1100" w:type="dxa"/>
            <w:vAlign w:val="bottom"/>
            <w:tcBorders>
              <w:top w:val="single" w:sz="8" w:color="auto"/>
              <w:bottom w:val="single" w:sz="8" w:color="auto"/>
            </w:tcBorders>
          </w:tcPr>
          <w:p>
            <w:pPr>
              <w:jc w:val="right"/>
              <w:ind w:right="643"/>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762"/>
              <w:spacing w:after="0" w:line="176" w:lineRule="exact"/>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21"/>
        </w:trPr>
        <w:tc>
          <w:tcPr>
            <w:tcW w:w="5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regarding Otay Mesa VIE in Note 1 of the Notes to Consolidated Financial Statements in the Updated Annual Report.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Goodwill is the excess of the purchase price over the fair value of the identifiable net assets of acquired companies measured at the time of acquisition. Goodwill is not amortized but is tested annually on October 1 for impairment. Impairment of goodwill occurs when the carrying amount (book value) of goodwill exceeds its implied fair value. If the carrying value of the reporting unit, including goodwill, exceeds its fair value, and the book value of goodwill is greater than its fair value on the test date, we record a goodwill impairment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Goodwill included on the Sempra Energy Condensed Consolidated Balance Sheets is recorded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98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987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Sempra</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South American</w:t>
            </w:r>
          </w:p>
        </w:tc>
        <w:tc>
          <w:tcPr>
            <w:tcW w:w="440" w:type="dxa"/>
            <w:vAlign w:val="bottom"/>
          </w:tcPr>
          <w:p>
            <w:pPr>
              <w:spacing w:after="0"/>
              <w:rPr>
                <w:sz w:val="18"/>
                <w:szCs w:val="18"/>
                <w:color w:val="auto"/>
              </w:rPr>
            </w:pPr>
          </w:p>
        </w:tc>
        <w:tc>
          <w:tcPr>
            <w:tcW w:w="1220" w:type="dxa"/>
            <w:vAlign w:val="bottom"/>
          </w:tcPr>
          <w:p>
            <w:pPr>
              <w:jc w:val="right"/>
              <w:ind w:right="282"/>
              <w:spacing w:after="0"/>
              <w:rPr>
                <w:sz w:val="20"/>
                <w:szCs w:val="20"/>
                <w:color w:val="auto"/>
              </w:rPr>
            </w:pPr>
            <w:r>
              <w:rPr>
                <w:rFonts w:ascii="Arial" w:cs="Arial" w:eastAsia="Arial" w:hAnsi="Arial"/>
                <w:sz w:val="14"/>
                <w:szCs w:val="14"/>
                <w:color w:val="auto"/>
              </w:rPr>
              <w:t>Sempra</w:t>
            </w:r>
          </w:p>
        </w:tc>
        <w:tc>
          <w:tcPr>
            <w:tcW w:w="38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Arial" w:cs="Arial" w:eastAsia="Arial" w:hAnsi="Arial"/>
                <w:sz w:val="14"/>
                <w:szCs w:val="14"/>
                <w:color w:val="auto"/>
              </w:rPr>
              <w:t>Sempra</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Utilities</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Mexico</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Natural Gas</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Total</w:t>
            </w: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Balance as of December 31, 2011</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949</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62</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04"/>
        </w:trPr>
        <w:tc>
          <w:tcPr>
            <w:tcW w:w="3380" w:type="dxa"/>
            <w:vAlign w:val="bottom"/>
            <w:gridSpan w:val="2"/>
          </w:tcPr>
          <w:p>
            <w:pPr>
              <w:spacing w:after="0"/>
              <w:rPr>
                <w:sz w:val="20"/>
                <w:szCs w:val="20"/>
                <w:color w:val="auto"/>
              </w:rPr>
            </w:pPr>
            <w:r>
              <w:rPr>
                <w:rFonts w:ascii="Arial" w:cs="Arial" w:eastAsia="Arial" w:hAnsi="Arial"/>
                <w:sz w:val="16"/>
                <w:szCs w:val="16"/>
                <w:color w:val="auto"/>
              </w:rPr>
              <w:t>Foreign currency translation(1)</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3380" w:type="dxa"/>
            <w:vAlign w:val="bottom"/>
            <w:gridSpan w:val="2"/>
          </w:tcPr>
          <w:p>
            <w:pPr>
              <w:spacing w:after="0"/>
              <w:rPr>
                <w:sz w:val="20"/>
                <w:szCs w:val="20"/>
                <w:color w:val="auto"/>
              </w:rPr>
            </w:pPr>
            <w:r>
              <w:rPr>
                <w:rFonts w:ascii="Arial" w:cs="Arial" w:eastAsia="Arial" w:hAnsi="Arial"/>
                <w:sz w:val="16"/>
                <w:szCs w:val="16"/>
                <w:color w:val="auto"/>
              </w:rPr>
              <w:t>Acquisition of subsidiary</w:t>
            </w:r>
          </w:p>
        </w:tc>
        <w:tc>
          <w:tcPr>
            <w:tcW w:w="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76"/>
        </w:trPr>
        <w:tc>
          <w:tcPr>
            <w:tcW w:w="3380" w:type="dxa"/>
            <w:vAlign w:val="bottom"/>
            <w:gridSpan w:val="2"/>
          </w:tcPr>
          <w:p>
            <w:pPr>
              <w:spacing w:after="0" w:line="176" w:lineRule="exact"/>
              <w:rPr>
                <w:sz w:val="20"/>
                <w:szCs w:val="20"/>
                <w:color w:val="auto"/>
              </w:rPr>
            </w:pPr>
            <w:r>
              <w:rPr>
                <w:rFonts w:ascii="Arial" w:cs="Arial" w:eastAsia="Arial" w:hAnsi="Arial"/>
                <w:sz w:val="16"/>
                <w:szCs w:val="16"/>
                <w:color w:val="auto"/>
              </w:rPr>
              <w:t>Balance at September 30, 2012</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line="176" w:lineRule="exact"/>
              <w:rPr>
                <w:sz w:val="20"/>
                <w:szCs w:val="20"/>
                <w:color w:val="auto"/>
              </w:rPr>
            </w:pPr>
            <w:r>
              <w:rPr>
                <w:rFonts w:ascii="Arial" w:cs="Arial" w:eastAsia="Arial" w:hAnsi="Arial"/>
                <w:sz w:val="16"/>
                <w:szCs w:val="16"/>
                <w:color w:val="auto"/>
              </w:rPr>
              <w:t>1,012</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72</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1,109</w:t>
            </w:r>
          </w:p>
        </w:tc>
      </w:tr>
      <w:tr>
        <w:trPr>
          <w:trHeight w:val="21"/>
        </w:trPr>
        <w:tc>
          <w:tcPr>
            <w:tcW w:w="20" w:type="dxa"/>
            <w:vAlign w:val="bottom"/>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ind w:left="540" w:hanging="532"/>
        <w:spacing w:after="0"/>
        <w:tabs>
          <w:tab w:leader="none" w:pos="5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We record the offset of this fluctuation to other comprehensive income.</w:t>
      </w:r>
    </w:p>
    <w:p>
      <w:pPr>
        <w:spacing w:after="0" w:line="2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provide additional information concerning goodwill in Note 3 above and Notes 1 and 3 of the Notes to Consolidated Financial Statements in the Updated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Remeasurement</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SoCalGas union collective bargaining agreement (CBA) covering wages, hours, working conditions and medical and other benefit plans was ratified on March 1, 2012 and is effective January 1, 2012 through September 30, 2015. The new CBA includes a change in plans offered for post-65 medical benefits. As a result, SoCalGas changed the option for administering the Medicare Part D benefit to an Employer Group Waiver Plan (EGWP). The EGWP allows a plan sponsor to contract with a Medicare Part D sponsor to receive the benefit of the subsidy through reduced premiums. Because this change in benefits is a significant event under GAAP, SoCalGas was required to remeasure the benefit obligations for this postretirement welfare plan as of February 29, 2012 and determined that a discount rate of 4.65% was appropriate. The effect of the remeasurement was a $66 million decrease in the recorded liability for other postretirement benefits as of March 31, 2012 at SoCalGas and Sempra Energy Consolidated. We discuss the Medicare Part D benefit in Note 8 of the Notes to Consolidated Financial Statements in the Updated Annual Report.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Ownership Plan (ESOP)</w:t>
      </w:r>
    </w:p>
    <w:p>
      <w:pPr>
        <w:spacing w:after="0" w:line="2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Sempra Energy terminated the ESOP effective June 30, 2012, as all ESOP debt was paid and all shares were released from the ESOP Trust as of that date. We describe the ESOP and ESOP debt in Note 8 of the Notes to Consolidated Financial Statements in the Updated Annual Report.</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526"/>
              <w:spacing w:after="0"/>
              <w:rPr>
                <w:sz w:val="20"/>
                <w:szCs w:val="20"/>
                <w:color w:val="auto"/>
              </w:rPr>
            </w:pPr>
            <w:r>
              <w:rPr>
                <w:rFonts w:ascii="Arial" w:cs="Arial" w:eastAsia="Arial" w:hAnsi="Arial"/>
                <w:sz w:val="14"/>
                <w:szCs w:val="14"/>
                <w:color w:val="auto"/>
              </w:rPr>
              <w:t>Pension Benefits</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rPr>
              <w:t>Other Postretirement Benefits</w:t>
            </w: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4"/>
                <w:szCs w:val="14"/>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rPr>
              <w:t>Three months ended September 30,</w:t>
            </w:r>
          </w:p>
        </w:tc>
      </w:tr>
      <w:tr>
        <w:trPr>
          <w:trHeight w:val="223"/>
        </w:trPr>
        <w:tc>
          <w:tcPr>
            <w:tcW w:w="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Service cost</w:t>
            </w:r>
          </w:p>
        </w:tc>
        <w:tc>
          <w:tcPr>
            <w:tcW w:w="1840" w:type="dxa"/>
            <w:vAlign w:val="bottom"/>
            <w:gridSpan w:val="2"/>
          </w:tcPr>
          <w:p>
            <w:pPr>
              <w:jc w:val="right"/>
              <w:ind w:right="886"/>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4"/>
        </w:trPr>
        <w:tc>
          <w:tcPr>
            <w:tcW w:w="394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Prior service cost</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8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76"/>
        </w:trPr>
        <w:tc>
          <w:tcPr>
            <w:tcW w:w="394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800" w:type="dxa"/>
            <w:vAlign w:val="bottom"/>
          </w:tcPr>
          <w:p>
            <w:pPr>
              <w:spacing w:after="0"/>
              <w:rPr>
                <w:sz w:val="15"/>
                <w:szCs w:val="15"/>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r>
      <w:tr>
        <w:trPr>
          <w:trHeight w:val="21"/>
        </w:trPr>
        <w:tc>
          <w:tcPr>
            <w:tcW w:w="20" w:type="dxa"/>
            <w:vAlign w:val="bottom"/>
          </w:tcPr>
          <w:p>
            <w:pPr>
              <w:spacing w:after="0" w:line="20" w:lineRule="exact"/>
              <w:rPr>
                <w:sz w:val="1"/>
                <w:szCs w:val="1"/>
                <w:color w:val="auto"/>
              </w:rPr>
            </w:pPr>
          </w:p>
        </w:tc>
        <w:tc>
          <w:tcPr>
            <w:tcW w:w="3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gridSpan w:val="3"/>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8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4"/>
                <w:szCs w:val="14"/>
                <w:color w:val="auto"/>
              </w:rPr>
              <w:t>Nine months ended September 30,</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Service cost</w:t>
            </w:r>
          </w:p>
        </w:tc>
        <w:tc>
          <w:tcPr>
            <w:tcW w:w="1840" w:type="dxa"/>
            <w:vAlign w:val="bottom"/>
            <w:gridSpan w:val="2"/>
          </w:tcPr>
          <w:p>
            <w:pPr>
              <w:jc w:val="right"/>
              <w:ind w:right="886"/>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4"/>
        </w:trPr>
        <w:tc>
          <w:tcPr>
            <w:tcW w:w="394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122</w:t>
            </w:r>
          </w:p>
        </w:tc>
        <w:tc>
          <w:tcPr>
            <w:tcW w:w="1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126</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8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76"/>
        </w:trPr>
        <w:tc>
          <w:tcPr>
            <w:tcW w:w="394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800" w:type="dxa"/>
            <w:vAlign w:val="bottom"/>
          </w:tcPr>
          <w:p>
            <w:pPr>
              <w:spacing w:after="0"/>
              <w:rPr>
                <w:sz w:val="15"/>
                <w:szCs w:val="15"/>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110</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126</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r>
      <w:tr>
        <w:trPr>
          <w:trHeight w:val="21"/>
        </w:trPr>
        <w:tc>
          <w:tcPr>
            <w:tcW w:w="20" w:type="dxa"/>
            <w:vAlign w:val="bottom"/>
          </w:tcPr>
          <w:p>
            <w:pPr>
              <w:spacing w:after="0" w:line="20" w:lineRule="exact"/>
              <w:rPr>
                <w:sz w:val="1"/>
                <w:szCs w:val="1"/>
                <w:color w:val="auto"/>
              </w:rPr>
            </w:pPr>
          </w:p>
        </w:tc>
        <w:tc>
          <w:tcPr>
            <w:tcW w:w="3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92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SDG&amp;E</w:t>
            </w:r>
          </w:p>
        </w:tc>
        <w:tc>
          <w:tcPr>
            <w:tcW w:w="80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620" w:type="dxa"/>
            <w:vAlign w:val="bottom"/>
            <w:shd w:val="clear" w:color="auto" w:fill="C0C0C0"/>
          </w:tcPr>
          <w:p>
            <w:pPr>
              <w:spacing w:after="0"/>
              <w:rPr>
                <w:sz w:val="13"/>
                <w:szCs w:val="13"/>
                <w:color w:val="auto"/>
              </w:rPr>
            </w:pPr>
          </w:p>
        </w:tc>
        <w:tc>
          <w:tcPr>
            <w:tcW w:w="1220" w:type="dxa"/>
            <w:vAlign w:val="bottom"/>
            <w:shd w:val="clear" w:color="auto" w:fill="C0C0C0"/>
          </w:tcPr>
          <w:p>
            <w:pPr>
              <w:spacing w:after="0"/>
              <w:rPr>
                <w:sz w:val="13"/>
                <w:szCs w:val="13"/>
                <w:color w:val="auto"/>
              </w:rPr>
            </w:pPr>
          </w:p>
        </w:tc>
        <w:tc>
          <w:tcPr>
            <w:tcW w:w="440" w:type="dxa"/>
            <w:vAlign w:val="bottom"/>
            <w:shd w:val="clear" w:color="auto" w:fill="C0C0C0"/>
          </w:tcPr>
          <w:p>
            <w:pPr>
              <w:spacing w:after="0"/>
              <w:rPr>
                <w:sz w:val="13"/>
                <w:szCs w:val="13"/>
                <w:color w:val="auto"/>
              </w:rPr>
            </w:pPr>
          </w:p>
        </w:tc>
        <w:tc>
          <w:tcPr>
            <w:tcW w:w="300" w:type="dxa"/>
            <w:vAlign w:val="bottom"/>
            <w:shd w:val="clear" w:color="auto" w:fill="C0C0C0"/>
          </w:tcPr>
          <w:p>
            <w:pPr>
              <w:spacing w:after="0"/>
              <w:rPr>
                <w:sz w:val="13"/>
                <w:szCs w:val="13"/>
                <w:color w:val="auto"/>
              </w:rPr>
            </w:pPr>
          </w:p>
        </w:tc>
        <w:tc>
          <w:tcPr>
            <w:tcW w:w="138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92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122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138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526"/>
              <w:spacing w:after="0"/>
              <w:rPr>
                <w:sz w:val="20"/>
                <w:szCs w:val="20"/>
                <w:color w:val="auto"/>
              </w:rPr>
            </w:pPr>
            <w:r>
              <w:rPr>
                <w:rFonts w:ascii="Arial" w:cs="Arial" w:eastAsia="Arial" w:hAnsi="Arial"/>
                <w:sz w:val="14"/>
                <w:szCs w:val="14"/>
                <w:color w:val="auto"/>
              </w:rPr>
              <w:t>Pension Benefits</w:t>
            </w: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rPr>
              <w:t>Other Postretirement Benefits</w:t>
            </w: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4"/>
                <w:szCs w:val="14"/>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rPr>
              <w:t>Three months ended September 30,</w:t>
            </w:r>
          </w:p>
        </w:tc>
      </w:tr>
      <w:tr>
        <w:trPr>
          <w:trHeight w:val="223"/>
        </w:trPr>
        <w:tc>
          <w:tcPr>
            <w:tcW w:w="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Service cost</w:t>
            </w:r>
          </w:p>
        </w:tc>
        <w:tc>
          <w:tcPr>
            <w:tcW w:w="1840" w:type="dxa"/>
            <w:vAlign w:val="bottom"/>
            <w:gridSpan w:val="2"/>
          </w:tcPr>
          <w:p>
            <w:pPr>
              <w:jc w:val="right"/>
              <w:ind w:right="886"/>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394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94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Prior service cost</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51" w:orient="portrait"/>
          <w:cols w:equalWidth="0" w:num="1">
            <w:col w:w="11420"/>
          </w:cols>
          <w:pgMar w:left="240" w:top="130"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w w:val="91"/>
              </w:rPr>
              <w:t>(1)</w:t>
            </w:r>
          </w:p>
        </w:tc>
        <w:tc>
          <w:tcPr>
            <w:tcW w:w="4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gridSpan w:val="4"/>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rPr>
              <w:t>Nine months ended September 30,</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960" w:type="dxa"/>
            <w:vAlign w:val="bottom"/>
            <w:gridSpan w:val="3"/>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34</w:t>
            </w:r>
          </w:p>
        </w:tc>
        <w:tc>
          <w:tcPr>
            <w:tcW w:w="4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cost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96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SOCALGAS</w:t>
            </w:r>
          </w:p>
        </w:tc>
        <w:tc>
          <w:tcPr>
            <w:tcW w:w="50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220" w:type="dxa"/>
            <w:vAlign w:val="bottom"/>
            <w:shd w:val="clear" w:color="auto" w:fill="C0C0C0"/>
          </w:tcPr>
          <w:p>
            <w:pPr>
              <w:spacing w:after="0"/>
              <w:rPr>
                <w:sz w:val="13"/>
                <w:szCs w:val="13"/>
                <w:color w:val="auto"/>
              </w:rPr>
            </w:pPr>
          </w:p>
        </w:tc>
        <w:tc>
          <w:tcPr>
            <w:tcW w:w="2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108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280" w:type="dxa"/>
            <w:vAlign w:val="bottom"/>
            <w:shd w:val="clear" w:color="auto" w:fill="C0C0C0"/>
          </w:tcPr>
          <w:p>
            <w:pPr>
              <w:spacing w:after="0"/>
              <w:rPr>
                <w:sz w:val="13"/>
                <w:szCs w:val="13"/>
                <w:color w:val="auto"/>
              </w:rPr>
            </w:pPr>
          </w:p>
        </w:tc>
        <w:tc>
          <w:tcPr>
            <w:tcW w:w="134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22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08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562"/>
              <w:spacing w:after="0"/>
              <w:rPr>
                <w:sz w:val="20"/>
                <w:szCs w:val="20"/>
                <w:color w:val="auto"/>
              </w:rPr>
            </w:pPr>
            <w:r>
              <w:rPr>
                <w:rFonts w:ascii="Arial" w:cs="Arial" w:eastAsia="Arial" w:hAnsi="Arial"/>
                <w:sz w:val="14"/>
                <w:szCs w:val="14"/>
                <w:color w:val="auto"/>
              </w:rPr>
              <w:t>Pension Benefits</w:t>
            </w:r>
          </w:p>
        </w:tc>
        <w:tc>
          <w:tcPr>
            <w:tcW w:w="10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color w:val="auto"/>
              </w:rPr>
              <w:t>Other Postretirement Benefits</w:t>
            </w: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rPr>
              <w:t>Three months ended September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7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gridSpan w:val="2"/>
          </w:tcPr>
          <w:p>
            <w:pPr>
              <w:jc w:val="center"/>
              <w:ind w:right="264"/>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(23)</w:t>
            </w:r>
          </w:p>
        </w:tc>
        <w:tc>
          <w:tcPr>
            <w:tcW w:w="42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4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420" w:type="dxa"/>
            <w:vAlign w:val="bottom"/>
            <w:gridSpan w:val="2"/>
          </w:tcPr>
          <w:p>
            <w:pPr>
              <w:jc w:val="center"/>
              <w:ind w:right="264"/>
              <w:spacing w:after="0" w:line="17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gridSpan w:val="4"/>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color w:val="auto"/>
              </w:rPr>
              <w:t>Nine months ended September 30,</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7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420" w:type="dxa"/>
            <w:vAlign w:val="bottom"/>
            <w:gridSpan w:val="2"/>
          </w:tcPr>
          <w:p>
            <w:pPr>
              <w:jc w:val="center"/>
              <w:ind w:right="264"/>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(72)</w:t>
            </w:r>
          </w:p>
        </w:tc>
        <w:tc>
          <w:tcPr>
            <w:tcW w:w="42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(64)</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(16)</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24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420" w:type="dxa"/>
            <w:vAlign w:val="bottom"/>
            <w:gridSpan w:val="2"/>
          </w:tcPr>
          <w:p>
            <w:pPr>
              <w:jc w:val="center"/>
              <w:ind w:right="264"/>
              <w:spacing w:after="0" w:line="17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2012:</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400" w:type="dxa"/>
            <w:vAlign w:val="bottom"/>
          </w:tcPr>
          <w:p>
            <w:pPr>
              <w:spacing w:after="0"/>
              <w:rPr>
                <w:sz w:val="14"/>
                <w:szCs w:val="14"/>
                <w:color w:val="auto"/>
              </w:rPr>
            </w:pPr>
          </w:p>
        </w:tc>
        <w:tc>
          <w:tcPr>
            <w:tcW w:w="1700" w:type="dxa"/>
            <w:vAlign w:val="bottom"/>
          </w:tcPr>
          <w:p>
            <w:pPr>
              <w:jc w:val="right"/>
              <w:ind w:right="422"/>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02"/>
              <w:spacing w:after="0" w:line="157"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81"/>
              <w:spacing w:after="0" w:line="157" w:lineRule="exact"/>
              <w:rPr>
                <w:sz w:val="20"/>
                <w:szCs w:val="20"/>
                <w:color w:val="auto"/>
              </w:rPr>
            </w:pPr>
            <w:r>
              <w:rPr>
                <w:rFonts w:ascii="Arial" w:cs="Arial" w:eastAsia="Arial" w:hAnsi="Arial"/>
                <w:sz w:val="14"/>
                <w:szCs w:val="14"/>
                <w:color w:val="auto"/>
              </w:rPr>
              <w:t>SDG&amp;E</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21"/>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20"/>
                <w:szCs w:val="20"/>
                <w:color w:val="auto"/>
              </w:rPr>
            </w:pPr>
            <w:r>
              <w:rPr>
                <w:rFonts w:ascii="Arial" w:cs="Arial" w:eastAsia="Arial" w:hAnsi="Arial"/>
                <w:sz w:val="16"/>
                <w:szCs w:val="16"/>
                <w:color w:val="auto"/>
              </w:rPr>
              <w:t>Contributions through September 30, 2012:</w:t>
            </w: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111</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36</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14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Arial" w:cs="Arial" w:eastAsia="Arial" w:hAnsi="Arial"/>
                <w:sz w:val="16"/>
                <w:szCs w:val="16"/>
                <w:color w:val="auto"/>
              </w:rPr>
              <w:t>Total expected contributions in 2012:</w:t>
            </w: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123</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45</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postretirement benefit plans</w:t>
            </w:r>
          </w:p>
        </w:tc>
        <w:tc>
          <w:tcPr>
            <w:tcW w:w="14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
        </w:trPr>
        <w:tc>
          <w:tcPr>
            <w:tcW w:w="4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Expected contributions to our pension plans in 2012 have decreased significantly due to the passage of legislation in July 2012, the Moving Ahead for Progress in the 21st Century Act, that significantly reduces the minimum contributions required for single employer defined benefit plans, but increases premiums to the Pension Benefit Guaranty Corporation.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provides the per share computations for our earnings for the three months and nine months ended September 30, 2012 and 2011.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83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40" w:type="dxa"/>
            <w:vAlign w:val="bottom"/>
          </w:tcPr>
          <w:p>
            <w:pPr>
              <w:spacing w:after="0"/>
              <w:rPr>
                <w:sz w:val="14"/>
                <w:szCs w:val="14"/>
                <w:color w:val="auto"/>
              </w:rPr>
            </w:pPr>
          </w:p>
        </w:tc>
        <w:tc>
          <w:tcPr>
            <w:tcW w:w="314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color w:val="auto"/>
              </w:rPr>
              <w:t>Three months ended September 30,</w:t>
            </w:r>
          </w:p>
        </w:tc>
        <w:tc>
          <w:tcPr>
            <w:tcW w:w="314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5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2012</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2011(1)</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2012</w:t>
            </w:r>
          </w:p>
        </w:tc>
        <w:tc>
          <w:tcPr>
            <w:tcW w:w="15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2011(1)</w:t>
            </w:r>
          </w:p>
        </w:tc>
      </w:tr>
    </w:tbl>
    <w:p>
      <w:pPr>
        <w:sectPr>
          <w:pgSz w:w="11900" w:h="16838" w:orient="portrait"/>
          <w:cols w:equalWidth="0" w:num="1">
            <w:col w:w="11420"/>
          </w:cols>
          <w:pgMar w:left="240" w:top="128"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20"/>
                <w:szCs w:val="20"/>
                <w:color w:val="auto"/>
              </w:rPr>
            </w:pPr>
            <w:r>
              <w:rPr>
                <w:rFonts w:ascii="Arial" w:cs="Arial" w:eastAsia="Arial" w:hAnsi="Arial"/>
                <w:sz w:val="16"/>
                <w:szCs w:val="16"/>
                <w:color w:val="auto"/>
              </w:rPr>
              <w:t>Numerator:</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7"/>
        </w:trPr>
        <w:tc>
          <w:tcPr>
            <w:tcW w:w="4600" w:type="dxa"/>
            <w:vAlign w:val="bottom"/>
          </w:tcPr>
          <w:p>
            <w:pPr>
              <w:ind w:left="180"/>
              <w:spacing w:after="0"/>
              <w:rPr>
                <w:sz w:val="20"/>
                <w:szCs w:val="20"/>
                <w:color w:val="auto"/>
              </w:rPr>
            </w:pPr>
            <w:r>
              <w:rPr>
                <w:rFonts w:ascii="Arial" w:cs="Arial" w:eastAsia="Arial" w:hAnsi="Arial"/>
                <w:sz w:val="16"/>
                <w:szCs w:val="16"/>
                <w:color w:val="auto"/>
              </w:rPr>
              <w:t>Earnings/Income attributable to common shareholders</w:t>
            </w:r>
          </w:p>
        </w:tc>
        <w:tc>
          <w:tcPr>
            <w:tcW w:w="10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268</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289</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566</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432"/>
        </w:trPr>
        <w:tc>
          <w:tcPr>
            <w:tcW w:w="4600" w:type="dxa"/>
            <w:vAlign w:val="bottom"/>
          </w:tcPr>
          <w:p>
            <w:pPr>
              <w:spacing w:after="0"/>
              <w:rPr>
                <w:sz w:val="20"/>
                <w:szCs w:val="20"/>
                <w:color w:val="auto"/>
              </w:rPr>
            </w:pPr>
            <w:r>
              <w:rPr>
                <w:rFonts w:ascii="Arial" w:cs="Arial" w:eastAsia="Arial" w:hAnsi="Arial"/>
                <w:sz w:val="16"/>
                <w:szCs w:val="16"/>
                <w:color w:val="auto"/>
              </w:rPr>
              <w:t>Denominator:</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Weighted-average common shares</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6"/>
                <w:szCs w:val="16"/>
                <w:color w:val="auto"/>
              </w:rPr>
              <w:t>outstanding for basic EPS</w:t>
            </w:r>
          </w:p>
        </w:tc>
        <w:tc>
          <w:tcPr>
            <w:tcW w:w="1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241,689</w:t>
            </w:r>
          </w:p>
        </w:tc>
        <w:tc>
          <w:tcPr>
            <w:tcW w:w="5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239,545</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241,133</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239,693</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Dilutive effect of stock options, restricted</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6"/>
                <w:szCs w:val="16"/>
                <w:color w:val="auto"/>
              </w:rPr>
              <w:t>stock awards and restricted stock units</w:t>
            </w:r>
          </w:p>
        </w:tc>
        <w:tc>
          <w:tcPr>
            <w:tcW w:w="1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4,113</w:t>
            </w:r>
          </w:p>
        </w:tc>
        <w:tc>
          <w:tcPr>
            <w:tcW w:w="5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2,335</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3,880</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2,262</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Weighted-average common shares</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6"/>
                <w:szCs w:val="16"/>
                <w:color w:val="auto"/>
              </w:rPr>
              <w:t>outstanding for diluted EPS</w:t>
            </w:r>
          </w:p>
        </w:tc>
        <w:tc>
          <w:tcPr>
            <w:tcW w:w="1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245,802</w:t>
            </w:r>
          </w:p>
        </w:tc>
        <w:tc>
          <w:tcPr>
            <w:tcW w:w="5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241,880</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245,013</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241,955</w:t>
            </w:r>
          </w:p>
        </w:tc>
      </w:tr>
      <w:tr>
        <w:trPr>
          <w:trHeight w:val="432"/>
        </w:trPr>
        <w:tc>
          <w:tcPr>
            <w:tcW w:w="4600" w:type="dxa"/>
            <w:vAlign w:val="bottom"/>
          </w:tcPr>
          <w:p>
            <w:pPr>
              <w:spacing w:after="0"/>
              <w:rPr>
                <w:sz w:val="20"/>
                <w:szCs w:val="20"/>
                <w:color w:val="auto"/>
              </w:rPr>
            </w:pPr>
            <w:r>
              <w:rPr>
                <w:rFonts w:ascii="Arial" w:cs="Arial" w:eastAsia="Arial" w:hAnsi="Arial"/>
                <w:sz w:val="16"/>
                <w:szCs w:val="16"/>
                <w:color w:val="auto"/>
              </w:rPr>
              <w:t>Earnings per share:</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Basic</w:t>
            </w:r>
          </w:p>
        </w:tc>
        <w:tc>
          <w:tcPr>
            <w:tcW w:w="10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1.21</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09"/>
        </w:trPr>
        <w:tc>
          <w:tcPr>
            <w:tcW w:w="46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Diluted</w:t>
            </w: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w:t>
            </w:r>
          </w:p>
        </w:tc>
        <w:tc>
          <w:tcPr>
            <w:tcW w:w="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ind w:left="500" w:hanging="492"/>
        <w:spacing w:after="0"/>
        <w:tabs>
          <w:tab w:leader="none" w:pos="50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2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dilution from common stock options is based on the treasury stock method. Under this method, proceeds based on the exercise price plus unearned compensation and windfall tax benefits recognized and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no such antidilutive stock options outstanding during the three months ended September 30, 2012 and 40,000 such antidilutive stock options outstanding during the nine months ended September 30, 2012. We had 2,112,880 and 2,111,839 such stock options outstanding during the three months and nine months ended September 30, 2011, respectively.</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had no stock options outstanding during either the three months or nine months ended September 30, 2012 that were antidilutive because of the unearned compensation and windfall tax benefits included in the assumed proceeds under the treasury stock method. We had no such stock options during the three months ended September 30, 2011 and 900 such antidilutive stock options during the nine months ended September 30, 2011.</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dilution from unvested restricted stock awards (RSAs) and restricted stock units (RSUs) is also based on the treasury stock method. Proceeds equal to the unearned compensation and windfall tax benefits recognized and minus tax shortfalls recognized related to the awards and units are assumed to be used to repurchase shares on the open market at the average market price for the period. The windfall tax benefits recognized or tax shortfalls recognized are the difference between tax deductions we would receive upon the assumed vesting of RSAs or RSUs and the deferred income taxes we recorded related to the compensation expense on such awards and units. There were 3,387 antidilutive RSUs from the application of unearned compensation in the treasury stock method for the three months and 1,881 such antidilutive RSUs for the nine months ended September 30, 2012. There were 1,109 such antidilutive RSUs for the three months ended September 30, 2011 and no such antidilutive RSUs for the nine months ended September 30, 2011. There were no such antidilutive RSAs for the three months ended September 30, 2012 and 14,319 such antidilutive RSAs for the nine months ended September 30, 2012. There were no such antidilutive RSAs for the three months and nine months ended September 30, 2011.</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performance-based RSU represents the right to receive between zero and 1.5 shares of Sempra Energy common stock based on Sempra Energy’s four-year cumulative total shareholder return compared to the Standard &amp; Poor’s (S&amp;P) 500 Utilities Index, as follows:</w:t>
      </w:r>
    </w:p>
    <w:p>
      <w:pPr>
        <w:sectPr>
          <w:pgSz w:w="11900" w:h="16838" w:orient="portrait"/>
          <w:cols w:equalWidth="0" w:num="1">
            <w:col w:w="11420"/>
          </w:cols>
          <w:pgMar w:left="240" w:top="128" w:right="239" w:bottom="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Four-Year Cumulative Total Shareholder Return Ranking versus S&amp;P 500 Utilities Index(1)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80"/>
        <w:spacing w:after="0" w:line="238" w:lineRule="auto"/>
        <w:rPr>
          <w:sz w:val="20"/>
          <w:szCs w:val="20"/>
          <w:color w:val="auto"/>
        </w:rPr>
      </w:pPr>
      <w:r>
        <w:rPr>
          <w:rFonts w:ascii="Arial" w:cs="Arial" w:eastAsia="Arial" w:hAnsi="Arial"/>
          <w:sz w:val="14"/>
          <w:szCs w:val="14"/>
          <w:color w:val="auto"/>
        </w:rPr>
        <w:t>Number of Sempra Energy Common Shares Received for Each Restricted Stock Unit(2)</w:t>
      </w:r>
    </w:p>
    <w:p>
      <w:pPr>
        <w:spacing w:after="0" w:line="1" w:lineRule="exact"/>
        <w:rPr>
          <w:sz w:val="20"/>
          <w:szCs w:val="20"/>
          <w:color w:val="auto"/>
        </w:rPr>
      </w:pPr>
    </w:p>
    <w:p>
      <w:pPr>
        <w:sectPr>
          <w:pgSz w:w="11900" w:h="16838" w:orient="portrait"/>
          <w:cols w:equalWidth="0" w:num="2">
            <w:col w:w="6180" w:space="720"/>
            <w:col w:w="4520"/>
          </w:cols>
          <w:pgMar w:left="240" w:top="128" w:right="239" w:bottom="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40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75th Percentile or Above</w:t>
            </w:r>
          </w:p>
        </w:tc>
        <w:tc>
          <w:tcPr>
            <w:tcW w:w="6020" w:type="dxa"/>
            <w:vAlign w:val="bottom"/>
            <w:tcBorders>
              <w:top w:val="single" w:sz="8" w:color="auto"/>
            </w:tcBorders>
          </w:tcPr>
          <w:p>
            <w:pPr>
              <w:jc w:val="right"/>
              <w:ind w:right="2099"/>
              <w:spacing w:after="0" w:line="171" w:lineRule="exact"/>
              <w:rPr>
                <w:sz w:val="20"/>
                <w:szCs w:val="20"/>
                <w:color w:val="auto"/>
              </w:rPr>
            </w:pPr>
            <w:r>
              <w:rPr>
                <w:rFonts w:ascii="Arial" w:cs="Arial" w:eastAsia="Arial" w:hAnsi="Arial"/>
                <w:sz w:val="16"/>
                <w:szCs w:val="16"/>
                <w:color w:val="auto"/>
              </w:rPr>
              <w:t>1.5</w:t>
            </w: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50th Percentile</w:t>
            </w:r>
          </w:p>
        </w:tc>
        <w:tc>
          <w:tcPr>
            <w:tcW w:w="6020" w:type="dxa"/>
            <w:vAlign w:val="bottom"/>
          </w:tcPr>
          <w:p>
            <w:pPr>
              <w:jc w:val="right"/>
              <w:ind w:right="2159"/>
              <w:spacing w:after="0" w:line="176" w:lineRule="exact"/>
              <w:rPr>
                <w:sz w:val="20"/>
                <w:szCs w:val="20"/>
                <w:color w:val="auto"/>
              </w:rPr>
            </w:pPr>
            <w:r>
              <w:rPr>
                <w:rFonts w:ascii="Arial" w:cs="Arial" w:eastAsia="Arial" w:hAnsi="Arial"/>
                <w:sz w:val="16"/>
                <w:szCs w:val="16"/>
                <w:color w:val="auto"/>
              </w:rPr>
              <w:t>1</w:t>
            </w:r>
          </w:p>
        </w:tc>
      </w:tr>
      <w:tr>
        <w:trPr>
          <w:trHeight w:val="187"/>
        </w:trPr>
        <w:tc>
          <w:tcPr>
            <w:tcW w:w="5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35th Percentile or Below</w:t>
            </w:r>
          </w:p>
        </w:tc>
        <w:tc>
          <w:tcPr>
            <w:tcW w:w="6020" w:type="dxa"/>
            <w:vAlign w:val="bottom"/>
            <w:tcBorders>
              <w:bottom w:val="single" w:sz="8" w:color="auto"/>
            </w:tcBorders>
          </w:tcPr>
          <w:p>
            <w:pPr>
              <w:ind w:left="3680"/>
              <w:spacing w:after="0"/>
              <w:rPr>
                <w:sz w:val="20"/>
                <w:szCs w:val="20"/>
                <w:color w:val="auto"/>
              </w:rPr>
            </w:pPr>
            <w:r>
              <w:rPr>
                <w:rFonts w:ascii="Arial" w:cs="Arial" w:eastAsia="Arial" w:hAnsi="Arial"/>
                <w:sz w:val="16"/>
                <w:szCs w:val="16"/>
                <w:color w:val="auto"/>
              </w:rPr>
              <w:t>―</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r>
    </w:tbl>
    <w:p>
      <w:pPr>
        <w:ind w:left="220" w:hanging="212"/>
        <w:spacing w:after="0"/>
        <w:tabs>
          <w:tab w:leader="none" w:pos="2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restricted stock unit.</w:t>
      </w:r>
    </w:p>
    <w:p>
      <w:pPr>
        <w:spacing w:after="0" w:line="5" w:lineRule="exact"/>
        <w:rPr>
          <w:rFonts w:ascii="Arial" w:cs="Arial" w:eastAsia="Arial" w:hAnsi="Arial"/>
          <w:sz w:val="14"/>
          <w:szCs w:val="14"/>
          <w:i w:val="1"/>
          <w:iCs w:val="1"/>
          <w:color w:val="auto"/>
        </w:rPr>
      </w:pPr>
    </w:p>
    <w:p>
      <w:pPr>
        <w:ind w:right="60" w:firstLine="8"/>
        <w:spacing w:after="0" w:line="258" w:lineRule="auto"/>
        <w:tabs>
          <w:tab w:leader="none" w:pos="216"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may also receive additional shares for dividend equivalents on units subject to restricted stock units, which are reinvested to purchase additional units that become subject to the same vesting conditions as the restricted stock units to which the dividends relate.</w:t>
      </w:r>
    </w:p>
    <w:p>
      <w:pPr>
        <w:spacing w:after="0" w:line="3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RSAs have a maximum potential of 100 percent vesting. We include our performance-based RSUs in potential dilutive shares at zero to 150 percent to the extent that they currently meet the performance requirements for vesting, subject to the application of the treasury stock method. Due to market fluctuations of both Sempra Energy stock and the comparative index, dilutive RSU shares may vary widely from period-to-period. We include our RSAs, which are solely service-based, in potential dilutive shares at 100 percent.</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RSUs and RSAs may be excluded from potential dilutive shares by the application of unearned compensation in the treasury stock method, as we discuss above, or because performance goals are currently not met. The maximum excluded RSAs and RSUs, assuming performance goals were met at maximum levels, were 2,349,338 and 2,523,343 for the three months and nine months ended September 30, 2012, respectively, and 3,473,578 and 3,630,253 for the three months and nine months ended September 30, 2011, respectively.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September 2010, we entered into a share repurchase program under which we prepaid $500 million to repurchase shares of our common stock in a share forward transaction. The program was completed in March 2011 with a total of 9,574,435 shares repurchased at an average price of $52.22 per share. Our outstanding shares used to calculate earnings per share were reduced by the number of shares repurchased when they were delivered to us, and the $500 million purchase price was recorded as a reduction in shareholders’ equity upon its prepayment. We received 5,670,006 shares during the quarter ended September 30, 2010; 2,407,994 shares on October 4, 2010 and 1,496,435 shares on March 22, 2011. We discuss the repurchase program further in Note 13 of the Notes to Consolidated Financial Statements in the Updated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OF SUBSIDIARY</w:t>
      </w:r>
    </w:p>
    <w:p>
      <w:pPr>
        <w:spacing w:after="0" w:line="23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June 30, 2011, PE redeemed all five series of its outstanding preferred stock for $81 million. Each series was redeemed for cash at redemption prices ranging from $100 to $101.50 per share, plus accrued dividends up to the redemption date of an aggregate of $1 million. The redeemed shares are no longer</w:t>
      </w:r>
    </w:p>
    <w:p>
      <w:pPr>
        <w:sectPr>
          <w:pgSz w:w="11900" w:h="16838" w:orient="portrait"/>
          <w:cols w:equalWidth="0" w:num="1">
            <w:col w:w="11420"/>
          </w:cols>
          <w:pgMar w:left="240" w:top="128" w:right="239" w:bottom="0" w:gutter="0" w:footer="0" w:header="0"/>
          <w:type w:val="continuous"/>
        </w:sectPr>
      </w:pPr>
    </w:p>
    <w:bookmarkStart w:id="21" w:name="page22"/>
    <w:bookmarkEnd w:id="21"/>
    <w:p>
      <w:pPr>
        <w:ind w:right="460"/>
        <w:spacing w:after="0" w:line="342" w:lineRule="auto"/>
        <w:rPr>
          <w:sz w:val="20"/>
          <w:szCs w:val="20"/>
          <w:color w:val="auto"/>
        </w:rPr>
      </w:pPr>
      <w:r>
        <w:rPr>
          <w:rFonts w:ascii="Arial" w:cs="Arial" w:eastAsia="Arial" w:hAnsi="Arial"/>
          <w:sz w:val="16"/>
          <w:szCs w:val="16"/>
          <w:color w:val="auto"/>
        </w:rPr>
        <w:t>outstanding and represent only the right to receive the applicable redemption price, to the extent the shares have not yet been presented for payment. We provide more detail concerning PE’s preferred stock in Note 12 of the Notes to Consolidated Financial Statements in the Updated Annual Report.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discuss our share-based compensation plans in Note 9 of the Notes to Consolidated Financial Statements in the Updated Annual Report. We recorded share-based compensation expense, net of income taxes, of $5 million and $7 million for the three months ended September 30, 2012 and 2011, respectively, and $18 million and $20 million for the nine months ended September 30, 2012 and 2011, respectively. Pursuant to our share-based compensation plans, we granted 927,734 RSUs and 18,487 RSAs during the nine months ended September 30, 2012, primarily in January.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Capitalized financing costs include capitalized interest costs and, primarily at the California Utilities, an allowance for funds used during construction (AFUDC) related to both debt and equity financing of construction projects. The following table shows capitalized financing costs for the three months and nine months ended September 30,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34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100" w:type="dxa"/>
            <w:vAlign w:val="bottom"/>
            <w:shd w:val="clear" w:color="auto" w:fill="C0C0C0"/>
          </w:tcPr>
          <w:p>
            <w:pPr>
              <w:spacing w:after="0"/>
              <w:rPr>
                <w:sz w:val="17"/>
                <w:szCs w:val="17"/>
                <w:color w:val="auto"/>
              </w:rPr>
            </w:pPr>
          </w:p>
        </w:tc>
      </w:tr>
      <w:tr>
        <w:trPr>
          <w:trHeight w:val="167"/>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1100" w:type="dxa"/>
            <w:vAlign w:val="bottom"/>
          </w:tcPr>
          <w:p>
            <w:pPr>
              <w:spacing w:after="0"/>
              <w:rPr>
                <w:sz w:val="14"/>
                <w:szCs w:val="14"/>
                <w:color w:val="auto"/>
              </w:rPr>
            </w:pPr>
          </w:p>
        </w:tc>
      </w:tr>
      <w:tr>
        <w:trPr>
          <w:trHeight w:val="164"/>
        </w:trPr>
        <w:tc>
          <w:tcPr>
            <w:tcW w:w="470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40"/>
              <w:spacing w:after="0" w:line="157" w:lineRule="exact"/>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19"/>
              <w:spacing w:after="0" w:line="157" w:lineRule="exact"/>
              <w:rPr>
                <w:sz w:val="20"/>
                <w:szCs w:val="20"/>
                <w:color w:val="auto"/>
              </w:rPr>
            </w:pPr>
            <w:r>
              <w:rPr>
                <w:rFonts w:ascii="Arial" w:cs="Arial" w:eastAsia="Arial" w:hAnsi="Arial"/>
                <w:sz w:val="14"/>
                <w:szCs w:val="14"/>
                <w:color w:val="auto"/>
              </w:rPr>
              <w:t>September 30,</w:t>
            </w:r>
          </w:p>
        </w:tc>
        <w:tc>
          <w:tcPr>
            <w:tcW w:w="1100" w:type="dxa"/>
            <w:vAlign w:val="bottom"/>
            <w:tcBorders>
              <w:bottom w:val="single" w:sz="8" w:color="auto"/>
            </w:tcBorders>
          </w:tcPr>
          <w:p>
            <w:pPr>
              <w:spacing w:after="0"/>
              <w:rPr>
                <w:sz w:val="14"/>
                <w:szCs w:val="14"/>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2012</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2011</w:t>
            </w:r>
          </w:p>
        </w:tc>
      </w:tr>
      <w:tr>
        <w:trPr>
          <w:trHeight w:val="204"/>
        </w:trPr>
        <w:tc>
          <w:tcPr>
            <w:tcW w:w="47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5"/>
        </w:trPr>
        <w:tc>
          <w:tcPr>
            <w:tcW w:w="470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300" w:type="dxa"/>
            <w:vAlign w:val="bottom"/>
          </w:tcPr>
          <w:p>
            <w:pPr>
              <w:jc w:val="right"/>
              <w:ind w:right="11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32</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470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470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176"/>
        </w:trPr>
        <w:tc>
          <w:tcPr>
            <w:tcW w:w="470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 Sempra Energy Consolidated</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w:t>
            </w:r>
          </w:p>
        </w:tc>
        <w:tc>
          <w:tcPr>
            <w:tcW w:w="1300" w:type="dxa"/>
            <w:vAlign w:val="bottom"/>
            <w:tcBorders>
              <w:bottom w:val="single" w:sz="8" w:color="auto"/>
            </w:tcBorders>
          </w:tcPr>
          <w:p>
            <w:pPr>
              <w:jc w:val="right"/>
              <w:ind w:right="1100"/>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42</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152</w:t>
            </w:r>
          </w:p>
        </w:tc>
        <w:tc>
          <w:tcPr>
            <w:tcW w:w="700" w:type="dxa"/>
            <w:vAlign w:val="bottom"/>
            <w:tcBorders>
              <w:bottom w:val="single" w:sz="8" w:color="auto"/>
            </w:tcBorders>
          </w:tcPr>
          <w:p>
            <w:pPr>
              <w:jc w:val="right"/>
              <w:ind w:right="519"/>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114</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5"/>
        </w:trPr>
        <w:tc>
          <w:tcPr>
            <w:tcW w:w="470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ind w:right="11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470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176"/>
        </w:trPr>
        <w:tc>
          <w:tcPr>
            <w:tcW w:w="470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 SDG&amp;E</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w:t>
            </w:r>
          </w:p>
        </w:tc>
        <w:tc>
          <w:tcPr>
            <w:tcW w:w="1300" w:type="dxa"/>
            <w:vAlign w:val="bottom"/>
            <w:tcBorders>
              <w:bottom w:val="single" w:sz="8" w:color="auto"/>
            </w:tcBorders>
          </w:tcPr>
          <w:p>
            <w:pPr>
              <w:jc w:val="right"/>
              <w:ind w:right="1100"/>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87</w:t>
            </w:r>
          </w:p>
        </w:tc>
        <w:tc>
          <w:tcPr>
            <w:tcW w:w="700" w:type="dxa"/>
            <w:vAlign w:val="bottom"/>
            <w:tcBorders>
              <w:bottom w:val="single" w:sz="8" w:color="auto"/>
            </w:tcBorders>
          </w:tcPr>
          <w:p>
            <w:pPr>
              <w:jc w:val="right"/>
              <w:ind w:right="519"/>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76</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5"/>
        </w:trPr>
        <w:tc>
          <w:tcPr>
            <w:tcW w:w="470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300" w:type="dxa"/>
            <w:vAlign w:val="bottom"/>
          </w:tcPr>
          <w:p>
            <w:pPr>
              <w:jc w:val="right"/>
              <w:ind w:right="11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70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76"/>
        </w:trPr>
        <w:tc>
          <w:tcPr>
            <w:tcW w:w="470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 SoCalGas</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w:t>
            </w:r>
          </w:p>
        </w:tc>
        <w:tc>
          <w:tcPr>
            <w:tcW w:w="1300" w:type="dxa"/>
            <w:vAlign w:val="bottom"/>
            <w:tcBorders>
              <w:bottom w:val="single" w:sz="8" w:color="auto"/>
            </w:tcBorders>
          </w:tcPr>
          <w:p>
            <w:pPr>
              <w:jc w:val="right"/>
              <w:ind w:right="1100"/>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w:t>
            </w:r>
          </w:p>
        </w:tc>
        <w:tc>
          <w:tcPr>
            <w:tcW w:w="700" w:type="dxa"/>
            <w:vAlign w:val="bottom"/>
            <w:tcBorders>
              <w:bottom w:val="single" w:sz="8" w:color="auto"/>
            </w:tcBorders>
          </w:tcPr>
          <w:p>
            <w:pPr>
              <w:jc w:val="right"/>
              <w:ind w:right="519"/>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amounts for comprehensive income in the Condensed Consolidated Statements of Comprehensive Income are net of income tax expense (benefit) as follows:</w:t>
      </w:r>
    </w:p>
    <w:p>
      <w:pPr>
        <w:spacing w:after="0" w:line="200" w:lineRule="exact"/>
        <w:rPr>
          <w:sz w:val="20"/>
          <w:szCs w:val="20"/>
          <w:color w:val="auto"/>
        </w:rPr>
      </w:pPr>
    </w:p>
    <w:p>
      <w:pPr>
        <w:spacing w:after="0" w:line="210" w:lineRule="exact"/>
        <w:rPr>
          <w:sz w:val="20"/>
          <w:szCs w:val="20"/>
          <w:color w:val="auto"/>
        </w:rPr>
      </w:pPr>
    </w:p>
    <w:p>
      <w:pPr>
        <w:ind w:right="4420"/>
        <w:spacing w:after="0" w:line="261" w:lineRule="auto"/>
        <w:rPr>
          <w:sz w:val="20"/>
          <w:szCs w:val="20"/>
          <w:color w:val="auto"/>
        </w:rPr>
      </w:pPr>
      <w:r>
        <w:rPr>
          <w:rFonts w:ascii="Arial" w:cs="Arial" w:eastAsia="Arial" w:hAnsi="Arial"/>
          <w:sz w:val="16"/>
          <w:szCs w:val="16"/>
          <w:b w:val="1"/>
          <w:bCs w:val="1"/>
          <w:color w:val="auto"/>
        </w:rPr>
        <w:t xml:space="preserve">INCOME TAX EXPENSE (BENEFIT) ASSOCIATED WITH OTHER COMPREHENSIVE INCOME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4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84"/>
              <w:spacing w:after="0" w:line="158" w:lineRule="exact"/>
              <w:rPr>
                <w:sz w:val="20"/>
                <w:szCs w:val="20"/>
                <w:color w:val="auto"/>
              </w:rPr>
            </w:pPr>
            <w:r>
              <w:rPr>
                <w:rFonts w:ascii="Arial" w:cs="Arial" w:eastAsia="Arial" w:hAnsi="Arial"/>
                <w:sz w:val="14"/>
                <w:szCs w:val="14"/>
                <w:color w:val="auto"/>
              </w:rPr>
              <w:t>Three months ended September 30,</w:t>
            </w: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3"/>
        </w:trPr>
        <w:tc>
          <w:tcPr>
            <w:tcW w:w="43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31"/>
        </w:trPr>
        <w:tc>
          <w:tcPr>
            <w:tcW w:w="4340" w:type="dxa"/>
            <w:vAlign w:val="bottom"/>
          </w:tcPr>
          <w:p>
            <w:pPr>
              <w:spacing w:after="0"/>
              <w:rPr>
                <w:sz w:val="20"/>
                <w:szCs w:val="20"/>
                <w:color w:val="auto"/>
              </w:rPr>
            </w:pPr>
          </w:p>
        </w:tc>
        <w:tc>
          <w:tcPr>
            <w:tcW w:w="900" w:type="dxa"/>
            <w:vAlign w:val="bottom"/>
          </w:tcPr>
          <w:p>
            <w:pPr>
              <w:jc w:val="center"/>
              <w:ind w:left="164"/>
              <w:spacing w:after="0"/>
              <w:rPr>
                <w:sz w:val="20"/>
                <w:szCs w:val="20"/>
                <w:color w:val="auto"/>
              </w:rPr>
            </w:pPr>
            <w:r>
              <w:rPr>
                <w:rFonts w:ascii="Arial" w:cs="Arial" w:eastAsia="Arial" w:hAnsi="Arial"/>
                <w:sz w:val="14"/>
                <w:szCs w:val="14"/>
                <w:color w:val="auto"/>
                <w:w w:val="99"/>
              </w:rPr>
              <w:t>Share-</w:t>
            </w:r>
          </w:p>
        </w:tc>
        <w:tc>
          <w:tcPr>
            <w:tcW w:w="320" w:type="dxa"/>
            <w:vAlign w:val="bottom"/>
          </w:tcPr>
          <w:p>
            <w:pPr>
              <w:spacing w:after="0"/>
              <w:rPr>
                <w:sz w:val="20"/>
                <w:szCs w:val="20"/>
                <w:color w:val="auto"/>
              </w:rPr>
            </w:pPr>
          </w:p>
        </w:tc>
        <w:tc>
          <w:tcPr>
            <w:tcW w:w="820" w:type="dxa"/>
            <w:vAlign w:val="bottom"/>
          </w:tcPr>
          <w:p>
            <w:pPr>
              <w:jc w:val="center"/>
              <w:ind w:left="65"/>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center"/>
              <w:ind w:right="264"/>
              <w:spacing w:after="0"/>
              <w:rPr>
                <w:sz w:val="20"/>
                <w:szCs w:val="20"/>
                <w:color w:val="auto"/>
              </w:rPr>
            </w:pPr>
            <w:r>
              <w:rPr>
                <w:rFonts w:ascii="Arial" w:cs="Arial" w:eastAsia="Arial" w:hAnsi="Arial"/>
                <w:sz w:val="14"/>
                <w:szCs w:val="14"/>
                <w:color w:val="auto"/>
              </w:rPr>
              <w:t>Share-</w:t>
            </w:r>
          </w:p>
        </w:tc>
        <w:tc>
          <w:tcPr>
            <w:tcW w:w="840" w:type="dxa"/>
            <w:vAlign w:val="bottom"/>
          </w:tcPr>
          <w:p>
            <w:pPr>
              <w:jc w:val="center"/>
              <w:ind w:left="65"/>
              <w:spacing w:after="0"/>
              <w:rPr>
                <w:sz w:val="20"/>
                <w:szCs w:val="20"/>
                <w:color w:val="auto"/>
              </w:rPr>
            </w:pPr>
            <w:r>
              <w:rPr>
                <w:rFonts w:ascii="Arial" w:cs="Arial" w:eastAsia="Arial" w:hAnsi="Arial"/>
                <w:sz w:val="14"/>
                <w:szCs w:val="14"/>
                <w:color w:val="auto"/>
                <w:w w:val="98"/>
              </w:rPr>
              <w:t>Non-</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4340" w:type="dxa"/>
            <w:vAlign w:val="bottom"/>
          </w:tcPr>
          <w:p>
            <w:pPr>
              <w:spacing w:after="0"/>
              <w:rPr>
                <w:sz w:val="18"/>
                <w:szCs w:val="18"/>
                <w:color w:val="auto"/>
              </w:rPr>
            </w:pPr>
          </w:p>
        </w:tc>
        <w:tc>
          <w:tcPr>
            <w:tcW w:w="900" w:type="dxa"/>
            <w:vAlign w:val="bottom"/>
          </w:tcPr>
          <w:p>
            <w:pPr>
              <w:jc w:val="center"/>
              <w:ind w:left="164"/>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8"/>
                <w:szCs w:val="18"/>
                <w:color w:val="auto"/>
              </w:rPr>
            </w:pPr>
          </w:p>
        </w:tc>
        <w:tc>
          <w:tcPr>
            <w:tcW w:w="820" w:type="dxa"/>
            <w:vAlign w:val="bottom"/>
          </w:tcPr>
          <w:p>
            <w:pPr>
              <w:jc w:val="center"/>
              <w:ind w:left="85"/>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right="422"/>
              <w:spacing w:after="0"/>
              <w:rPr>
                <w:sz w:val="20"/>
                <w:szCs w:val="20"/>
                <w:color w:val="auto"/>
              </w:rPr>
            </w:pPr>
            <w:r>
              <w:rPr>
                <w:rFonts w:ascii="Arial" w:cs="Arial" w:eastAsia="Arial" w:hAnsi="Arial"/>
                <w:sz w:val="14"/>
                <w:szCs w:val="14"/>
                <w:color w:val="auto"/>
              </w:rPr>
              <w:t>Total</w:t>
            </w:r>
          </w:p>
        </w:tc>
        <w:tc>
          <w:tcPr>
            <w:tcW w:w="320" w:type="dxa"/>
            <w:vAlign w:val="bottom"/>
          </w:tcPr>
          <w:p>
            <w:pPr>
              <w:spacing w:after="0"/>
              <w:rPr>
                <w:sz w:val="18"/>
                <w:szCs w:val="18"/>
                <w:color w:val="auto"/>
              </w:rPr>
            </w:pPr>
          </w:p>
        </w:tc>
        <w:tc>
          <w:tcPr>
            <w:tcW w:w="940" w:type="dxa"/>
            <w:vAlign w:val="bottom"/>
          </w:tcPr>
          <w:p>
            <w:pPr>
              <w:jc w:val="center"/>
              <w:ind w:right="284"/>
              <w:spacing w:after="0"/>
              <w:rPr>
                <w:sz w:val="20"/>
                <w:szCs w:val="20"/>
                <w:color w:val="auto"/>
              </w:rPr>
            </w:pPr>
            <w:r>
              <w:rPr>
                <w:rFonts w:ascii="Arial" w:cs="Arial" w:eastAsia="Arial" w:hAnsi="Arial"/>
                <w:sz w:val="14"/>
                <w:szCs w:val="14"/>
                <w:color w:val="auto"/>
              </w:rPr>
              <w:t>holders'</w:t>
            </w:r>
          </w:p>
        </w:tc>
        <w:tc>
          <w:tcPr>
            <w:tcW w:w="840" w:type="dxa"/>
            <w:vAlign w:val="bottom"/>
          </w:tcPr>
          <w:p>
            <w:pPr>
              <w:jc w:val="center"/>
              <w:ind w:left="65"/>
              <w:spacing w:after="0"/>
              <w:rPr>
                <w:sz w:val="20"/>
                <w:szCs w:val="20"/>
                <w:color w:val="auto"/>
              </w:rPr>
            </w:pPr>
            <w:r>
              <w:rPr>
                <w:rFonts w:ascii="Arial" w:cs="Arial" w:eastAsia="Arial" w:hAnsi="Arial"/>
                <w:sz w:val="14"/>
                <w:szCs w:val="14"/>
                <w:color w:val="auto"/>
              </w:rPr>
              <w:t>controlling</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right="242"/>
              <w:spacing w:after="0"/>
              <w:rPr>
                <w:sz w:val="20"/>
                <w:szCs w:val="20"/>
                <w:color w:val="auto"/>
              </w:rPr>
            </w:pPr>
            <w:r>
              <w:rPr>
                <w:rFonts w:ascii="Arial" w:cs="Arial" w:eastAsia="Arial" w:hAnsi="Arial"/>
                <w:sz w:val="14"/>
                <w:szCs w:val="14"/>
                <w:color w:val="auto"/>
              </w:rPr>
              <w:t>Total</w:t>
            </w:r>
          </w:p>
        </w:tc>
      </w:tr>
      <w:tr>
        <w:trPr>
          <w:trHeight w:val="208"/>
        </w:trPr>
        <w:tc>
          <w:tcPr>
            <w:tcW w:w="4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color w:val="auto"/>
              </w:rPr>
              <w:t>Equity(1)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22"/>
              <w:spacing w:after="0"/>
              <w:rPr>
                <w:sz w:val="20"/>
                <w:szCs w:val="20"/>
                <w:color w:val="auto"/>
              </w:rPr>
            </w:pPr>
            <w:r>
              <w:rPr>
                <w:rFonts w:ascii="Arial" w:cs="Arial" w:eastAsia="Arial" w:hAnsi="Arial"/>
                <w:sz w:val="14"/>
                <w:szCs w:val="14"/>
                <w:color w:val="auto"/>
              </w:rPr>
              <w:t>Equity</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color w:val="auto"/>
              </w:rPr>
              <w:t>Equity(1)</w:t>
            </w:r>
          </w:p>
        </w:tc>
        <w:tc>
          <w:tcPr>
            <w:tcW w:w="84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Interests</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color w:val="auto"/>
              </w:rPr>
              <w:t>Equity</w:t>
            </w:r>
          </w:p>
        </w:tc>
      </w:tr>
      <w:tr>
        <w:trPr>
          <w:trHeight w:val="224"/>
        </w:trPr>
        <w:tc>
          <w:tcPr>
            <w:tcW w:w="43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43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900" w:type="dxa"/>
            <w:vAlign w:val="bottom"/>
          </w:tcPr>
          <w:p>
            <w:pPr>
              <w:jc w:val="right"/>
              <w:ind w:right="584"/>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
              <w:spacing w:after="0"/>
              <w:rPr>
                <w:sz w:val="20"/>
                <w:szCs w:val="20"/>
                <w:color w:val="auto"/>
              </w:rPr>
            </w:pPr>
            <w:r>
              <w:rPr>
                <w:rFonts w:ascii="Arial" w:cs="Arial" w:eastAsia="Arial" w:hAnsi="Arial"/>
                <w:sz w:val="14"/>
                <w:szCs w:val="14"/>
                <w:color w:val="auto"/>
              </w:rPr>
              <w:t>(1)</w:t>
            </w:r>
          </w:p>
        </w:tc>
        <w:tc>
          <w:tcPr>
            <w:tcW w:w="840" w:type="dxa"/>
            <w:vAlign w:val="bottom"/>
          </w:tcPr>
          <w:p>
            <w:pPr>
              <w:jc w:val="right"/>
              <w:ind w:right="605"/>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4340" w:type="dxa"/>
            <w:vAlign w:val="bottom"/>
          </w:tcPr>
          <w:p>
            <w:pPr>
              <w:ind w:left="180"/>
              <w:spacing w:after="0"/>
              <w:rPr>
                <w:sz w:val="20"/>
                <w:szCs w:val="20"/>
                <w:color w:val="auto"/>
              </w:rPr>
            </w:pPr>
            <w:r>
              <w:rPr>
                <w:rFonts w:ascii="Arial" w:cs="Arial" w:eastAsia="Arial" w:hAnsi="Arial"/>
                <w:sz w:val="16"/>
                <w:szCs w:val="16"/>
                <w:color w:val="auto"/>
              </w:rPr>
              <w:t>Net actuarial (loss) gain</w:t>
            </w:r>
          </w:p>
        </w:tc>
        <w:tc>
          <w:tcPr>
            <w:tcW w:w="90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820" w:type="dxa"/>
            <w:vAlign w:val="bottom"/>
          </w:tcPr>
          <w:p>
            <w:pPr>
              <w:spacing w:after="0"/>
              <w:rPr>
                <w:sz w:val="18"/>
                <w:szCs w:val="18"/>
                <w:color w:val="auto"/>
              </w:rPr>
            </w:pPr>
          </w:p>
        </w:tc>
        <w:tc>
          <w:tcPr>
            <w:tcW w:w="260" w:type="dxa"/>
            <w:vAlign w:val="bottom"/>
          </w:tcPr>
          <w:p>
            <w:pPr>
              <w:jc w:val="right"/>
              <w:ind w:right="1"/>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840" w:type="dxa"/>
            <w:vAlign w:val="bottom"/>
          </w:tcPr>
          <w:p>
            <w:pPr>
              <w:spacing w:after="0"/>
              <w:rPr>
                <w:sz w:val="18"/>
                <w:szCs w:val="18"/>
                <w:color w:val="auto"/>
              </w:rPr>
            </w:pPr>
          </w:p>
        </w:tc>
        <w:tc>
          <w:tcPr>
            <w:tcW w:w="280" w:type="dxa"/>
            <w:vAlign w:val="bottom"/>
          </w:tcPr>
          <w:p>
            <w:pPr>
              <w:jc w:val="right"/>
              <w:ind w:right="21"/>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Financial instruments</w:t>
            </w: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7"/>
        </w:trPr>
        <w:tc>
          <w:tcPr>
            <w:tcW w:w="43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9"/>
        </w:trPr>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Financial instruments</w:t>
            </w:r>
          </w:p>
        </w:tc>
        <w:tc>
          <w:tcPr>
            <w:tcW w:w="90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5"/>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06"/>
        </w:trPr>
        <w:tc>
          <w:tcPr>
            <w:tcW w:w="4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Nine months ended September 30,</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43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31"/>
        </w:trPr>
        <w:tc>
          <w:tcPr>
            <w:tcW w:w="4340" w:type="dxa"/>
            <w:vAlign w:val="bottom"/>
          </w:tcPr>
          <w:p>
            <w:pPr>
              <w:spacing w:after="0"/>
              <w:rPr>
                <w:sz w:val="20"/>
                <w:szCs w:val="20"/>
                <w:color w:val="auto"/>
              </w:rPr>
            </w:pPr>
          </w:p>
        </w:tc>
        <w:tc>
          <w:tcPr>
            <w:tcW w:w="900" w:type="dxa"/>
            <w:vAlign w:val="bottom"/>
          </w:tcPr>
          <w:p>
            <w:pPr>
              <w:jc w:val="center"/>
              <w:ind w:left="164"/>
              <w:spacing w:after="0"/>
              <w:rPr>
                <w:sz w:val="20"/>
                <w:szCs w:val="20"/>
                <w:color w:val="auto"/>
              </w:rPr>
            </w:pPr>
            <w:r>
              <w:rPr>
                <w:rFonts w:ascii="Arial" w:cs="Arial" w:eastAsia="Arial" w:hAnsi="Arial"/>
                <w:sz w:val="14"/>
                <w:szCs w:val="14"/>
                <w:color w:val="auto"/>
                <w:w w:val="99"/>
              </w:rPr>
              <w:t>Share-</w:t>
            </w:r>
          </w:p>
        </w:tc>
        <w:tc>
          <w:tcPr>
            <w:tcW w:w="320" w:type="dxa"/>
            <w:vAlign w:val="bottom"/>
          </w:tcPr>
          <w:p>
            <w:pPr>
              <w:spacing w:after="0"/>
              <w:rPr>
                <w:sz w:val="20"/>
                <w:szCs w:val="20"/>
                <w:color w:val="auto"/>
              </w:rPr>
            </w:pPr>
          </w:p>
        </w:tc>
        <w:tc>
          <w:tcPr>
            <w:tcW w:w="820" w:type="dxa"/>
            <w:vAlign w:val="bottom"/>
          </w:tcPr>
          <w:p>
            <w:pPr>
              <w:jc w:val="center"/>
              <w:ind w:left="65"/>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center"/>
              <w:ind w:right="264"/>
              <w:spacing w:after="0"/>
              <w:rPr>
                <w:sz w:val="20"/>
                <w:szCs w:val="20"/>
                <w:color w:val="auto"/>
              </w:rPr>
            </w:pPr>
            <w:r>
              <w:rPr>
                <w:rFonts w:ascii="Arial" w:cs="Arial" w:eastAsia="Arial" w:hAnsi="Arial"/>
                <w:sz w:val="14"/>
                <w:szCs w:val="14"/>
                <w:color w:val="auto"/>
              </w:rPr>
              <w:t>Share-</w:t>
            </w:r>
          </w:p>
        </w:tc>
        <w:tc>
          <w:tcPr>
            <w:tcW w:w="840" w:type="dxa"/>
            <w:vAlign w:val="bottom"/>
          </w:tcPr>
          <w:p>
            <w:pPr>
              <w:jc w:val="center"/>
              <w:ind w:left="65"/>
              <w:spacing w:after="0"/>
              <w:rPr>
                <w:sz w:val="20"/>
                <w:szCs w:val="20"/>
                <w:color w:val="auto"/>
              </w:rPr>
            </w:pPr>
            <w:r>
              <w:rPr>
                <w:rFonts w:ascii="Arial" w:cs="Arial" w:eastAsia="Arial" w:hAnsi="Arial"/>
                <w:sz w:val="14"/>
                <w:szCs w:val="14"/>
                <w:color w:val="auto"/>
                <w:w w:val="98"/>
              </w:rPr>
              <w:t>Non-</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4340" w:type="dxa"/>
            <w:vAlign w:val="bottom"/>
          </w:tcPr>
          <w:p>
            <w:pPr>
              <w:spacing w:after="0"/>
              <w:rPr>
                <w:sz w:val="18"/>
                <w:szCs w:val="18"/>
                <w:color w:val="auto"/>
              </w:rPr>
            </w:pPr>
          </w:p>
        </w:tc>
        <w:tc>
          <w:tcPr>
            <w:tcW w:w="900" w:type="dxa"/>
            <w:vAlign w:val="bottom"/>
          </w:tcPr>
          <w:p>
            <w:pPr>
              <w:jc w:val="center"/>
              <w:ind w:left="164"/>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8"/>
                <w:szCs w:val="18"/>
                <w:color w:val="auto"/>
              </w:rPr>
            </w:pPr>
          </w:p>
        </w:tc>
        <w:tc>
          <w:tcPr>
            <w:tcW w:w="820" w:type="dxa"/>
            <w:vAlign w:val="bottom"/>
          </w:tcPr>
          <w:p>
            <w:pPr>
              <w:jc w:val="center"/>
              <w:ind w:left="85"/>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right="422"/>
              <w:spacing w:after="0"/>
              <w:rPr>
                <w:sz w:val="20"/>
                <w:szCs w:val="20"/>
                <w:color w:val="auto"/>
              </w:rPr>
            </w:pPr>
            <w:r>
              <w:rPr>
                <w:rFonts w:ascii="Arial" w:cs="Arial" w:eastAsia="Arial" w:hAnsi="Arial"/>
                <w:sz w:val="14"/>
                <w:szCs w:val="14"/>
                <w:color w:val="auto"/>
              </w:rPr>
              <w:t>Total</w:t>
            </w:r>
          </w:p>
        </w:tc>
        <w:tc>
          <w:tcPr>
            <w:tcW w:w="320" w:type="dxa"/>
            <w:vAlign w:val="bottom"/>
          </w:tcPr>
          <w:p>
            <w:pPr>
              <w:spacing w:after="0"/>
              <w:rPr>
                <w:sz w:val="18"/>
                <w:szCs w:val="18"/>
                <w:color w:val="auto"/>
              </w:rPr>
            </w:pPr>
          </w:p>
        </w:tc>
        <w:tc>
          <w:tcPr>
            <w:tcW w:w="940" w:type="dxa"/>
            <w:vAlign w:val="bottom"/>
          </w:tcPr>
          <w:p>
            <w:pPr>
              <w:jc w:val="center"/>
              <w:ind w:right="284"/>
              <w:spacing w:after="0"/>
              <w:rPr>
                <w:sz w:val="20"/>
                <w:szCs w:val="20"/>
                <w:color w:val="auto"/>
              </w:rPr>
            </w:pPr>
            <w:r>
              <w:rPr>
                <w:rFonts w:ascii="Arial" w:cs="Arial" w:eastAsia="Arial" w:hAnsi="Arial"/>
                <w:sz w:val="14"/>
                <w:szCs w:val="14"/>
                <w:color w:val="auto"/>
              </w:rPr>
              <w:t>holders'</w:t>
            </w:r>
          </w:p>
        </w:tc>
        <w:tc>
          <w:tcPr>
            <w:tcW w:w="840" w:type="dxa"/>
            <w:vAlign w:val="bottom"/>
          </w:tcPr>
          <w:p>
            <w:pPr>
              <w:jc w:val="center"/>
              <w:ind w:left="65"/>
              <w:spacing w:after="0"/>
              <w:rPr>
                <w:sz w:val="20"/>
                <w:szCs w:val="20"/>
                <w:color w:val="auto"/>
              </w:rPr>
            </w:pPr>
            <w:r>
              <w:rPr>
                <w:rFonts w:ascii="Arial" w:cs="Arial" w:eastAsia="Arial" w:hAnsi="Arial"/>
                <w:sz w:val="14"/>
                <w:szCs w:val="14"/>
                <w:color w:val="auto"/>
              </w:rPr>
              <w:t>controlling</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right="242"/>
              <w:spacing w:after="0"/>
              <w:rPr>
                <w:sz w:val="20"/>
                <w:szCs w:val="20"/>
                <w:color w:val="auto"/>
              </w:rPr>
            </w:pPr>
            <w:r>
              <w:rPr>
                <w:rFonts w:ascii="Arial" w:cs="Arial" w:eastAsia="Arial" w:hAnsi="Arial"/>
                <w:sz w:val="14"/>
                <w:szCs w:val="14"/>
                <w:color w:val="auto"/>
              </w:rPr>
              <w:t>Total</w:t>
            </w:r>
          </w:p>
        </w:tc>
      </w:tr>
      <w:tr>
        <w:trPr>
          <w:trHeight w:val="208"/>
        </w:trPr>
        <w:tc>
          <w:tcPr>
            <w:tcW w:w="4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color w:val="auto"/>
              </w:rPr>
              <w:t>Equity(1)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22"/>
              <w:spacing w:after="0"/>
              <w:rPr>
                <w:sz w:val="20"/>
                <w:szCs w:val="20"/>
                <w:color w:val="auto"/>
              </w:rPr>
            </w:pPr>
            <w:r>
              <w:rPr>
                <w:rFonts w:ascii="Arial" w:cs="Arial" w:eastAsia="Arial" w:hAnsi="Arial"/>
                <w:sz w:val="14"/>
                <w:szCs w:val="14"/>
                <w:color w:val="auto"/>
              </w:rPr>
              <w:t>Equity</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color w:val="auto"/>
              </w:rPr>
              <w:t>Equity(1)</w:t>
            </w:r>
          </w:p>
        </w:tc>
        <w:tc>
          <w:tcPr>
            <w:tcW w:w="84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Interests</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color w:val="auto"/>
              </w:rPr>
              <w:t>Equity</w:t>
            </w:r>
          </w:p>
        </w:tc>
      </w:tr>
      <w:tr>
        <w:trPr>
          <w:trHeight w:val="224"/>
        </w:trPr>
        <w:tc>
          <w:tcPr>
            <w:tcW w:w="43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43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900" w:type="dxa"/>
            <w:vAlign w:val="bottom"/>
          </w:tcPr>
          <w:p>
            <w:pPr>
              <w:jc w:val="right"/>
              <w:ind w:right="584"/>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
              <w:spacing w:after="0"/>
              <w:rPr>
                <w:sz w:val="20"/>
                <w:szCs w:val="20"/>
                <w:color w:val="auto"/>
              </w:rPr>
            </w:pPr>
            <w:r>
              <w:rPr>
                <w:rFonts w:ascii="Arial" w:cs="Arial" w:eastAsia="Arial" w:hAnsi="Arial"/>
                <w:sz w:val="14"/>
                <w:szCs w:val="14"/>
                <w:color w:val="auto"/>
              </w:rPr>
              <w:t>(1)</w:t>
            </w:r>
          </w:p>
        </w:tc>
        <w:tc>
          <w:tcPr>
            <w:tcW w:w="840" w:type="dxa"/>
            <w:vAlign w:val="bottom"/>
          </w:tcPr>
          <w:p>
            <w:pPr>
              <w:jc w:val="right"/>
              <w:ind w:right="605"/>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4340" w:type="dxa"/>
            <w:vAlign w:val="bottom"/>
          </w:tcPr>
          <w:p>
            <w:pPr>
              <w:ind w:left="180"/>
              <w:spacing w:after="0"/>
              <w:rPr>
                <w:sz w:val="20"/>
                <w:szCs w:val="20"/>
                <w:color w:val="auto"/>
              </w:rPr>
            </w:pPr>
            <w:r>
              <w:rPr>
                <w:rFonts w:ascii="Arial" w:cs="Arial" w:eastAsia="Arial" w:hAnsi="Arial"/>
                <w:sz w:val="16"/>
                <w:szCs w:val="16"/>
                <w:color w:val="auto"/>
              </w:rPr>
              <w:t>Net actuarial (loss) gain</w:t>
            </w:r>
          </w:p>
        </w:tc>
        <w:tc>
          <w:tcPr>
            <w:tcW w:w="90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820" w:type="dxa"/>
            <w:vAlign w:val="bottom"/>
          </w:tcPr>
          <w:p>
            <w:pPr>
              <w:spacing w:after="0"/>
              <w:rPr>
                <w:sz w:val="18"/>
                <w:szCs w:val="18"/>
                <w:color w:val="auto"/>
              </w:rPr>
            </w:pPr>
          </w:p>
        </w:tc>
        <w:tc>
          <w:tcPr>
            <w:tcW w:w="260" w:type="dxa"/>
            <w:vAlign w:val="bottom"/>
          </w:tcPr>
          <w:p>
            <w:pPr>
              <w:jc w:val="right"/>
              <w:ind w:right="1"/>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5</w:t>
            </w:r>
          </w:p>
        </w:tc>
        <w:tc>
          <w:tcPr>
            <w:tcW w:w="840" w:type="dxa"/>
            <w:vAlign w:val="bottom"/>
          </w:tcPr>
          <w:p>
            <w:pPr>
              <w:spacing w:after="0"/>
              <w:rPr>
                <w:sz w:val="18"/>
                <w:szCs w:val="18"/>
                <w:color w:val="auto"/>
              </w:rPr>
            </w:pPr>
          </w:p>
        </w:tc>
        <w:tc>
          <w:tcPr>
            <w:tcW w:w="280" w:type="dxa"/>
            <w:vAlign w:val="bottom"/>
          </w:tcPr>
          <w:p>
            <w:pPr>
              <w:jc w:val="right"/>
              <w:ind w:right="21"/>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Financial instruments</w:t>
            </w: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7"/>
        </w:trPr>
        <w:tc>
          <w:tcPr>
            <w:tcW w:w="43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9"/>
        </w:trPr>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Financial instruments</w:t>
            </w:r>
          </w:p>
        </w:tc>
        <w:tc>
          <w:tcPr>
            <w:tcW w:w="90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jc w:val="right"/>
              <w:ind w:right="605"/>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(1)Shareholders</w:t>
      </w:r>
      <w:r>
        <w:rPr>
          <w:rFonts w:ascii="Arial" w:cs="Arial" w:eastAsia="Arial" w:hAnsi="Arial"/>
          <w:sz w:val="14"/>
          <w:szCs w:val="14"/>
          <w:color w:val="auto"/>
        </w:rPr>
        <w:t>’</w:t>
      </w:r>
      <w:r>
        <w:rPr>
          <w:rFonts w:ascii="Arial" w:cs="Arial" w:eastAsia="Arial" w:hAnsi="Arial"/>
          <w:sz w:val="14"/>
          <w:szCs w:val="14"/>
          <w:i w:val="1"/>
          <w:iCs w:val="1"/>
          <w:color w:val="auto"/>
        </w:rPr>
        <w:t xml:space="preserve"> equity of Sempra Energy Consolidated or SoCalGas as indicated in left margin.</w:t>
      </w:r>
    </w:p>
    <w:p>
      <w:pPr>
        <w:spacing w:after="0" w:line="2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Income tax amounts associated with other comprehensive income during the three months and nine months ended September 30, 2012 and 2011 at SDG&amp;E were negligible.</w:t>
      </w:r>
    </w:p>
    <w:p>
      <w:pPr>
        <w:sectPr>
          <w:pgSz w:w="11900" w:h="16838" w:orient="portrait"/>
          <w:cols w:equalWidth="0" w:num="1">
            <w:col w:w="11420"/>
          </w:cols>
          <w:pgMar w:left="240" w:top="125" w:right="239" w:bottom="0" w:gutter="0" w:footer="0" w:header="0"/>
        </w:sectPr>
      </w:pPr>
    </w:p>
    <w:bookmarkStart w:id="22" w:name="page23"/>
    <w:bookmarkEnd w:id="22"/>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two tables provide a reconciliation of Sempra Energy’s and SDG&amp;E’s shareholders’ equity and noncontrolling interests for the nine months ended September 30, 2012 and 2011.</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Sempra</w:t>
            </w: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Energy</w:t>
            </w:r>
          </w:p>
        </w:tc>
        <w:tc>
          <w:tcPr>
            <w:tcW w:w="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Non-</w:t>
            </w: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560" w:type="dxa"/>
            <w:vAlign w:val="bottom"/>
          </w:tcPr>
          <w:p>
            <w:pPr>
              <w:spacing w:after="0"/>
              <w:rPr>
                <w:sz w:val="18"/>
                <w:szCs w:val="18"/>
                <w:color w:val="auto"/>
              </w:rPr>
            </w:pPr>
          </w:p>
        </w:tc>
        <w:tc>
          <w:tcPr>
            <w:tcW w:w="1440" w:type="dxa"/>
            <w:vAlign w:val="bottom"/>
          </w:tcPr>
          <w:p>
            <w:pPr>
              <w:jc w:val="center"/>
              <w:ind w:right="20"/>
              <w:spacing w:after="0"/>
              <w:rPr>
                <w:sz w:val="20"/>
                <w:szCs w:val="20"/>
                <w:color w:val="auto"/>
              </w:rPr>
            </w:pPr>
            <w:r>
              <w:rPr>
                <w:rFonts w:ascii="Arial" w:cs="Arial" w:eastAsia="Arial" w:hAnsi="Arial"/>
                <w:sz w:val="14"/>
                <w:szCs w:val="14"/>
                <w:color w:val="auto"/>
                <w:w w:val="96"/>
              </w:rPr>
              <w:t>Total</w:t>
            </w:r>
          </w:p>
        </w:tc>
      </w:tr>
      <w:tr>
        <w:trPr>
          <w:trHeight w:val="208"/>
        </w:trPr>
        <w:tc>
          <w:tcPr>
            <w:tcW w:w="20" w:type="dxa"/>
            <w:vAlign w:val="bottom"/>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Interests</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Balance at December 31, 2011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9,775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403</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10,178</w:t>
            </w:r>
          </w:p>
        </w:tc>
      </w:tr>
      <w:tr>
        <w:trPr>
          <w:trHeight w:val="204"/>
        </w:trPr>
        <w:tc>
          <w:tcPr>
            <w:tcW w:w="550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4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671</w:t>
            </w:r>
          </w:p>
        </w:tc>
        <w:tc>
          <w:tcPr>
            <w:tcW w:w="5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w:t>
            </w: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(435)</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Common stock released from ESOP</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September 30, 2012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10,082</w:t>
            </w:r>
          </w:p>
        </w:tc>
        <w:tc>
          <w:tcPr>
            <w:tcW w:w="500" w:type="dxa"/>
            <w:vAlign w:val="bottom"/>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414</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10,496</w:t>
            </w: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Balance at December 31, 2010</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8,990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211</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9,201</w:t>
            </w:r>
          </w:p>
        </w:tc>
      </w:tr>
      <w:tr>
        <w:trPr>
          <w:trHeight w:val="204"/>
        </w:trPr>
        <w:tc>
          <w:tcPr>
            <w:tcW w:w="550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879</w:t>
            </w:r>
          </w:p>
        </w:tc>
        <w:tc>
          <w:tcPr>
            <w:tcW w:w="5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(346)</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Tax benefit related to share-based compensation</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Common stock released from ESOP</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Acquisition of South American entities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279</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Purchase of noncontrolling interests in subsidiary</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Redemption of preferred stock of subsidiary</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September 30, 2011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9,574</w:t>
            </w:r>
          </w:p>
        </w:tc>
        <w:tc>
          <w:tcPr>
            <w:tcW w:w="500" w:type="dxa"/>
            <w:vAlign w:val="bottom"/>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354</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9,928</w:t>
            </w: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48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SHAREHOLDER’S EQUITY AND NONCONTROLLING INTEREST</w:t>
            </w:r>
          </w:p>
        </w:tc>
        <w:tc>
          <w:tcPr>
            <w:tcW w:w="420" w:type="dxa"/>
            <w:vAlign w:val="bottom"/>
            <w:shd w:val="clear" w:color="auto" w:fill="C0C0C0"/>
          </w:tcPr>
          <w:p>
            <w:pPr>
              <w:spacing w:after="0"/>
              <w:rPr>
                <w:sz w:val="13"/>
                <w:szCs w:val="13"/>
                <w:color w:val="auto"/>
              </w:rPr>
            </w:pPr>
          </w:p>
        </w:tc>
        <w:tc>
          <w:tcPr>
            <w:tcW w:w="1520" w:type="dxa"/>
            <w:vAlign w:val="bottom"/>
            <w:shd w:val="clear" w:color="auto" w:fill="C0C0C0"/>
          </w:tcPr>
          <w:p>
            <w:pPr>
              <w:spacing w:after="0"/>
              <w:rPr>
                <w:sz w:val="13"/>
                <w:szCs w:val="13"/>
                <w:color w:val="auto"/>
              </w:rPr>
            </w:pPr>
          </w:p>
        </w:tc>
        <w:tc>
          <w:tcPr>
            <w:tcW w:w="500" w:type="dxa"/>
            <w:vAlign w:val="bottom"/>
            <w:shd w:val="clear" w:color="auto" w:fill="C0C0C0"/>
          </w:tcPr>
          <w:p>
            <w:pPr>
              <w:spacing w:after="0"/>
              <w:rPr>
                <w:sz w:val="13"/>
                <w:szCs w:val="13"/>
                <w:color w:val="auto"/>
              </w:rPr>
            </w:pPr>
          </w:p>
        </w:tc>
        <w:tc>
          <w:tcPr>
            <w:tcW w:w="1480" w:type="dxa"/>
            <w:vAlign w:val="bottom"/>
            <w:shd w:val="clear" w:color="auto" w:fill="C0C0C0"/>
          </w:tcPr>
          <w:p>
            <w:pPr>
              <w:spacing w:after="0"/>
              <w:rPr>
                <w:sz w:val="13"/>
                <w:szCs w:val="13"/>
                <w:color w:val="auto"/>
              </w:rPr>
            </w:pPr>
          </w:p>
        </w:tc>
        <w:tc>
          <w:tcPr>
            <w:tcW w:w="560" w:type="dxa"/>
            <w:vAlign w:val="bottom"/>
            <w:shd w:val="clear" w:color="auto" w:fill="C0C0C0"/>
          </w:tcPr>
          <w:p>
            <w:pPr>
              <w:spacing w:after="0"/>
              <w:rPr>
                <w:sz w:val="13"/>
                <w:szCs w:val="13"/>
                <w:color w:val="auto"/>
              </w:rPr>
            </w:pPr>
          </w:p>
        </w:tc>
        <w:tc>
          <w:tcPr>
            <w:tcW w:w="144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shd w:val="clear" w:color="auto" w:fill="C0C0C0"/>
          </w:tcPr>
          <w:p>
            <w:pPr>
              <w:spacing w:after="0"/>
              <w:rPr>
                <w:sz w:val="14"/>
                <w:szCs w:val="14"/>
                <w:color w:val="auto"/>
              </w:rPr>
            </w:pPr>
          </w:p>
        </w:tc>
        <w:tc>
          <w:tcPr>
            <w:tcW w:w="152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48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c>
          <w:tcPr>
            <w:tcW w:w="1440" w:type="dxa"/>
            <w:vAlign w:val="bottom"/>
            <w:shd w:val="clear" w:color="auto" w:fill="C0C0C0"/>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SDG&amp;E</w:t>
            </w:r>
          </w:p>
        </w:tc>
        <w:tc>
          <w:tcPr>
            <w:tcW w:w="5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Non-</w:t>
            </w: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560" w:type="dxa"/>
            <w:vAlign w:val="bottom"/>
          </w:tcPr>
          <w:p>
            <w:pPr>
              <w:spacing w:after="0"/>
              <w:rPr>
                <w:sz w:val="18"/>
                <w:szCs w:val="18"/>
                <w:color w:val="auto"/>
              </w:rPr>
            </w:pPr>
          </w:p>
        </w:tc>
        <w:tc>
          <w:tcPr>
            <w:tcW w:w="1440" w:type="dxa"/>
            <w:vAlign w:val="bottom"/>
          </w:tcPr>
          <w:p>
            <w:pPr>
              <w:jc w:val="center"/>
              <w:ind w:right="20"/>
              <w:spacing w:after="0"/>
              <w:rPr>
                <w:sz w:val="20"/>
                <w:szCs w:val="20"/>
                <w:color w:val="auto"/>
              </w:rPr>
            </w:pPr>
            <w:r>
              <w:rPr>
                <w:rFonts w:ascii="Arial" w:cs="Arial" w:eastAsia="Arial" w:hAnsi="Arial"/>
                <w:sz w:val="14"/>
                <w:szCs w:val="14"/>
                <w:color w:val="auto"/>
                <w:w w:val="96"/>
              </w:rPr>
              <w:t>Total</w:t>
            </w:r>
          </w:p>
        </w:tc>
      </w:tr>
      <w:tr>
        <w:trPr>
          <w:trHeight w:val="208"/>
        </w:trPr>
        <w:tc>
          <w:tcPr>
            <w:tcW w:w="20" w:type="dxa"/>
            <w:vAlign w:val="bottom"/>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Balance at December 31, 2011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3,739</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102</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3,841</w:t>
            </w:r>
          </w:p>
        </w:tc>
      </w:tr>
      <w:tr>
        <w:trPr>
          <w:trHeight w:val="204"/>
        </w:trPr>
        <w:tc>
          <w:tcPr>
            <w:tcW w:w="550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4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378</w:t>
            </w:r>
          </w:p>
        </w:tc>
        <w:tc>
          <w:tcPr>
            <w:tcW w:w="5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w:t>
            </w: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Preferred stock dividends declared</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September 30, 2012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4,113</w:t>
            </w:r>
          </w:p>
        </w:tc>
        <w:tc>
          <w:tcPr>
            <w:tcW w:w="500" w:type="dxa"/>
            <w:vAlign w:val="bottom"/>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90</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4,203</w:t>
            </w: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Balance at December 31, 2010</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3,108</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113</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3,221</w:t>
            </w:r>
          </w:p>
        </w:tc>
      </w:tr>
      <w:tr>
        <w:trPr>
          <w:trHeight w:val="204"/>
        </w:trPr>
        <w:tc>
          <w:tcPr>
            <w:tcW w:w="550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278</w:t>
            </w:r>
          </w:p>
        </w:tc>
        <w:tc>
          <w:tcPr>
            <w:tcW w:w="5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Preferred stock dividends declared</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Capital contribution</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200</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September 30, 2011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3,582</w:t>
            </w:r>
          </w:p>
        </w:tc>
        <w:tc>
          <w:tcPr>
            <w:tcW w:w="500" w:type="dxa"/>
            <w:vAlign w:val="bottom"/>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91</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3,673</w:t>
            </w: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 Sheets. Net income or loss attributable to the noncontrolling interests is separately identified on the Condensed Consolidated Statements of Operations, and comprehensive income attributable to the noncontrolling interests is separately identified on the Condensed Consolidated Statements of Comprehensive Income.</w:t>
      </w:r>
    </w:p>
    <w:p>
      <w:pPr>
        <w:spacing w:after="0" w:line="18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preferred stock of SoCalGas is presented at Sempra Energy as a noncontrolling interest at September 30, 2012 and December 31, 2011. The preferred stock of SDG&amp;E is contingently redeemable preferred stock. At Sempra Energy, the preferred stock dividends of both SDG&amp;E and SoCalGas are charges against income related to noncontrolling interests. We provide additional information concerning preferred stock in Note 12 of the Notes to Consolidated Financial Statements in the Updated Annual Report.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September 30, 2012 and December 31, 2011, Sempra Energy Consolidated reported the following other noncontrolling ownership interests held by others recorded in Other Noncontrolling Interests in Total Equity on Sempra Energy’s Condensed Consolidated Balance Sheets: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460" w:type="dxa"/>
            <w:vAlign w:val="bottom"/>
            <w:vMerge w:val="restart"/>
          </w:tcPr>
          <w:p>
            <w:pPr>
              <w:jc w:val="center"/>
              <w:ind w:left="785"/>
              <w:spacing w:after="0"/>
              <w:rPr>
                <w:sz w:val="20"/>
                <w:szCs w:val="20"/>
                <w:color w:val="auto"/>
              </w:rPr>
            </w:pPr>
            <w:r>
              <w:rPr>
                <w:rFonts w:ascii="Arial" w:cs="Arial" w:eastAsia="Arial" w:hAnsi="Arial"/>
                <w:sz w:val="14"/>
                <w:szCs w:val="14"/>
                <w:color w:val="auto"/>
              </w:rPr>
              <w:t>Percent Ownership Held</w:t>
            </w:r>
          </w:p>
        </w:tc>
        <w:tc>
          <w:tcPr>
            <w:tcW w:w="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center"/>
              <w:ind w:left="805"/>
              <w:spacing w:after="0" w:line="157" w:lineRule="exact"/>
              <w:rPr>
                <w:sz w:val="20"/>
                <w:szCs w:val="20"/>
                <w:color w:val="auto"/>
              </w:rPr>
            </w:pPr>
            <w:r>
              <w:rPr>
                <w:rFonts w:ascii="Arial" w:cs="Arial" w:eastAsia="Arial" w:hAnsi="Arial"/>
                <w:sz w:val="14"/>
                <w:szCs w:val="14"/>
                <w:color w:val="auto"/>
              </w:rPr>
              <w:t>by Others</w:t>
            </w:r>
          </w:p>
        </w:tc>
        <w:tc>
          <w:tcPr>
            <w:tcW w:w="5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03"/>
              <w:spacing w:after="0" w:line="157" w:lineRule="exact"/>
              <w:rPr>
                <w:sz w:val="20"/>
                <w:szCs w:val="20"/>
                <w:color w:val="auto"/>
              </w:rPr>
            </w:pPr>
            <w:r>
              <w:rPr>
                <w:rFonts w:ascii="Arial" w:cs="Arial" w:eastAsia="Arial" w:hAnsi="Arial"/>
                <w:sz w:val="14"/>
                <w:szCs w:val="14"/>
                <w:color w:val="auto"/>
              </w:rPr>
              <w:t>September 30, 2012</w:t>
            </w: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83"/>
              <w:spacing w:after="0" w:line="157" w:lineRule="exact"/>
              <w:rPr>
                <w:sz w:val="20"/>
                <w:szCs w:val="20"/>
                <w:color w:val="auto"/>
              </w:rPr>
            </w:pPr>
            <w:r>
              <w:rPr>
                <w:rFonts w:ascii="Arial" w:cs="Arial" w:eastAsia="Arial" w:hAnsi="Arial"/>
                <w:sz w:val="14"/>
                <w:szCs w:val="14"/>
                <w:color w:val="auto"/>
              </w:rPr>
              <w:t>December 31, 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Bay Gas Storage, Ltd.(1)</w:t>
            </w:r>
          </w:p>
        </w:tc>
        <w:tc>
          <w:tcPr>
            <w:tcW w:w="3460" w:type="dxa"/>
            <w:vAlign w:val="bottom"/>
          </w:tcPr>
          <w:p>
            <w:pPr>
              <w:jc w:val="right"/>
              <w:ind w:right="225"/>
              <w:spacing w:after="0"/>
              <w:rPr>
                <w:sz w:val="20"/>
                <w:szCs w:val="20"/>
                <w:color w:val="auto"/>
              </w:rPr>
            </w:pPr>
            <w:r>
              <w:rPr>
                <w:rFonts w:ascii="Arial" w:cs="Arial" w:eastAsia="Arial" w:hAnsi="Arial"/>
                <w:sz w:val="16"/>
                <w:szCs w:val="16"/>
                <w:color w:val="auto"/>
              </w:rPr>
              <w:t>9 %</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03"/>
              <w:spacing w:after="0"/>
              <w:rPr>
                <w:sz w:val="20"/>
                <w:szCs w:val="20"/>
                <w:color w:val="auto"/>
              </w:rPr>
            </w:pPr>
            <w:r>
              <w:rPr>
                <w:rFonts w:ascii="Arial" w:cs="Arial" w:eastAsia="Arial" w:hAnsi="Arial"/>
                <w:sz w:val="16"/>
                <w:szCs w:val="16"/>
                <w:color w:val="auto"/>
              </w:rPr>
              <w:t>19</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ectPr>
          <w:pgSz w:w="11900" w:h="16903" w:orient="portrait"/>
          <w:cols w:equalWidth="0" w:num="1">
            <w:col w:w="11420"/>
          </w:cols>
          <w:pgMar w:left="240" w:top="333"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20"/>
                <w:szCs w:val="20"/>
                <w:color w:val="auto"/>
              </w:rPr>
            </w:pPr>
            <w:r>
              <w:rPr>
                <w:rFonts w:ascii="Arial" w:cs="Arial" w:eastAsia="Arial" w:hAnsi="Arial"/>
                <w:sz w:val="16"/>
                <w:szCs w:val="16"/>
                <w:color w:val="auto"/>
              </w:rPr>
              <w:t>Southern Gas Transmission Company(1)</w:t>
            </w:r>
          </w:p>
        </w:tc>
        <w:tc>
          <w:tcPr>
            <w:tcW w:w="2300" w:type="dxa"/>
            <w:vAlign w:val="bottom"/>
          </w:tcPr>
          <w:p>
            <w:pPr>
              <w:jc w:val="right"/>
              <w:ind w:right="399"/>
              <w:spacing w:after="0"/>
              <w:rPr>
                <w:sz w:val="20"/>
                <w:szCs w:val="20"/>
                <w:color w:val="auto"/>
              </w:rPr>
            </w:pPr>
            <w:r>
              <w:rPr>
                <w:rFonts w:ascii="Arial" w:cs="Arial" w:eastAsia="Arial" w:hAnsi="Arial"/>
                <w:sz w:val="16"/>
                <w:szCs w:val="16"/>
                <w:color w:val="auto"/>
              </w:rPr>
              <w:t>49</w:t>
            </w:r>
          </w:p>
        </w:tc>
        <w:tc>
          <w:tcPr>
            <w:tcW w:w="1240" w:type="dxa"/>
            <w:vAlign w:val="bottom"/>
          </w:tcPr>
          <w:p>
            <w:pPr>
              <w:spacing w:after="0"/>
              <w:rPr>
                <w:sz w:val="16"/>
                <w:szCs w:val="16"/>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4320" w:type="dxa"/>
            <w:vAlign w:val="bottom"/>
          </w:tcPr>
          <w:p>
            <w:pPr>
              <w:spacing w:after="0"/>
              <w:rPr>
                <w:sz w:val="20"/>
                <w:szCs w:val="20"/>
                <w:color w:val="auto"/>
              </w:rPr>
            </w:pPr>
            <w:r>
              <w:rPr>
                <w:rFonts w:ascii="Arial" w:cs="Arial" w:eastAsia="Arial" w:hAnsi="Arial"/>
                <w:sz w:val="16"/>
                <w:szCs w:val="16"/>
                <w:color w:val="auto"/>
              </w:rPr>
              <w:t>Liberty Gas Storage, LLC(1)</w:t>
            </w:r>
          </w:p>
        </w:tc>
        <w:tc>
          <w:tcPr>
            <w:tcW w:w="2300" w:type="dxa"/>
            <w:vAlign w:val="bottom"/>
          </w:tcPr>
          <w:p>
            <w:pPr>
              <w:jc w:val="right"/>
              <w:ind w:right="399"/>
              <w:spacing w:after="0"/>
              <w:rPr>
                <w:sz w:val="20"/>
                <w:szCs w:val="20"/>
                <w:color w:val="auto"/>
              </w:rPr>
            </w:pPr>
            <w:r>
              <w:rPr>
                <w:rFonts w:ascii="Arial" w:cs="Arial" w:eastAsia="Arial" w:hAnsi="Arial"/>
                <w:sz w:val="16"/>
                <w:szCs w:val="16"/>
                <w:color w:val="auto"/>
              </w:rPr>
              <w:t>25</w:t>
            </w:r>
          </w:p>
        </w:tc>
        <w:tc>
          <w:tcPr>
            <w:tcW w:w="1240" w:type="dxa"/>
            <w:vAlign w:val="bottom"/>
          </w:tcPr>
          <w:p>
            <w:pPr>
              <w:spacing w:after="0"/>
              <w:rPr>
                <w:sz w:val="22"/>
                <w:szCs w:val="22"/>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Tecsur</w:t>
            </w:r>
          </w:p>
        </w:tc>
        <w:tc>
          <w:tcPr>
            <w:tcW w:w="2300" w:type="dxa"/>
            <w:vAlign w:val="bottom"/>
          </w:tcPr>
          <w:p>
            <w:pPr>
              <w:jc w:val="right"/>
              <w:ind w:right="399"/>
              <w:spacing w:after="0"/>
              <w:rPr>
                <w:sz w:val="20"/>
                <w:szCs w:val="20"/>
                <w:color w:val="auto"/>
              </w:rPr>
            </w:pPr>
            <w:r>
              <w:rPr>
                <w:rFonts w:ascii="Arial" w:cs="Arial" w:eastAsia="Arial" w:hAnsi="Arial"/>
                <w:sz w:val="16"/>
                <w:szCs w:val="16"/>
                <w:color w:val="auto"/>
              </w:rPr>
              <w:t>10</w:t>
            </w:r>
          </w:p>
        </w:tc>
        <w:tc>
          <w:tcPr>
            <w:tcW w:w="12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Luz del Sur</w:t>
            </w:r>
          </w:p>
        </w:tc>
        <w:tc>
          <w:tcPr>
            <w:tcW w:w="2300" w:type="dxa"/>
            <w:vAlign w:val="bottom"/>
          </w:tcPr>
          <w:p>
            <w:pPr>
              <w:jc w:val="right"/>
              <w:ind w:right="399"/>
              <w:spacing w:after="0"/>
              <w:rPr>
                <w:sz w:val="20"/>
                <w:szCs w:val="20"/>
                <w:color w:val="auto"/>
              </w:rPr>
            </w:pPr>
            <w:r>
              <w:rPr>
                <w:rFonts w:ascii="Arial" w:cs="Arial" w:eastAsia="Arial" w:hAnsi="Arial"/>
                <w:sz w:val="16"/>
                <w:szCs w:val="16"/>
                <w:color w:val="auto"/>
              </w:rPr>
              <w:t>20</w:t>
            </w:r>
          </w:p>
        </w:tc>
        <w:tc>
          <w:tcPr>
            <w:tcW w:w="12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230</w:t>
            </w:r>
          </w:p>
        </w:tc>
        <w:tc>
          <w:tcPr>
            <w:tcW w:w="1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Chilquinta Energía subsidiaries</w:t>
            </w:r>
          </w:p>
        </w:tc>
        <w:tc>
          <w:tcPr>
            <w:tcW w:w="2300" w:type="dxa"/>
            <w:vAlign w:val="bottom"/>
          </w:tcPr>
          <w:p>
            <w:pPr>
              <w:jc w:val="right"/>
              <w:ind w:right="339"/>
              <w:spacing w:after="0"/>
              <w:rPr>
                <w:sz w:val="20"/>
                <w:szCs w:val="20"/>
                <w:color w:val="auto"/>
              </w:rPr>
            </w:pPr>
            <w:r>
              <w:rPr>
                <w:rFonts w:ascii="Arial" w:cs="Arial" w:eastAsia="Arial" w:hAnsi="Arial"/>
                <w:sz w:val="16"/>
                <w:szCs w:val="16"/>
                <w:color w:val="auto"/>
              </w:rPr>
              <w:t>15 - 43</w:t>
            </w:r>
          </w:p>
        </w:tc>
        <w:tc>
          <w:tcPr>
            <w:tcW w:w="12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37</w:t>
            </w:r>
          </w:p>
        </w:tc>
        <w:tc>
          <w:tcPr>
            <w:tcW w:w="1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Otay Mesa VIE (at SDG&amp;E)</w:t>
            </w:r>
          </w:p>
        </w:tc>
        <w:tc>
          <w:tcPr>
            <w:tcW w:w="2300" w:type="dxa"/>
            <w:vAlign w:val="bottom"/>
          </w:tcPr>
          <w:p>
            <w:pPr>
              <w:jc w:val="right"/>
              <w:ind w:right="399"/>
              <w:spacing w:after="0"/>
              <w:rPr>
                <w:sz w:val="20"/>
                <w:szCs w:val="20"/>
                <w:color w:val="auto"/>
              </w:rPr>
            </w:pPr>
            <w:r>
              <w:rPr>
                <w:rFonts w:ascii="Arial" w:cs="Arial" w:eastAsia="Arial" w:hAnsi="Arial"/>
                <w:sz w:val="16"/>
                <w:szCs w:val="16"/>
                <w:color w:val="auto"/>
              </w:rPr>
              <w:t>100</w:t>
            </w:r>
          </w:p>
        </w:tc>
        <w:tc>
          <w:tcPr>
            <w:tcW w:w="1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43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 Sempra Energy</w:t>
            </w:r>
          </w:p>
        </w:tc>
        <w:tc>
          <w:tcPr>
            <w:tcW w:w="354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394</w:t>
            </w:r>
          </w:p>
        </w:tc>
        <w:tc>
          <w:tcPr>
            <w:tcW w:w="11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ind w:left="380"/>
        <w:spacing w:after="0"/>
        <w:rPr>
          <w:sz w:val="20"/>
          <w:szCs w:val="20"/>
          <w:color w:val="auto"/>
        </w:rPr>
      </w:pPr>
      <w:r>
        <w:rPr>
          <w:rFonts w:ascii="Arial" w:cs="Arial" w:eastAsia="Arial" w:hAnsi="Arial"/>
          <w:sz w:val="14"/>
          <w:szCs w:val="14"/>
          <w:i w:val="1"/>
          <w:iCs w:val="1"/>
          <w:color w:val="auto"/>
        </w:rPr>
        <w:t>(1)Part of Sempra Natural Gas.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Sempra South American Utilities has a U.S. dollar-denominated loan to Camuzzi Gas del Sur S.A., an affiliate of the segment’s Argentine investments, which we discuss in Note 4 of the Notes to Consolidated Financial Statements in the Updated Annual Report. At September 30, 2012, the loan has an $18 million principal balance outstanding plus $7 million of accumulated interest at a variable interest rate (7.41 percent as of September 30, 2012). In June 2012, the maturity date of the loan was extended from June 30, 2012 to June 30, 2013. The loan was fully reserved at September 30, 2012 and December 31, 2011.</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w:t>
      </w:r>
    </w:p>
    <w:p>
      <w:pPr>
        <w:spacing w:after="0" w:line="2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Sempra Energy, at Parent and Other, has an investment in bonds issued by Chilquinta Energía that we discuss in Note 5 of the Notes to Consolidated Financial Statements in the Updated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ind w:righ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7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24"/>
        </w:trPr>
        <w:tc>
          <w:tcPr>
            <w:tcW w:w="78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6"/>
                <w:szCs w:val="16"/>
                <w:color w:val="auto"/>
              </w:rPr>
              <w:t>Current:</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SoCalGas</w:t>
            </w:r>
          </w:p>
        </w:tc>
        <w:tc>
          <w:tcPr>
            <w:tcW w:w="1320" w:type="dxa"/>
            <w:vAlign w:val="bottom"/>
          </w:tcPr>
          <w:p>
            <w:pPr>
              <w:jc w:val="right"/>
              <w:ind w:right="114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1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Pr>
          <w:p>
            <w:pPr>
              <w:ind w:left="180"/>
              <w:spacing w:after="0"/>
              <w:rPr>
                <w:sz w:val="20"/>
                <w:szCs w:val="20"/>
                <w:color w:val="auto"/>
              </w:rPr>
            </w:pPr>
            <w:r>
              <w:rPr>
                <w:rFonts w:ascii="Arial" w:cs="Arial" w:eastAsia="Arial" w:hAnsi="Arial"/>
                <w:sz w:val="16"/>
                <w:szCs w:val="16"/>
                <w:color w:val="auto"/>
              </w:rPr>
              <w:t>Income taxes due from Sempra Energy(1)</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
        </w:trPr>
        <w:tc>
          <w:tcPr>
            <w:tcW w:w="7820" w:type="dxa"/>
            <w:vAlign w:val="bottom"/>
            <w:vMerge w:val="restart"/>
          </w:tcPr>
          <w:p>
            <w:pPr>
              <w:spacing w:after="0"/>
              <w:rPr>
                <w:sz w:val="20"/>
                <w:szCs w:val="20"/>
                <w:color w:val="auto"/>
              </w:rPr>
            </w:pPr>
            <w:r>
              <w:rPr>
                <w:rFonts w:ascii="Arial" w:cs="Arial" w:eastAsia="Arial" w:hAnsi="Arial"/>
                <w:sz w:val="16"/>
                <w:szCs w:val="16"/>
                <w:b w:val="1"/>
                <w:bCs w:val="1"/>
                <w:color w:val="auto"/>
              </w:rPr>
              <w:t>SoCalGas</w:t>
            </w: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78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6"/>
                <w:szCs w:val="16"/>
                <w:color w:val="auto"/>
              </w:rPr>
              <w:t>Current:</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Sempra Energy</w:t>
            </w:r>
          </w:p>
        </w:tc>
        <w:tc>
          <w:tcPr>
            <w:tcW w:w="1320" w:type="dxa"/>
            <w:vAlign w:val="bottom"/>
          </w:tcPr>
          <w:p>
            <w:pPr>
              <w:jc w:val="right"/>
              <w:ind w:right="114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280</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1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280</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Pr>
          <w:p>
            <w:pPr>
              <w:ind w:left="180"/>
              <w:spacing w:after="0"/>
              <w:rPr>
                <w:sz w:val="20"/>
                <w:szCs w:val="20"/>
                <w:color w:val="auto"/>
              </w:rPr>
            </w:pPr>
            <w:r>
              <w:rPr>
                <w:rFonts w:ascii="Arial" w:cs="Arial" w:eastAsia="Arial" w:hAnsi="Arial"/>
                <w:sz w:val="16"/>
                <w:szCs w:val="16"/>
                <w:color w:val="auto"/>
              </w:rPr>
              <w:t>Due to SDG&amp;E</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taxes due from Sempra Energy(1)</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60" w:right="360" w:hanging="452"/>
        <w:spacing w:after="0" w:line="265" w:lineRule="auto"/>
        <w:tabs>
          <w:tab w:leader="none" w:pos="46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SDG&amp;E and SoCalGas are as follows: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UNCONSOLIDATED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2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SDG&amp;E</w:t>
            </w:r>
          </w:p>
        </w:tc>
        <w:tc>
          <w:tcPr>
            <w:tcW w:w="3180" w:type="dxa"/>
            <w:vAlign w:val="bottom"/>
            <w:gridSpan w:val="2"/>
          </w:tcPr>
          <w:p>
            <w:pPr>
              <w:jc w:val="right"/>
              <w:ind w:right="106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320" w:type="dxa"/>
            <w:vAlign w:val="bottom"/>
          </w:tcPr>
          <w:p>
            <w:pPr>
              <w:jc w:val="right"/>
              <w:ind w:right="114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7"/>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9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1"/>
        </w:trPr>
        <w:tc>
          <w:tcPr>
            <w:tcW w:w="2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ectPr>
          <w:pgSz w:w="11900" w:h="16838" w:orient="portrait"/>
          <w:cols w:equalWidth="0" w:num="1">
            <w:col w:w="11420"/>
          </w:cols>
          <w:pgMar w:left="240" w:top="128" w:right="239" w:bottom="187" w:gutter="0" w:footer="0" w:header="0"/>
        </w:sectPr>
      </w:pPr>
    </w:p>
    <w:bookmarkStart w:id="24" w:name="page25"/>
    <w:bookmarkEnd w:id="24"/>
    <w:p>
      <w:pPr>
        <w:ind w:right="260"/>
        <w:spacing w:after="0" w:line="259" w:lineRule="auto"/>
        <w:rPr>
          <w:sz w:val="20"/>
          <w:szCs w:val="20"/>
          <w:color w:val="auto"/>
        </w:rPr>
      </w:pPr>
      <w:r>
        <w:rPr>
          <w:rFonts w:ascii="Arial" w:cs="Arial" w:eastAsia="Arial" w:hAnsi="Arial"/>
          <w:sz w:val="18"/>
          <w:szCs w:val="18"/>
          <w:color w:val="auto"/>
        </w:rPr>
        <w:t>Several of our segments have engaged in transactions with RBS Sempra Commodities. As a result of the divestiture of substantially all of RBS Sempra Commodities’ businesses, transactions between our segments and RBS Sempra Commodities were assigned over time to the buyers of the joint venture businesses. The assignments of the related contracts were substantially completed by May 1, 2011. Amounts in our Condensed Consolidated Statements of Operations related to these transactions are as follows:</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RECORDED FOR TRANSACTIONS WITH RBS SEMPRA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860" w:type="dxa"/>
            <w:vAlign w:val="bottom"/>
            <w:gridSpan w:val="2"/>
            <w:vMerge w:val="restart"/>
          </w:tcPr>
          <w:p>
            <w:pPr>
              <w:jc w:val="right"/>
              <w:ind w:right="39"/>
              <w:spacing w:after="0"/>
              <w:rPr>
                <w:sz w:val="20"/>
                <w:szCs w:val="20"/>
                <w:color w:val="auto"/>
              </w:rPr>
            </w:pPr>
            <w:r>
              <w:rPr>
                <w:rFonts w:ascii="Arial" w:cs="Arial" w:eastAsia="Arial" w:hAnsi="Arial"/>
                <w:sz w:val="14"/>
                <w:szCs w:val="14"/>
                <w:color w:val="auto"/>
              </w:rPr>
              <w:t>Three months ended September 30,</w:t>
            </w:r>
          </w:p>
        </w:tc>
        <w:tc>
          <w:tcPr>
            <w:tcW w:w="2460" w:type="dxa"/>
            <w:vAlign w:val="bottom"/>
            <w:gridSpan w:val="2"/>
            <w:vMerge w:val="restart"/>
          </w:tcPr>
          <w:p>
            <w:pPr>
              <w:jc w:val="right"/>
              <w:ind w:right="59"/>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486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jc w:val="right"/>
              <w:ind w:right="323"/>
              <w:spacing w:after="0" w:line="157" w:lineRule="exact"/>
              <w:rPr>
                <w:sz w:val="20"/>
                <w:szCs w:val="20"/>
                <w:color w:val="auto"/>
              </w:rPr>
            </w:pPr>
            <w:r>
              <w:rPr>
                <w:rFonts w:ascii="Arial" w:cs="Arial" w:eastAsia="Arial" w:hAnsi="Arial"/>
                <w:sz w:val="14"/>
                <w:szCs w:val="14"/>
                <w:color w:val="auto"/>
              </w:rPr>
              <w:t>2011(1)</w:t>
            </w:r>
          </w:p>
        </w:tc>
        <w:tc>
          <w:tcPr>
            <w:tcW w:w="6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03"/>
              <w:spacing w:after="0" w:line="157" w:lineRule="exact"/>
              <w:rPr>
                <w:sz w:val="20"/>
                <w:szCs w:val="20"/>
                <w:color w:val="auto"/>
              </w:rPr>
            </w:pPr>
            <w:r>
              <w:rPr>
                <w:rFonts w:ascii="Arial" w:cs="Arial" w:eastAsia="Arial" w:hAnsi="Arial"/>
                <w:sz w:val="14"/>
                <w:szCs w:val="14"/>
                <w:color w:val="auto"/>
              </w:rPr>
              <w:t>2011(1)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20"/>
                <w:szCs w:val="20"/>
                <w:color w:val="auto"/>
              </w:rPr>
            </w:pPr>
            <w:r>
              <w:rPr>
                <w:rFonts w:ascii="Arial" w:cs="Arial" w:eastAsia="Arial" w:hAnsi="Arial"/>
                <w:sz w:val="16"/>
                <w:szCs w:val="16"/>
                <w:color w:val="auto"/>
              </w:rPr>
              <w:t>Revenues:</w:t>
            </w:r>
          </w:p>
        </w:tc>
        <w:tc>
          <w:tcPr>
            <w:tcW w:w="4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22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0"/>
                <w:szCs w:val="20"/>
                <w:color w:val="auto"/>
              </w:rPr>
            </w:pPr>
            <w:r>
              <w:rPr>
                <w:rFonts w:ascii="Arial" w:cs="Arial" w:eastAsia="Arial" w:hAnsi="Arial"/>
                <w:sz w:val="16"/>
                <w:szCs w:val="16"/>
                <w:color w:val="auto"/>
              </w:rPr>
              <w:t>Cost of natural gas:</w:t>
            </w:r>
          </w:p>
        </w:tc>
        <w:tc>
          <w:tcPr>
            <w:tcW w:w="4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22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84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Sempra Natural Gas</w:t>
            </w:r>
          </w:p>
        </w:tc>
        <w:tc>
          <w:tcPr>
            <w:tcW w:w="4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720" w:right="280" w:hanging="712"/>
        <w:spacing w:after="0" w:line="265" w:lineRule="auto"/>
        <w:tabs>
          <w:tab w:leader="none" w:pos="7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With the exception of Sempra Mexico, whose contract with RBS Sempra Commodities expired in July 2011, amounts only include activities prior to May 1, 2011, the date by which substantially all the contracts with RBS Sempra Commodities were assigned to buyers of the joint venture businesses.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on the Condensed Consolidated Statements of Operations consists of the following: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120" w:type="dxa"/>
            <w:vAlign w:val="bottom"/>
            <w:gridSpan w:val="4"/>
            <w:vMerge w:val="restart"/>
          </w:tcPr>
          <w:p>
            <w:pPr>
              <w:jc w:val="right"/>
              <w:spacing w:after="0"/>
              <w:rPr>
                <w:sz w:val="20"/>
                <w:szCs w:val="20"/>
                <w:color w:val="auto"/>
              </w:rPr>
            </w:pPr>
            <w:r>
              <w:rPr>
                <w:rFonts w:ascii="Arial" w:cs="Arial" w:eastAsia="Arial" w:hAnsi="Arial"/>
                <w:sz w:val="14"/>
                <w:szCs w:val="14"/>
                <w:color w:val="auto"/>
              </w:rPr>
              <w:t>Three months ended September</w:t>
            </w:r>
          </w:p>
        </w:tc>
        <w:tc>
          <w:tcPr>
            <w:tcW w:w="100" w:type="dxa"/>
            <w:vAlign w:val="bottom"/>
          </w:tcPr>
          <w:p>
            <w:pPr>
              <w:spacing w:after="0"/>
              <w:rPr>
                <w:sz w:val="16"/>
                <w:szCs w:val="16"/>
                <w:color w:val="auto"/>
              </w:rPr>
            </w:pPr>
          </w:p>
        </w:tc>
        <w:tc>
          <w:tcPr>
            <w:tcW w:w="20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Nine months ended September</w:t>
            </w:r>
          </w:p>
        </w:tc>
        <w:tc>
          <w:tcPr>
            <w:tcW w:w="0" w:type="dxa"/>
            <w:vAlign w:val="bottom"/>
          </w:tcPr>
          <w:p>
            <w:pPr>
              <w:spacing w:after="0"/>
              <w:rPr>
                <w:sz w:val="1"/>
                <w:szCs w:val="1"/>
                <w:color w:val="auto"/>
              </w:rPr>
            </w:pPr>
          </w:p>
        </w:tc>
      </w:tr>
      <w:tr>
        <w:trPr>
          <w:trHeight w:val="138"/>
        </w:trPr>
        <w:tc>
          <w:tcPr>
            <w:tcW w:w="712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jc w:val="right"/>
              <w:ind w:right="44"/>
              <w:spacing w:after="0"/>
              <w:rPr>
                <w:sz w:val="20"/>
                <w:szCs w:val="20"/>
                <w:color w:val="auto"/>
              </w:rPr>
            </w:pPr>
            <w:r>
              <w:rPr>
                <w:rFonts w:ascii="Arial" w:cs="Arial" w:eastAsia="Arial" w:hAnsi="Arial"/>
                <w:sz w:val="14"/>
                <w:szCs w:val="14"/>
                <w:color w:val="auto"/>
              </w:rPr>
              <w:t>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4"/>
                <w:szCs w:val="14"/>
                <w:color w:val="auto"/>
              </w:rPr>
              <w:t>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04"/>
        </w:trPr>
        <w:tc>
          <w:tcPr>
            <w:tcW w:w="71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12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Investment gains (losses)(1)</w:t>
            </w: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Gains (losses) on interest rate and foreign exchange instruments, net</w:t>
            </w: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Sundry, net</w:t>
            </w: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6"/>
                <w:szCs w:val="16"/>
                <w:color w:val="auto"/>
              </w:rPr>
              <w:t>44$</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w:t>
            </w: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137$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1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12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Sundry, net</w:t>
            </w: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712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59</w:t>
            </w:r>
          </w:p>
        </w:tc>
        <w:tc>
          <w:tcPr>
            <w:tcW w:w="24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1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12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Sundry, net</w:t>
            </w: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712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40" w:right="140" w:hanging="357"/>
        <w:spacing w:after="0" w:line="245" w:lineRule="auto"/>
        <w:tabs>
          <w:tab w:leader="none" w:pos="5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(losses) on dedicated assets in support of our executive retirement and deferred compensation plans. These amounts are partially offset by corresponding changes in compensation expense related to the plans.</w:t>
      </w:r>
    </w:p>
    <w:p>
      <w:pPr>
        <w:ind w:left="540" w:hanging="357"/>
        <w:spacing w:after="0"/>
        <w:tabs>
          <w:tab w:leader="none" w:pos="5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color w:val="auto"/>
              </w:rPr>
              <w:t>Three months ended September 30,</w:t>
            </w: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r>
      <w:tr>
        <w:trPr>
          <w:trHeight w:val="223"/>
        </w:trPr>
        <w:tc>
          <w:tcPr>
            <w:tcW w:w="336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85"/>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2011</w:t>
            </w:r>
          </w:p>
        </w:tc>
      </w:tr>
      <w:tr>
        <w:trPr>
          <w:trHeight w:val="231"/>
        </w:trPr>
        <w:tc>
          <w:tcPr>
            <w:tcW w:w="3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jc w:val="center"/>
              <w:ind w:left="965"/>
              <w:spacing w:after="0"/>
              <w:rPr>
                <w:sz w:val="20"/>
                <w:szCs w:val="20"/>
                <w:color w:val="auto"/>
              </w:rPr>
            </w:pPr>
            <w:r>
              <w:rPr>
                <w:rFonts w:ascii="Arial" w:cs="Arial" w:eastAsia="Arial" w:hAnsi="Arial"/>
                <w:sz w:val="14"/>
                <w:szCs w:val="14"/>
                <w:color w:val="auto"/>
              </w:rPr>
              <w:t>Effective</w:t>
            </w: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6"/>
        </w:trPr>
        <w:tc>
          <w:tcPr>
            <w:tcW w:w="3360" w:type="dxa"/>
            <w:vAlign w:val="bottom"/>
          </w:tcPr>
          <w:p>
            <w:pPr>
              <w:spacing w:after="0"/>
              <w:rPr>
                <w:sz w:val="18"/>
                <w:szCs w:val="18"/>
                <w:color w:val="auto"/>
              </w:rPr>
            </w:pPr>
          </w:p>
        </w:tc>
        <w:tc>
          <w:tcPr>
            <w:tcW w:w="1560" w:type="dxa"/>
            <w:vAlign w:val="bottom"/>
          </w:tcPr>
          <w:p>
            <w:pPr>
              <w:jc w:val="center"/>
              <w:ind w:left="605"/>
              <w:spacing w:after="0"/>
              <w:rPr>
                <w:sz w:val="20"/>
                <w:szCs w:val="20"/>
                <w:color w:val="auto"/>
              </w:rPr>
            </w:pPr>
            <w:r>
              <w:rPr>
                <w:rFonts w:ascii="Arial" w:cs="Arial" w:eastAsia="Arial" w:hAnsi="Arial"/>
                <w:sz w:val="14"/>
                <w:szCs w:val="14"/>
                <w:color w:val="auto"/>
                <w:w w:val="98"/>
              </w:rPr>
              <w:t>Income Tax</w:t>
            </w:r>
          </w:p>
        </w:tc>
        <w:tc>
          <w:tcPr>
            <w:tcW w:w="1880" w:type="dxa"/>
            <w:vAlign w:val="bottom"/>
          </w:tcPr>
          <w:p>
            <w:pPr>
              <w:jc w:val="center"/>
              <w:ind w:left="965"/>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8"/>
                <w:szCs w:val="18"/>
                <w:color w:val="auto"/>
              </w:rPr>
            </w:pPr>
          </w:p>
        </w:tc>
        <w:tc>
          <w:tcPr>
            <w:tcW w:w="1440" w:type="dxa"/>
            <w:vAlign w:val="bottom"/>
          </w:tcPr>
          <w:p>
            <w:pPr>
              <w:jc w:val="center"/>
              <w:ind w:left="545"/>
              <w:spacing w:after="0"/>
              <w:rPr>
                <w:sz w:val="20"/>
                <w:szCs w:val="20"/>
                <w:color w:val="auto"/>
              </w:rPr>
            </w:pPr>
            <w:r>
              <w:rPr>
                <w:rFonts w:ascii="Arial" w:cs="Arial" w:eastAsia="Arial" w:hAnsi="Arial"/>
                <w:sz w:val="14"/>
                <w:szCs w:val="14"/>
                <w:color w:val="auto"/>
              </w:rPr>
              <w:t>Income Tax</w:t>
            </w:r>
          </w:p>
        </w:tc>
        <w:tc>
          <w:tcPr>
            <w:tcW w:w="4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880" w:type="dxa"/>
            <w:vAlign w:val="bottom"/>
            <w:tcBorders>
              <w:bottom w:val="single" w:sz="8" w:color="auto"/>
            </w:tcBorders>
          </w:tcPr>
          <w:p>
            <w:pPr>
              <w:jc w:val="center"/>
              <w:ind w:left="965"/>
              <w:spacing w:after="0"/>
              <w:rPr>
                <w:sz w:val="20"/>
                <w:szCs w:val="20"/>
                <w:color w:val="auto"/>
              </w:rPr>
            </w:pPr>
            <w:r>
              <w:rPr>
                <w:rFonts w:ascii="Arial" w:cs="Arial" w:eastAsia="Arial" w:hAnsi="Arial"/>
                <w:sz w:val="14"/>
                <w:szCs w:val="14"/>
                <w:color w:val="auto"/>
                <w:w w:val="98"/>
              </w:rPr>
              <w:t>Tax Rate</w:t>
            </w: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565"/>
              <w:spacing w:after="0"/>
              <w:rPr>
                <w:sz w:val="20"/>
                <w:szCs w:val="20"/>
                <w:color w:val="auto"/>
              </w:rPr>
            </w:pPr>
            <w:r>
              <w:rPr>
                <w:rFonts w:ascii="Arial" w:cs="Arial" w:eastAsia="Arial" w:hAnsi="Arial"/>
                <w:sz w:val="14"/>
                <w:szCs w:val="14"/>
                <w:color w:val="auto"/>
              </w:rPr>
              <w:t>Expense</w:t>
            </w:r>
          </w:p>
        </w:tc>
        <w:tc>
          <w:tcPr>
            <w:tcW w:w="4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224"/>
        </w:trPr>
        <w:tc>
          <w:tcPr>
            <w:tcW w:w="336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205"/>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445"/>
              <w:spacing w:after="0"/>
              <w:rPr>
                <w:sz w:val="20"/>
                <w:szCs w:val="20"/>
                <w:color w:val="auto"/>
              </w:rPr>
            </w:pPr>
            <w:r>
              <w:rPr>
                <w:rFonts w:ascii="Arial" w:cs="Arial" w:eastAsia="Arial" w:hAnsi="Arial"/>
                <w:sz w:val="16"/>
                <w:szCs w:val="16"/>
                <w:color w:val="auto"/>
              </w:rPr>
              <w:t>49</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15 %</w:t>
            </w:r>
          </w:p>
        </w:tc>
        <w:tc>
          <w:tcPr>
            <w:tcW w:w="1440" w:type="dxa"/>
            <w:vAlign w:val="bottom"/>
          </w:tcPr>
          <w:p>
            <w:pPr>
              <w:jc w:val="right"/>
              <w:ind w:right="110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75</w:t>
            </w:r>
          </w:p>
        </w:tc>
        <w:tc>
          <w:tcPr>
            <w:tcW w:w="2100" w:type="dxa"/>
            <w:vAlign w:val="bottom"/>
          </w:tcPr>
          <w:p>
            <w:pPr>
              <w:ind w:left="1580"/>
              <w:spacing w:after="0"/>
              <w:rPr>
                <w:sz w:val="20"/>
                <w:szCs w:val="20"/>
                <w:color w:val="auto"/>
              </w:rPr>
            </w:pPr>
            <w:r>
              <w:rPr>
                <w:rFonts w:ascii="Arial" w:cs="Arial" w:eastAsia="Arial" w:hAnsi="Arial"/>
                <w:sz w:val="16"/>
                <w:szCs w:val="16"/>
                <w:color w:val="auto"/>
              </w:rPr>
              <w:t>19 %</w:t>
            </w: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1880" w:type="dxa"/>
            <w:vAlign w:val="bottom"/>
          </w:tcPr>
          <w:p>
            <w:pPr>
              <w:jc w:val="right"/>
              <w:ind w:right="1445"/>
              <w:spacing w:after="0"/>
              <w:rPr>
                <w:sz w:val="20"/>
                <w:szCs w:val="20"/>
                <w:color w:val="auto"/>
              </w:rPr>
            </w:pPr>
            <w:r>
              <w:rPr>
                <w:rFonts w:ascii="Arial" w:cs="Arial" w:eastAsia="Arial" w:hAnsi="Arial"/>
                <w:sz w:val="16"/>
                <w:szCs w:val="16"/>
                <w:color w:val="auto"/>
              </w:rPr>
              <w:t>38</w:t>
            </w:r>
          </w:p>
        </w:tc>
        <w:tc>
          <w:tcPr>
            <w:tcW w:w="680" w:type="dxa"/>
            <w:vAlign w:val="bottom"/>
          </w:tcPr>
          <w:p>
            <w:pPr>
              <w:jc w:val="right"/>
              <w:ind w:right="299"/>
              <w:spacing w:after="0"/>
              <w:rPr>
                <w:sz w:val="20"/>
                <w:szCs w:val="20"/>
                <w:color w:val="auto"/>
              </w:rPr>
            </w:pPr>
            <w:r>
              <w:rPr>
                <w:rFonts w:ascii="Arial" w:cs="Arial" w:eastAsia="Arial" w:hAnsi="Arial"/>
                <w:sz w:val="16"/>
                <w:szCs w:val="16"/>
                <w:color w:val="auto"/>
              </w:rPr>
              <w:t>17</w:t>
            </w:r>
          </w:p>
        </w:tc>
        <w:tc>
          <w:tcPr>
            <w:tcW w:w="1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63</w:t>
            </w:r>
          </w:p>
        </w:tc>
        <w:tc>
          <w:tcPr>
            <w:tcW w:w="2100" w:type="dxa"/>
            <w:vAlign w:val="bottom"/>
          </w:tcPr>
          <w:p>
            <w:pPr>
              <w:ind w:left="1580"/>
              <w:spacing w:after="0"/>
              <w:rPr>
                <w:sz w:val="20"/>
                <w:szCs w:val="20"/>
                <w:color w:val="auto"/>
              </w:rPr>
            </w:pPr>
            <w:r>
              <w:rPr>
                <w:rFonts w:ascii="Arial" w:cs="Arial" w:eastAsia="Arial" w:hAnsi="Arial"/>
                <w:sz w:val="16"/>
                <w:szCs w:val="16"/>
                <w:color w:val="auto"/>
              </w:rPr>
              <w:t>32</w:t>
            </w:r>
          </w:p>
        </w:tc>
      </w:tr>
      <w:tr>
        <w:trPr>
          <w:trHeight w:val="209"/>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445"/>
              <w:spacing w:after="0"/>
              <w:rPr>
                <w:sz w:val="20"/>
                <w:szCs w:val="20"/>
                <w:color w:val="auto"/>
              </w:rPr>
            </w:pPr>
            <w:r>
              <w:rPr>
                <w:rFonts w:ascii="Arial" w:cs="Arial" w:eastAsia="Arial" w:hAnsi="Arial"/>
                <w:sz w:val="16"/>
                <w:szCs w:val="16"/>
                <w:color w:val="auto"/>
              </w:rPr>
              <w:t>37</w:t>
            </w: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w:t>
            </w:r>
          </w:p>
        </w:tc>
        <w:tc>
          <w:tcPr>
            <w:tcW w:w="1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10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34</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4"/>
                <w:szCs w:val="14"/>
                <w:color w:val="auto"/>
              </w:rPr>
              <w:t>Nine months ended September 30,</w:t>
            </w:r>
          </w:p>
        </w:tc>
        <w:tc>
          <w:tcPr>
            <w:tcW w:w="4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r>
      <w:tr>
        <w:trPr>
          <w:trHeight w:val="223"/>
        </w:trPr>
        <w:tc>
          <w:tcPr>
            <w:tcW w:w="336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85"/>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2011</w:t>
            </w:r>
          </w:p>
        </w:tc>
      </w:tr>
      <w:tr>
        <w:trPr>
          <w:trHeight w:val="231"/>
        </w:trPr>
        <w:tc>
          <w:tcPr>
            <w:tcW w:w="3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jc w:val="center"/>
              <w:ind w:left="965"/>
              <w:spacing w:after="0"/>
              <w:rPr>
                <w:sz w:val="20"/>
                <w:szCs w:val="20"/>
                <w:color w:val="auto"/>
              </w:rPr>
            </w:pPr>
            <w:r>
              <w:rPr>
                <w:rFonts w:ascii="Arial" w:cs="Arial" w:eastAsia="Arial" w:hAnsi="Arial"/>
                <w:sz w:val="14"/>
                <w:szCs w:val="14"/>
                <w:color w:val="auto"/>
              </w:rPr>
              <w:t>Effective</w:t>
            </w: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6"/>
        </w:trPr>
        <w:tc>
          <w:tcPr>
            <w:tcW w:w="3360" w:type="dxa"/>
            <w:vAlign w:val="bottom"/>
          </w:tcPr>
          <w:p>
            <w:pPr>
              <w:spacing w:after="0"/>
              <w:rPr>
                <w:sz w:val="18"/>
                <w:szCs w:val="18"/>
                <w:color w:val="auto"/>
              </w:rPr>
            </w:pPr>
          </w:p>
        </w:tc>
        <w:tc>
          <w:tcPr>
            <w:tcW w:w="1560" w:type="dxa"/>
            <w:vAlign w:val="bottom"/>
          </w:tcPr>
          <w:p>
            <w:pPr>
              <w:jc w:val="center"/>
              <w:ind w:left="605"/>
              <w:spacing w:after="0"/>
              <w:rPr>
                <w:sz w:val="20"/>
                <w:szCs w:val="20"/>
                <w:color w:val="auto"/>
              </w:rPr>
            </w:pPr>
            <w:r>
              <w:rPr>
                <w:rFonts w:ascii="Arial" w:cs="Arial" w:eastAsia="Arial" w:hAnsi="Arial"/>
                <w:sz w:val="14"/>
                <w:szCs w:val="14"/>
                <w:color w:val="auto"/>
                <w:w w:val="98"/>
              </w:rPr>
              <w:t>Income Tax</w:t>
            </w:r>
          </w:p>
        </w:tc>
        <w:tc>
          <w:tcPr>
            <w:tcW w:w="1880" w:type="dxa"/>
            <w:vAlign w:val="bottom"/>
          </w:tcPr>
          <w:p>
            <w:pPr>
              <w:jc w:val="center"/>
              <w:ind w:left="1005"/>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8"/>
                <w:szCs w:val="18"/>
                <w:color w:val="auto"/>
              </w:rPr>
            </w:pPr>
          </w:p>
        </w:tc>
        <w:tc>
          <w:tcPr>
            <w:tcW w:w="1440" w:type="dxa"/>
            <w:vAlign w:val="bottom"/>
          </w:tcPr>
          <w:p>
            <w:pPr>
              <w:jc w:val="center"/>
              <w:ind w:left="545"/>
              <w:spacing w:after="0"/>
              <w:rPr>
                <w:sz w:val="20"/>
                <w:szCs w:val="20"/>
                <w:color w:val="auto"/>
              </w:rPr>
            </w:pPr>
            <w:r>
              <w:rPr>
                <w:rFonts w:ascii="Arial" w:cs="Arial" w:eastAsia="Arial" w:hAnsi="Arial"/>
                <w:sz w:val="14"/>
                <w:szCs w:val="14"/>
                <w:color w:val="auto"/>
              </w:rPr>
              <w:t>Income Tax</w:t>
            </w:r>
          </w:p>
        </w:tc>
        <w:tc>
          <w:tcPr>
            <w:tcW w:w="4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880" w:type="dxa"/>
            <w:vAlign w:val="bottom"/>
            <w:tcBorders>
              <w:bottom w:val="single" w:sz="8" w:color="auto"/>
            </w:tcBorders>
          </w:tcPr>
          <w:p>
            <w:pPr>
              <w:jc w:val="center"/>
              <w:ind w:left="965"/>
              <w:spacing w:after="0"/>
              <w:rPr>
                <w:sz w:val="20"/>
                <w:szCs w:val="20"/>
                <w:color w:val="auto"/>
              </w:rPr>
            </w:pPr>
            <w:r>
              <w:rPr>
                <w:rFonts w:ascii="Arial" w:cs="Arial" w:eastAsia="Arial" w:hAnsi="Arial"/>
                <w:sz w:val="14"/>
                <w:szCs w:val="14"/>
                <w:color w:val="auto"/>
                <w:w w:val="98"/>
              </w:rPr>
              <w:t>Tax Rate</w:t>
            </w: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565"/>
              <w:spacing w:after="0"/>
              <w:rPr>
                <w:sz w:val="20"/>
                <w:szCs w:val="20"/>
                <w:color w:val="auto"/>
              </w:rPr>
            </w:pPr>
            <w:r>
              <w:rPr>
                <w:rFonts w:ascii="Arial" w:cs="Arial" w:eastAsia="Arial" w:hAnsi="Arial"/>
                <w:sz w:val="14"/>
                <w:szCs w:val="14"/>
                <w:color w:val="auto"/>
              </w:rPr>
              <w:t>Expense</w:t>
            </w:r>
          </w:p>
        </w:tc>
        <w:tc>
          <w:tcPr>
            <w:tcW w:w="4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224"/>
        </w:trPr>
        <w:tc>
          <w:tcPr>
            <w:tcW w:w="336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205"/>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445"/>
              <w:spacing w:after="0"/>
              <w:rPr>
                <w:sz w:val="20"/>
                <w:szCs w:val="20"/>
                <w:color w:val="auto"/>
              </w:rPr>
            </w:pPr>
            <w:r>
              <w:rPr>
                <w:rFonts w:ascii="Arial" w:cs="Arial" w:eastAsia="Arial" w:hAnsi="Arial"/>
                <w:sz w:val="16"/>
                <w:szCs w:val="16"/>
                <w:color w:val="auto"/>
              </w:rPr>
              <w:t>48</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8 %</w:t>
            </w:r>
          </w:p>
        </w:tc>
        <w:tc>
          <w:tcPr>
            <w:tcW w:w="1440" w:type="dxa"/>
            <w:vAlign w:val="bottom"/>
          </w:tcPr>
          <w:p>
            <w:pPr>
              <w:jc w:val="right"/>
              <w:ind w:right="110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289</w:t>
            </w:r>
          </w:p>
        </w:tc>
        <w:tc>
          <w:tcPr>
            <w:tcW w:w="2100" w:type="dxa"/>
            <w:vAlign w:val="bottom"/>
          </w:tcPr>
          <w:p>
            <w:pPr>
              <w:ind w:left="1580"/>
              <w:spacing w:after="0"/>
              <w:rPr>
                <w:sz w:val="20"/>
                <w:szCs w:val="20"/>
                <w:color w:val="auto"/>
              </w:rPr>
            </w:pPr>
            <w:r>
              <w:rPr>
                <w:rFonts w:ascii="Arial" w:cs="Arial" w:eastAsia="Arial" w:hAnsi="Arial"/>
                <w:sz w:val="16"/>
                <w:szCs w:val="16"/>
                <w:color w:val="auto"/>
              </w:rPr>
              <w:t>22 %</w:t>
            </w: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1880" w:type="dxa"/>
            <w:vAlign w:val="bottom"/>
          </w:tcPr>
          <w:p>
            <w:pPr>
              <w:jc w:val="right"/>
              <w:ind w:right="1445"/>
              <w:spacing w:after="0"/>
              <w:rPr>
                <w:sz w:val="20"/>
                <w:szCs w:val="20"/>
                <w:color w:val="auto"/>
              </w:rPr>
            </w:pPr>
            <w:r>
              <w:rPr>
                <w:rFonts w:ascii="Arial" w:cs="Arial" w:eastAsia="Arial" w:hAnsi="Arial"/>
                <w:sz w:val="16"/>
                <w:szCs w:val="16"/>
                <w:color w:val="auto"/>
              </w:rPr>
              <w:t>151</w:t>
            </w:r>
          </w:p>
        </w:tc>
        <w:tc>
          <w:tcPr>
            <w:tcW w:w="680" w:type="dxa"/>
            <w:vAlign w:val="bottom"/>
          </w:tcPr>
          <w:p>
            <w:pPr>
              <w:jc w:val="right"/>
              <w:ind w:right="299"/>
              <w:spacing w:after="0"/>
              <w:rPr>
                <w:sz w:val="20"/>
                <w:szCs w:val="20"/>
                <w:color w:val="auto"/>
              </w:rPr>
            </w:pPr>
            <w:r>
              <w:rPr>
                <w:rFonts w:ascii="Arial" w:cs="Arial" w:eastAsia="Arial" w:hAnsi="Arial"/>
                <w:sz w:val="16"/>
                <w:szCs w:val="16"/>
                <w:color w:val="auto"/>
              </w:rPr>
              <w:t>27</w:t>
            </w:r>
          </w:p>
        </w:tc>
        <w:tc>
          <w:tcPr>
            <w:tcW w:w="1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154</w:t>
            </w:r>
          </w:p>
        </w:tc>
        <w:tc>
          <w:tcPr>
            <w:tcW w:w="2100" w:type="dxa"/>
            <w:vAlign w:val="bottom"/>
          </w:tcPr>
          <w:p>
            <w:pPr>
              <w:ind w:left="1580"/>
              <w:spacing w:after="0"/>
              <w:rPr>
                <w:sz w:val="20"/>
                <w:szCs w:val="20"/>
                <w:color w:val="auto"/>
              </w:rPr>
            </w:pPr>
            <w:r>
              <w:rPr>
                <w:rFonts w:ascii="Arial" w:cs="Arial" w:eastAsia="Arial" w:hAnsi="Arial"/>
                <w:sz w:val="16"/>
                <w:szCs w:val="16"/>
                <w:color w:val="auto"/>
              </w:rPr>
              <w:t>35</w:t>
            </w:r>
          </w:p>
        </w:tc>
      </w:tr>
      <w:tr>
        <w:trPr>
          <w:trHeight w:val="209"/>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445"/>
              <w:spacing w:after="0"/>
              <w:rPr>
                <w:sz w:val="20"/>
                <w:szCs w:val="20"/>
                <w:color w:val="auto"/>
              </w:rPr>
            </w:pPr>
            <w:r>
              <w:rPr>
                <w:rFonts w:ascii="Arial" w:cs="Arial" w:eastAsia="Arial" w:hAnsi="Arial"/>
                <w:sz w:val="16"/>
                <w:szCs w:val="16"/>
                <w:color w:val="auto"/>
              </w:rPr>
              <w:t>105</w:t>
            </w: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w:t>
            </w:r>
          </w:p>
        </w:tc>
        <w:tc>
          <w:tcPr>
            <w:tcW w:w="1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10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34</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Effective Income Tax Rates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ectPr>
          <w:pgSz w:w="11900" w:h="16838" w:orient="portrait"/>
          <w:cols w:equalWidth="0" w:num="1">
            <w:col w:w="11420"/>
          </w:cols>
          <w:pgMar w:left="240" w:top="125"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lower effective income tax rate in the three months ended September 30, 2012 was primarily due to:</w:t>
      </w:r>
    </w:p>
    <w:p>
      <w:pPr>
        <w:spacing w:after="0" w:line="225" w:lineRule="exact"/>
        <w:rPr>
          <w:sz w:val="20"/>
          <w:szCs w:val="20"/>
          <w:color w:val="auto"/>
        </w:rPr>
      </w:pPr>
    </w:p>
    <w:p>
      <w:pPr>
        <w:jc w:val="both"/>
        <w:ind w:left="340" w:hanging="188"/>
        <w:spacing w:after="0" w:line="279"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$38 million income tax benefit in 2012 due to a change in the income tax treatment of certain repairs that are capitalized for book purposes, including $22 million benefit related to the 2011 U.S. federal income tax return filed in the third quarter of 2012. The change in income tax treatment was made pursuant to an Internal Revenue Service Revenue Procedure allowing certain capitalized repair costs for electric transmission and distribution assets to be deducted from taxable income when incurred for tax years beginning on or after January 1, 2011; and</w:t>
      </w:r>
    </w:p>
    <w:p>
      <w:pPr>
        <w:spacing w:after="0" w:line="194" w:lineRule="exact"/>
        <w:rPr>
          <w:rFonts w:ascii="Arial" w:cs="Arial" w:eastAsia="Arial" w:hAnsi="Arial"/>
          <w:sz w:val="17"/>
          <w:szCs w:val="17"/>
          <w:color w:val="auto"/>
        </w:rPr>
      </w:pPr>
    </w:p>
    <w:p>
      <w:pPr>
        <w:ind w:left="340" w:hanging="188"/>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higher planned renewable energy income tax credits and deferred income tax benefits related to renewable energy projects;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income tax expense in 2012 due to Mexican currency translation and inflation adjustments;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income tax expense due to unfavorable resolution of prior years’ income tax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lower effective income tax rate in the nine months ended September 30, 2012 was primarily due to:</w:t>
      </w:r>
    </w:p>
    <w:p>
      <w:pPr>
        <w:spacing w:after="0" w:line="225" w:lineRule="exact"/>
        <w:rPr>
          <w:sz w:val="20"/>
          <w:szCs w:val="20"/>
          <w:color w:val="auto"/>
        </w:rPr>
      </w:pPr>
    </w:p>
    <w:p>
      <w:pPr>
        <w:jc w:val="both"/>
        <w:ind w:left="340" w:hanging="188"/>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$54 million income tax benefit primarily associated with our decision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208"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$38 million income tax benefit in 2012 due to a change in the income tax treatment of certain repairs that are capitalized for book purposes, including $22 million benefit related to the 2011 U.S. federal income tax return filed in the third quarter of 2012, as discussed above;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higher planned renewable energy income tax credits and deferred income tax benefits related to renewable energy projects;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income in 2012 in countries with lower statutory income tax rates; such income was higher in 2011 due to the $277 million non-taxable gain from our equity method investments related to our acquisition from AEI of its investments in Chile and Peru;</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income tax expense in 2012 due to Mexican currency translation and inflation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income tax expense due to unfavorable resolution of prior years’ income tax items;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U.S. income tax on non-U.S. non-operating activity due to the expiration of the look-through rule, as we discuss below.</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spread evenly over the year. The forecasted items, anticipated on a full year basis, may include, among others, self-developed software,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deferred income tax benefit associated with the impairment of a book investment, etc.) are recorded in the interim period in which they actually occur, which can result in variability to income tax expense.</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used grant accounting for certain assets placed into service in 2012, including assets that were under construction in 2011, in anticipation of applying for cash grants. Grant accounting for cash grants is very similar to the deferral method of accounting for investment tax credits, the primary difference being the recording of a grant receivable instead of an income tax receivable.</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Under the deferral method of accounting for ITC and under grant accounting for cash grants, a deferred income tax benefit, on day one, is reflected in income tax expense by recording a deferred tax asset when renewable energy assets are placed in service. This deferred tax asset results from the day-one difference in the income tax basis and financial statement basis of the renewable energy assets, referred to as the “day-one basis difference.” The financial statement basis of the assets is reduced by 100 percent of the ITC or grant expected; U.S. federal income tax basis is reduced by only 50 percent for both ITC and grants; and state income tax basis is reduced 50 percent for grants and not at all for ITC.</w:t>
      </w:r>
    </w:p>
    <w:p>
      <w:pPr>
        <w:spacing w:after="0" w:line="1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December 2010, the Tax Relief, Unemployment Insurance Reauthorization, and Job Creation Act of 2010 (2010 Tax Act) was signed into law. The 2010 Tax Act extended for years 2010 and 2011 the U.S. federal income tax law known as the look-through rule. This rule allows, under certain situations, for certain non-operating activity (e.g., dividend income, royalty income, interest income, rental income, etc.), of a greater than 50-percent owned non-U.S. subsidiary, to not be taxed under U.S. federal income tax law. As of September 30, 2012, this rule has not yet been extended beyond 2011, which has a negative impact on Sempra Energy’s effective income tax rate for 2012.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the effective income tax rate in the three months ended September 30, 2012 was primarily due to:</w:t>
      </w:r>
    </w:p>
    <w:p>
      <w:pPr>
        <w:spacing w:after="0" w:line="225" w:lineRule="exact"/>
        <w:rPr>
          <w:sz w:val="20"/>
          <w:szCs w:val="20"/>
          <w:color w:val="auto"/>
        </w:rPr>
      </w:pPr>
    </w:p>
    <w:p>
      <w:pPr>
        <w:jc w:val="both"/>
        <w:ind w:left="340" w:hanging="188"/>
        <w:spacing w:after="0" w:line="279"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$38 million income tax benefit in 2012 due to a change in the income tax treatment of certain repairs that are capitalized for book purposes, including $22 million benefit related to the 2011 U.S. federal income tax return filed in the third quarter of 2012. The change in income tax treatment was made pursuant to an Internal Revenue Service Revenue Procedure allowing certain capitalized repair costs for electric transmission and distribution assets to be deducted from taxable income when incurred for tax years beginning on or after January 1, 2011; and</w:t>
      </w:r>
    </w:p>
    <w:p>
      <w:pPr>
        <w:spacing w:after="0" w:line="194" w:lineRule="exact"/>
        <w:rPr>
          <w:rFonts w:ascii="Arial" w:cs="Arial" w:eastAsia="Arial" w:hAnsi="Arial"/>
          <w:sz w:val="17"/>
          <w:szCs w:val="17"/>
          <w:color w:val="auto"/>
        </w:rPr>
      </w:pPr>
    </w:p>
    <w:p>
      <w:pPr>
        <w:ind w:left="340" w:hanging="188"/>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higher favorable resolutions of prior years' income tax items;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Otay Mesa VIE, as we discuss below;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the effective tax rate in the nine months ended September 30, 2012 was primarily due to:</w:t>
      </w:r>
    </w:p>
    <w:p>
      <w:pPr>
        <w:sectPr>
          <w:pgSz w:w="11900" w:h="16838" w:orient="portrait"/>
          <w:cols w:equalWidth="0" w:num="1">
            <w:col w:w="11420"/>
          </w:cols>
          <w:pgMar w:left="240" w:top="125" w:right="239" w:bottom="0" w:gutter="0" w:footer="0" w:header="0"/>
        </w:sectPr>
      </w:pPr>
    </w:p>
    <w:bookmarkStart w:id="26" w:name="page27"/>
    <w:bookmarkEnd w:id="26"/>
    <w:p>
      <w:pPr>
        <w:ind w:left="340" w:hanging="188"/>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$38 million income tax benefit in 2012 due to a change in the income tax treatment of certain repairs that are capitalized for book purposes, including $22 million benefit related to the 2011 U.S. federal income tax return filed in the third quarter of 2012, as discussed above;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higher favorable resolutions of prior years’ income tax items;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Results for Sempra Energy Consolidated and SDG&amp;E include Otay Mesa VIE, which is consolidated, and therefore, their effective income tax rates are impacted by the VIE’s stand-alone effective income tax rate.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While the effective income tax rate for the three months ended September 30, 2012 did not change significantly from the same period in 2011, it was impacted by:</w:t>
      </w:r>
    </w:p>
    <w:p>
      <w:pPr>
        <w:spacing w:after="0" w:line="170" w:lineRule="exact"/>
        <w:rPr>
          <w:sz w:val="20"/>
          <w:szCs w:val="20"/>
          <w:color w:val="auto"/>
        </w:rPr>
      </w:pPr>
    </w:p>
    <w:p>
      <w:pPr>
        <w:ind w:left="340" w:hanging="188"/>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higher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deductions for cost of removal of utility plant fixed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effective income tax rate in the nine months ended September 30, 2012 was primarily due to:</w:t>
      </w:r>
    </w:p>
    <w:p>
      <w:pPr>
        <w:spacing w:after="0" w:line="221" w:lineRule="exact"/>
        <w:rPr>
          <w:sz w:val="20"/>
          <w:szCs w:val="20"/>
          <w:color w:val="auto"/>
        </w:rPr>
      </w:pPr>
    </w:p>
    <w:p>
      <w:pPr>
        <w:ind w:left="340" w:hanging="188"/>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lower deductions for self-developed software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exclusions from taxable income of the equity portion of AFUDC.</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California Public Utilities Commission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taxes are not recorded to deferred income tax expense, but rather to a regulatory asset or liability. As a result, changes in the relative size of these items compared to pretax income, from period to period, can cause variations in the effective income tax rate. The following items are subject to flow-through treatment:</w:t>
      </w:r>
    </w:p>
    <w:p>
      <w:pPr>
        <w:spacing w:after="0" w:line="173" w:lineRule="exact"/>
        <w:rPr>
          <w:sz w:val="20"/>
          <w:szCs w:val="20"/>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repairs to a certain portion of utility plant fixed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self-developed software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pacing w:after="0" w:line="2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September 30, 2012, Sempra Energy Consolidated had an aggregate of $4.1 billion in committed lines of credit to provide liquidity and to support commercial paper and variable-rate demand notes, the major components of which we detail below. Available unused credit on these lines at September 30, 2012 was $3.5 billion.</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March 2012, Sempra Energy entered into a new $1.067 billion, five-year syndicated revolving credit agreement expiring in March 2017. Citibank, N.A. serves as administrative agent for the syndicate of 24 lenders. No single lender has greater than a 7-percent share. The new facility replaced the $1.0 billion credit agreement that was scheduled to expire in 2014.</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The facility also provides for issuance of up to $700 million of letters of credit on behalf of Sempra Energy with the amount of borrowings otherwise available under the facility reduced by the amount of outstanding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2012, Sempra Energy had $47 million of letters of credit outstanding supported by the facility.</w:t>
      </w:r>
    </w:p>
    <w:p>
      <w:pPr>
        <w:sectPr>
          <w:pgSz w:w="11900" w:h="16838" w:orient="portrait"/>
          <w:cols w:equalWidth="0" w:num="1">
            <w:col w:w="11420"/>
          </w:cols>
          <w:pgMar w:left="240" w:top="125" w:right="239" w:bottom="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March 2012, Sempra Global entered into a $2.189 billion, five-year syndicated revolving credit agreement expiring in March 2017. Citibank, N.A. serves as administrative agent for the syndicate of 25 lenders. No single lender has greater than a 7-percent share. The new facility replaced the $2.0 billion credit agreement that was scheduled to expire in 2014.</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September 30, 2012, Sempra Global had $545 million of commercial paper outstanding supported by the facility. At December 31, 2011, $400 million of commercial paper outstanding was classified as long-term debt based on management’s intent and ability to maintain this level of borrowing on a long-term basis either supported by this credit facility or by issuing long-term debt. This classification has no impact on cash flows. As a result of issuances of long-term debt in the nine months ended September 30, 2012, as we discuss below, none of the commercial paper outstanding at September 30, 2012 is classified as long-term debt.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2012, SDG&amp;E and SoCalGas entered into a new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 The new facility replaced the $800 million combined credit agreement that was scheduled to expire in 2014.</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September 30, 2012, SoCalGas had no outstanding borrowings and SDG&amp;E had $2 million of commercial paper outstanding supported by the facility. Available unused credit on the line at September 30, 2012 was $656 million at SDG&amp;E and $658 million at SoCalGas, subject to the combined limit on the facility of $877 million.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we discuss in Note 4, in 2010 and early 2011, Sempra Energy, RBS and RBS Sempra Commodities sold substantially all of the businesses and assets within the partnership in four separate transactions. In connection with each of these transactions, the buyers were, subject to certain qualifications, obligated to replace any guarantees that we had issued in connection with the applicable businesses sold with guarantees of their own. The buyers have substantially completed this process with regard to all existing, open positions, except for one remaining position expected to terminate by January 2013. For those guarantees which have not been replaced, the buyers are obligated to indemnify us in accordance with the applicable transaction documents for any claims or losses in connection with the guarantees that we issued associated with the businesses sold.</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September 30, 2012, RBS Sempra Commodities no longer requires significant working capital support. However, we have provided back-up guarantees for a portion of RBS Sempra Commodities’ remaining trading obligations. A few of these back-up guarantees may continue for a prolonged period of time. RBS has fully indemnified us for any claims or losses in connection with these arrangements, with the exception of those obligations for which JP Morgan has agreed to indemnify us. We discuss the indemnification release in Note 4. We discuss additional matters related to our investment in RBS Sempra Commodities in Note 10.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weighted average interest rates on the total short-term debt outstanding at Sempra Energy were 0.82 percent and 0.93 percent at September 30, 2012 and December 31, 2011, respectively. The weighted average interest rate on the total short-term debt outstanding at SDG&amp;E was 0.2 percent at September 30, 2012. The weighted average interest rates at Sempra Energy at December 31, 2011 include interest rates for commercial paper borrowings classified as long-term, as we discuss above.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March 2012, Sempra Energy publicly offered and sold $600 million of 2.30-percent notes maturing in 2017. In September 2012, Sempra Energy publicly offered and sold $500 million of 2.875-percent notes maturing in 2022.</w:t>
      </w:r>
    </w:p>
    <w:p>
      <w:pPr>
        <w:sectPr>
          <w:pgSz w:w="11900" w:h="16838" w:orient="portrait"/>
          <w:cols w:equalWidth="0" w:num="1">
            <w:col w:w="11420"/>
          </w:cols>
          <w:pgMar w:left="240" w:top="555" w:right="239" w:bottom="112"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March 2012, SDG&amp;E publicly offered and sold $250 million of 4.30-percent first mortgage bonds maturing in 2042.</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September 2012, SDG&amp;E remarketed $161 million of variable rate demand notes at a fixed rate of 1.65 percent maturing in 2018 and $75 million of variable rate demand notes at a fixed rate of 4.00 percent maturing in 2039.</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2012, SoCalGas publicly offered and sold $350 million of 3.75-percent first mortgage bonds maturing in 2042.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February 2012, Luz del Sur publicly offered and sold Peruvian corporate bonds, denominated in the local currency, in the amounts of $21 million at 5.97 percent maturing in 2017 and $9 million at 6.34 percent maturing in 2019. In July 2012, Luz del Sur publicly offered and sold $25 million of Peruvian corporate bonds, denominated in the local currency, at 5.44 percent and maturing in 2019.</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June 2012, Sempra Renewables obtained a $117 million loan, the proceeds of which were applied to construction costs of the Copper Mountain Solar 1 project. The loan fully matures in December 2028. To partially moderate its exposure to interest rate changes, Sempra Renewables has also entered into floating-to-fixed interest rate swaps maturing December 2028. Accordingly, $88 million of this loan has interest rates that are effectively fixed at 4.54 percent. The remaining balance bears interest at rates varying with market rates (2.86 percent at September 30, 2012).</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19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w:t>
      </w:r>
    </w:p>
    <w:p>
      <w:pPr>
        <w:jc w:val="both"/>
        <w:ind w:right="460" w:firstLine="8"/>
        <w:spacing w:after="0" w:line="255"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9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94" w:lineRule="exact"/>
        <w:rPr>
          <w:sz w:val="20"/>
          <w:szCs w:val="20"/>
          <w:color w:val="auto"/>
        </w:r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3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81" w:lineRule="exact"/>
        <w:rPr>
          <w:sz w:val="20"/>
          <w:szCs w:val="20"/>
          <w:color w:val="auto"/>
        </w:rPr>
      </w:pPr>
    </w:p>
    <w:p>
      <w:pPr>
        <w:jc w:val="both"/>
        <w:ind w:left="340" w:hanging="188"/>
        <w:spacing w:after="0" w:line="30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w:t>
      </w:r>
    </w:p>
    <w:p>
      <w:pPr>
        <w:sectPr>
          <w:pgSz w:w="11900" w:h="16838" w:orient="portrait"/>
          <w:cols w:equalWidth="0" w:num="1">
            <w:col w:w="11420"/>
          </w:cols>
          <w:pgMar w:left="240" w:top="121" w:right="239" w:bottom="0" w:gutter="0" w:footer="0" w:header="0"/>
        </w:sectPr>
      </w:pPr>
    </w:p>
    <w:bookmarkStart w:id="29" w:name="page30"/>
    <w:bookmarkEnd w:id="29"/>
    <w:p>
      <w:pPr>
        <w:ind w:left="340"/>
        <w:spacing w:after="0" w:line="277" w:lineRule="auto"/>
        <w:rPr>
          <w:sz w:val="20"/>
          <w:szCs w:val="20"/>
          <w:color w:val="auto"/>
        </w:rPr>
      </w:pPr>
      <w:r>
        <w:rPr>
          <w:rFonts w:ascii="Arial" w:cs="Arial" w:eastAsia="Arial" w:hAnsi="Arial"/>
          <w:sz w:val="18"/>
          <w:szCs w:val="18"/>
          <w:color w:val="auto"/>
        </w:rPr>
        <w:t>recovered in rates. Net commodity cost impacts on the Condensed Consolidated Statements of Operations are reflected in Cost of Electric Fuel and Purchased Power or in Cost of Natural Gas.</w:t>
      </w:r>
    </w:p>
    <w:p>
      <w:pPr>
        <w:spacing w:after="0" w:line="197" w:lineRule="exact"/>
        <w:rPr>
          <w:sz w:val="20"/>
          <w:szCs w:val="20"/>
          <w:color w:val="auto"/>
        </w:rPr>
      </w:pPr>
    </w:p>
    <w:p>
      <w:pPr>
        <w:jc w:val="both"/>
        <w:ind w:left="340" w:hanging="188"/>
        <w:spacing w:after="0" w:line="25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13" w:lineRule="exact"/>
        <w:rPr>
          <w:rFonts w:ascii="Arial" w:cs="Arial" w:eastAsia="Arial" w:hAnsi="Arial"/>
          <w:sz w:val="18"/>
          <w:szCs w:val="18"/>
          <w:color w:val="auto"/>
        </w:rPr>
      </w:pPr>
    </w:p>
    <w:p>
      <w:pPr>
        <w:jc w:val="both"/>
        <w:ind w:left="340" w:hanging="188"/>
        <w:spacing w:after="0" w:line="272"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Sempra Mexico and Sempra Natural Gas may use natural gas and electricity derivatives, as appropriate, to optimize the earnings of their assets which support the following businesses: liquefied natural gas (LNG), natural gas transportation, power generation, and Sempra Natural Gas’ storage. Gains and losses associated with undesignated derivatives are recognized in Energy-Related Businesses Revenues or in Cost of Natural Gas, Electric Fuel and Purchased Power on the Condensed Consolidated Statements of Operations. Certain of these derivatives may also be designated as cash flow hedges.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w:t>
      </w:r>
    </w:p>
    <w:p>
      <w:pPr>
        <w:spacing w:after="0" w:line="204"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as of September 30, 2012 and December 31, 2011 as follows: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426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color w:val="auto"/>
              </w:rPr>
              <w:t>September 30, 2012</w:t>
            </w:r>
          </w:p>
        </w:tc>
        <w:tc>
          <w:tcPr>
            <w:tcW w:w="2900" w:type="dxa"/>
            <w:vAlign w:val="bottom"/>
            <w:tcBorders>
              <w:bottom w:val="single" w:sz="8" w:color="auto"/>
            </w:tcBorders>
          </w:tcPr>
          <w:p>
            <w:pPr>
              <w:jc w:val="right"/>
              <w:ind w:right="1220"/>
              <w:spacing w:after="0"/>
              <w:rPr>
                <w:sz w:val="20"/>
                <w:szCs w:val="20"/>
                <w:color w:val="auto"/>
              </w:rPr>
            </w:pPr>
            <w:r>
              <w:rPr>
                <w:rFonts w:ascii="Arial" w:cs="Arial" w:eastAsia="Arial" w:hAnsi="Arial"/>
                <w:sz w:val="14"/>
                <w:szCs w:val="14"/>
                <w:color w:val="auto"/>
              </w:rPr>
              <w:t>December 31, 2011</w:t>
            </w:r>
          </w:p>
        </w:tc>
      </w:tr>
      <w:tr>
        <w:trPr>
          <w:trHeight w:val="224"/>
        </w:trPr>
        <w:tc>
          <w:tcPr>
            <w:tcW w:w="4260" w:type="dxa"/>
            <w:vAlign w:val="bottom"/>
          </w:tcPr>
          <w:p>
            <w:pPr>
              <w:spacing w:after="0"/>
              <w:rPr>
                <w:sz w:val="20"/>
                <w:szCs w:val="20"/>
                <w:color w:val="auto"/>
              </w:rPr>
            </w:pPr>
            <w:r>
              <w:rPr>
                <w:rFonts w:ascii="Arial" w:cs="Arial" w:eastAsia="Arial" w:hAnsi="Arial"/>
                <w:sz w:val="16"/>
                <w:szCs w:val="16"/>
                <w:color w:val="auto"/>
              </w:rPr>
              <w:t>California Utilities:</w:t>
            </w:r>
          </w:p>
        </w:tc>
        <w:tc>
          <w:tcPr>
            <w:tcW w:w="42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197"/>
        </w:trPr>
        <w:tc>
          <w:tcPr>
            <w:tcW w:w="4260" w:type="dxa"/>
            <w:vAlign w:val="bottom"/>
          </w:tcPr>
          <w:p>
            <w:pPr>
              <w:ind w:left="180"/>
              <w:spacing w:after="0"/>
              <w:rPr>
                <w:sz w:val="20"/>
                <w:szCs w:val="20"/>
                <w:color w:val="auto"/>
              </w:rPr>
            </w:pPr>
            <w:r>
              <w:rPr>
                <w:rFonts w:ascii="Arial" w:cs="Arial" w:eastAsia="Arial" w:hAnsi="Arial"/>
                <w:sz w:val="16"/>
                <w:szCs w:val="16"/>
                <w:color w:val="auto"/>
              </w:rPr>
              <w:t>SDG&amp;E:</w:t>
            </w:r>
          </w:p>
        </w:tc>
        <w:tc>
          <w:tcPr>
            <w:tcW w:w="42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76"/>
        </w:trPr>
        <w:tc>
          <w:tcPr>
            <w:tcW w:w="4260" w:type="dxa"/>
            <w:vAlign w:val="bottom"/>
          </w:tcPr>
          <w:p>
            <w:pPr>
              <w:ind w:left="360"/>
              <w:spacing w:after="0" w:line="176" w:lineRule="exact"/>
              <w:rPr>
                <w:sz w:val="20"/>
                <w:szCs w:val="20"/>
                <w:color w:val="auto"/>
              </w:rPr>
            </w:pPr>
            <w:r>
              <w:rPr>
                <w:rFonts w:ascii="Arial" w:cs="Arial" w:eastAsia="Arial" w:hAnsi="Arial"/>
                <w:sz w:val="16"/>
                <w:szCs w:val="16"/>
                <w:color w:val="auto"/>
              </w:rPr>
              <w:t>Natural gas</w:t>
            </w:r>
          </w:p>
        </w:tc>
        <w:tc>
          <w:tcPr>
            <w:tcW w:w="42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23 million MMBtu</w:t>
            </w:r>
          </w:p>
        </w:tc>
        <w:tc>
          <w:tcPr>
            <w:tcW w:w="290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35 million MMBtu</w:t>
            </w:r>
            <w:r>
              <w:rPr>
                <w:rFonts w:ascii="Arial" w:cs="Arial" w:eastAsia="Arial" w:hAnsi="Arial"/>
                <w:sz w:val="14"/>
                <w:szCs w:val="14"/>
                <w:color w:val="auto"/>
              </w:rPr>
              <w:t>(1)</w:t>
            </w:r>
          </w:p>
        </w:tc>
      </w:tr>
      <w:tr>
        <w:trPr>
          <w:trHeight w:val="202"/>
        </w:trPr>
        <w:tc>
          <w:tcPr>
            <w:tcW w:w="4260" w:type="dxa"/>
            <w:vAlign w:val="bottom"/>
          </w:tcPr>
          <w:p>
            <w:pPr>
              <w:ind w:left="360"/>
              <w:spacing w:after="0"/>
              <w:rPr>
                <w:sz w:val="20"/>
                <w:szCs w:val="20"/>
                <w:color w:val="auto"/>
              </w:rPr>
            </w:pPr>
            <w:r>
              <w:rPr>
                <w:rFonts w:ascii="Arial" w:cs="Arial" w:eastAsia="Arial" w:hAnsi="Arial"/>
                <w:sz w:val="16"/>
                <w:szCs w:val="16"/>
                <w:color w:val="auto"/>
              </w:rPr>
              <w:t>Congestion revenue rights</w:t>
            </w:r>
          </w:p>
        </w:tc>
        <w:tc>
          <w:tcPr>
            <w:tcW w:w="4260" w:type="dxa"/>
            <w:vAlign w:val="bottom"/>
          </w:tcPr>
          <w:p>
            <w:pPr>
              <w:jc w:val="right"/>
              <w:ind w:right="240"/>
              <w:spacing w:after="0"/>
              <w:rPr>
                <w:sz w:val="20"/>
                <w:szCs w:val="20"/>
                <w:color w:val="auto"/>
              </w:rPr>
            </w:pPr>
            <w:r>
              <w:rPr>
                <w:rFonts w:ascii="Arial" w:cs="Arial" w:eastAsia="Arial" w:hAnsi="Arial"/>
                <w:sz w:val="16"/>
                <w:szCs w:val="16"/>
                <w:color w:val="auto"/>
              </w:rPr>
              <w:t>18 million MWh</w:t>
            </w:r>
          </w:p>
        </w:tc>
        <w:tc>
          <w:tcPr>
            <w:tcW w:w="2900" w:type="dxa"/>
            <w:vAlign w:val="bottom"/>
          </w:tcPr>
          <w:p>
            <w:pPr>
              <w:jc w:val="right"/>
              <w:ind w:right="400"/>
              <w:spacing w:after="0"/>
              <w:rPr>
                <w:sz w:val="20"/>
                <w:szCs w:val="20"/>
                <w:color w:val="auto"/>
              </w:rPr>
            </w:pPr>
            <w:r>
              <w:rPr>
                <w:rFonts w:ascii="Arial" w:cs="Arial" w:eastAsia="Arial" w:hAnsi="Arial"/>
                <w:sz w:val="16"/>
                <w:szCs w:val="16"/>
                <w:color w:val="auto"/>
              </w:rPr>
              <w:t>19 million MWh</w:t>
            </w:r>
            <w:r>
              <w:rPr>
                <w:rFonts w:ascii="Arial" w:cs="Arial" w:eastAsia="Arial" w:hAnsi="Arial"/>
                <w:sz w:val="14"/>
                <w:szCs w:val="14"/>
                <w:color w:val="auto"/>
              </w:rPr>
              <w:t>(2)</w:t>
            </w:r>
          </w:p>
        </w:tc>
      </w:tr>
      <w:tr>
        <w:trPr>
          <w:trHeight w:val="425"/>
        </w:trPr>
        <w:tc>
          <w:tcPr>
            <w:tcW w:w="426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42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2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6"/>
                <w:szCs w:val="16"/>
                <w:color w:val="auto"/>
              </w:rPr>
              <w:t>Electric power</w:t>
            </w:r>
          </w:p>
        </w:tc>
        <w:tc>
          <w:tcPr>
            <w:tcW w:w="4260" w:type="dxa"/>
            <w:vAlign w:val="bottom"/>
          </w:tcPr>
          <w:p>
            <w:pPr>
              <w:jc w:val="right"/>
              <w:ind w:right="240"/>
              <w:spacing w:after="0"/>
              <w:rPr>
                <w:sz w:val="20"/>
                <w:szCs w:val="20"/>
                <w:color w:val="auto"/>
              </w:rPr>
            </w:pPr>
            <w:r>
              <w:rPr>
                <w:rFonts w:ascii="Arial" w:cs="Arial" w:eastAsia="Arial" w:hAnsi="Arial"/>
                <w:sz w:val="16"/>
                <w:szCs w:val="16"/>
                <w:color w:val="auto"/>
              </w:rPr>
              <w:t>2 million MWh</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5 million MWh</w:t>
            </w:r>
          </w:p>
        </w:tc>
      </w:tr>
      <w:tr>
        <w:trPr>
          <w:trHeight w:val="216"/>
        </w:trPr>
        <w:tc>
          <w:tcPr>
            <w:tcW w:w="426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4260" w:type="dxa"/>
            <w:vAlign w:val="bottom"/>
          </w:tcPr>
          <w:p>
            <w:pPr>
              <w:jc w:val="right"/>
              <w:ind w:right="240"/>
              <w:spacing w:after="0"/>
              <w:rPr>
                <w:sz w:val="20"/>
                <w:szCs w:val="20"/>
                <w:color w:val="auto"/>
              </w:rPr>
            </w:pPr>
            <w:r>
              <w:rPr>
                <w:rFonts w:ascii="Arial" w:cs="Arial" w:eastAsia="Arial" w:hAnsi="Arial"/>
                <w:sz w:val="16"/>
                <w:szCs w:val="16"/>
                <w:color w:val="auto"/>
              </w:rPr>
              <w:t>32 million MMBtu</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20 million MMBtu</w:t>
            </w:r>
          </w:p>
        </w:tc>
      </w:tr>
      <w:tr>
        <w:trPr>
          <w:trHeight w:val="209"/>
        </w:trPr>
        <w:tc>
          <w:tcPr>
            <w:tcW w:w="4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Sempra Mexico - natural gas</w:t>
            </w:r>
          </w:p>
        </w:tc>
        <w:tc>
          <w:tcPr>
            <w:tcW w:w="4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 million MMBtu</w:t>
            </w:r>
          </w:p>
        </w:tc>
        <w:tc>
          <w:tcPr>
            <w:tcW w:w="29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1 million MMBtu</w:t>
            </w: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28" w:lineRule="exact"/>
        <w:rPr>
          <w:rFonts w:ascii="Arial" w:cs="Arial" w:eastAsia="Arial" w:hAnsi="Arial"/>
          <w:sz w:val="14"/>
          <w:szCs w:val="14"/>
          <w:i w:val="1"/>
          <w:iCs w:val="1"/>
          <w:color w:val="auto"/>
        </w:rPr>
      </w:pPr>
    </w:p>
    <w:p>
      <w:pPr>
        <w:ind w:left="620" w:hanging="612"/>
        <w:spacing w:after="0"/>
        <w:tabs>
          <w:tab w:leader="none" w:pos="62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customers, assets and other contractual obligations, such as natural gas purchases and sales.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amounts of our interest rate derivatives as of September 30, 2012 and December 31, 2011 were: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2"/>
          </w:tcPr>
          <w:p>
            <w:pPr>
              <w:jc w:val="right"/>
              <w:ind w:right="1302"/>
              <w:spacing w:after="0"/>
              <w:rPr>
                <w:sz w:val="20"/>
                <w:szCs w:val="20"/>
                <w:color w:val="auto"/>
              </w:rPr>
            </w:pPr>
            <w:r>
              <w:rPr>
                <w:rFonts w:ascii="Arial" w:cs="Arial" w:eastAsia="Arial" w:hAnsi="Arial"/>
                <w:sz w:val="14"/>
                <w:szCs w:val="14"/>
                <w:color w:val="auto"/>
              </w:rPr>
              <w:t>September 30, 2012</w:t>
            </w: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2011</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tcPr>
          <w:p>
            <w:pPr>
              <w:spacing w:after="0"/>
              <w:rPr>
                <w:sz w:val="14"/>
                <w:szCs w:val="14"/>
                <w:color w:val="auto"/>
              </w:rPr>
            </w:pPr>
          </w:p>
        </w:tc>
        <w:tc>
          <w:tcPr>
            <w:tcW w:w="1700" w:type="dxa"/>
            <w:vAlign w:val="bottom"/>
          </w:tcPr>
          <w:p>
            <w:pPr>
              <w:jc w:val="right"/>
              <w:ind w:right="723"/>
              <w:spacing w:after="0"/>
              <w:rPr>
                <w:sz w:val="20"/>
                <w:szCs w:val="20"/>
                <w:color w:val="auto"/>
              </w:rPr>
            </w:pPr>
            <w:r>
              <w:rPr>
                <w:rFonts w:ascii="Arial" w:cs="Arial" w:eastAsia="Arial" w:hAnsi="Arial"/>
                <w:sz w:val="14"/>
                <w:szCs w:val="14"/>
                <w:color w:val="auto"/>
              </w:rPr>
              <w:t>Notional Debt</w:t>
            </w:r>
          </w:p>
        </w:tc>
        <w:tc>
          <w:tcPr>
            <w:tcW w:w="1680" w:type="dxa"/>
            <w:vAlign w:val="bottom"/>
          </w:tcPr>
          <w:p>
            <w:pPr>
              <w:jc w:val="right"/>
              <w:ind w:right="682"/>
              <w:spacing w:after="0"/>
              <w:rPr>
                <w:sz w:val="20"/>
                <w:szCs w:val="20"/>
                <w:color w:val="auto"/>
              </w:rPr>
            </w:pPr>
            <w:r>
              <w:rPr>
                <w:rFonts w:ascii="Arial" w:cs="Arial" w:eastAsia="Arial" w:hAnsi="Arial"/>
                <w:sz w:val="14"/>
                <w:szCs w:val="14"/>
                <w:color w:val="auto"/>
              </w:rPr>
              <w:t>Maturities</w:t>
            </w:r>
          </w:p>
        </w:tc>
        <w:tc>
          <w:tcPr>
            <w:tcW w:w="300" w:type="dxa"/>
            <w:vAlign w:val="bottom"/>
          </w:tcPr>
          <w:p>
            <w:pPr>
              <w:spacing w:after="0"/>
              <w:rPr>
                <w:sz w:val="14"/>
                <w:szCs w:val="14"/>
                <w:color w:val="auto"/>
              </w:rPr>
            </w:pPr>
          </w:p>
        </w:tc>
        <w:tc>
          <w:tcPr>
            <w:tcW w:w="2000" w:type="dxa"/>
            <w:vAlign w:val="bottom"/>
          </w:tcPr>
          <w:p>
            <w:pPr>
              <w:jc w:val="right"/>
              <w:ind w:right="1023"/>
              <w:spacing w:after="0"/>
              <w:rPr>
                <w:sz w:val="20"/>
                <w:szCs w:val="20"/>
                <w:color w:val="auto"/>
              </w:rPr>
            </w:pPr>
            <w:r>
              <w:rPr>
                <w:rFonts w:ascii="Arial" w:cs="Arial" w:eastAsia="Arial" w:hAnsi="Arial"/>
                <w:sz w:val="14"/>
                <w:szCs w:val="14"/>
                <w:color w:val="auto"/>
              </w:rPr>
              <w:t>Notional Debt</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Maturities</w:t>
            </w:r>
          </w:p>
        </w:tc>
      </w:tr>
      <w:tr>
        <w:trPr>
          <w:trHeight w:val="195"/>
        </w:trPr>
        <w:tc>
          <w:tcPr>
            <w:tcW w:w="20" w:type="dxa"/>
            <w:vAlign w:val="bottom"/>
          </w:tcPr>
          <w:p>
            <w:pPr>
              <w:spacing w:after="0"/>
              <w:rPr>
                <w:sz w:val="16"/>
                <w:szCs w:val="16"/>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Sempra Energy Consolidated(1)</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tcPr>
          <w:p>
            <w:pPr>
              <w:jc w:val="right"/>
              <w:ind w:right="203"/>
              <w:spacing w:after="0"/>
              <w:rPr>
                <w:sz w:val="20"/>
                <w:szCs w:val="20"/>
                <w:color w:val="auto"/>
              </w:rPr>
            </w:pPr>
            <w:r>
              <w:rPr>
                <w:rFonts w:ascii="Arial" w:cs="Arial" w:eastAsia="Arial" w:hAnsi="Arial"/>
                <w:sz w:val="16"/>
                <w:szCs w:val="16"/>
                <w:color w:val="auto"/>
              </w:rPr>
              <w:t>6-369</w:t>
            </w:r>
          </w:p>
        </w:tc>
        <w:tc>
          <w:tcPr>
            <w:tcW w:w="168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rPr>
              <w:t>2013-2028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483"/>
              <w:spacing w:after="0"/>
              <w:rPr>
                <w:sz w:val="20"/>
                <w:szCs w:val="20"/>
                <w:color w:val="auto"/>
              </w:rPr>
            </w:pPr>
            <w:r>
              <w:rPr>
                <w:rFonts w:ascii="Arial" w:cs="Arial" w:eastAsia="Arial" w:hAnsi="Arial"/>
                <w:sz w:val="16"/>
                <w:szCs w:val="16"/>
                <w:color w:val="auto"/>
              </w:rPr>
              <w:t>15-305</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2013-2019</w:t>
            </w:r>
          </w:p>
        </w:tc>
        <w:tc>
          <w:tcPr>
            <w:tcW w:w="20" w:type="dxa"/>
            <w:vAlign w:val="bottom"/>
          </w:tcPr>
          <w:p>
            <w:pPr>
              <w:spacing w:after="0"/>
              <w:rPr>
                <w:sz w:val="16"/>
                <w:szCs w:val="16"/>
                <w:color w:val="auto"/>
              </w:rPr>
            </w:pPr>
          </w:p>
        </w:tc>
      </w:tr>
      <w:tr>
        <w:trPr>
          <w:trHeight w:val="197"/>
        </w:trPr>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SDG&amp;E(1)</w:t>
            </w: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285-347</w:t>
            </w:r>
          </w:p>
        </w:tc>
        <w:tc>
          <w:tcPr>
            <w:tcW w:w="16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285-355</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2019</w:t>
            </w:r>
          </w:p>
        </w:tc>
      </w:tr>
      <w:tr>
        <w:trPr>
          <w:trHeight w:val="21"/>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640" w:hanging="632"/>
        <w:spacing w:after="0"/>
        <w:tabs>
          <w:tab w:leader="none" w:pos="6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exposed to exchange rate movements primarily as a result of our Mexican subsidiaries, which have U.S. dollar denominated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ectPr>
          <w:pgSz w:w="11900" w:h="16838" w:orient="portrait"/>
          <w:cols w:equalWidth="0" w:num="1">
            <w:col w:w="11420"/>
          </w:cols>
          <w:pgMar w:left="240" w:top="125" w:right="239" w:bottom="0" w:gutter="0" w:footer="0" w:header="0"/>
        </w:sectPr>
      </w:pPr>
    </w:p>
    <w:bookmarkStart w:id="30" w:name="page31"/>
    <w:bookmarkEnd w:id="30"/>
    <w:p>
      <w:pPr>
        <w:spacing w:after="0" w:line="1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tables provide the fair values of derivative instruments, without consideration of margin deposits held or posted, on the Condensed Consolidated Balance Sheets as of September 30, 2012 and December 31, 2011:</w:t>
      </w:r>
    </w:p>
    <w:p>
      <w:pPr>
        <w:spacing w:after="0" w:line="369" w:lineRule="exact"/>
        <w:rPr>
          <w:sz w:val="20"/>
          <w:szCs w:val="20"/>
          <w:color w:val="auto"/>
        </w:rPr>
      </w:pPr>
    </w:p>
    <w:p>
      <w:pPr>
        <w:ind w:right="4640"/>
        <w:spacing w:after="0" w:line="261"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881"/>
              <w:spacing w:after="0" w:line="158" w:lineRule="exact"/>
              <w:rPr>
                <w:sz w:val="20"/>
                <w:szCs w:val="20"/>
                <w:color w:val="auto"/>
              </w:rPr>
            </w:pPr>
            <w:r>
              <w:rPr>
                <w:rFonts w:ascii="Arial" w:cs="Arial" w:eastAsia="Arial" w:hAnsi="Arial"/>
                <w:sz w:val="14"/>
                <w:szCs w:val="14"/>
                <w:color w:val="auto"/>
              </w:rPr>
              <w:t>September 30, 2012</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1"/>
        </w:trPr>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auto"/>
              </w:rPr>
              <w:t>Deferred</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credits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liabilities: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8"/>
                <w:szCs w:val="18"/>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contracts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280" w:type="dxa"/>
            <w:vAlign w:val="bottom"/>
          </w:tcPr>
          <w:p>
            <w:pPr>
              <w:spacing w:after="0"/>
              <w:rPr>
                <w:sz w:val="18"/>
                <w:szCs w:val="18"/>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208"/>
        </w:trPr>
        <w:tc>
          <w:tcPr>
            <w:tcW w:w="5200" w:type="dxa"/>
            <w:vAlign w:val="bottom"/>
          </w:tcPr>
          <w:p>
            <w:pPr>
              <w:spacing w:after="0"/>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Sundry</w:t>
            </w:r>
          </w:p>
        </w:tc>
        <w:tc>
          <w:tcPr>
            <w:tcW w:w="280" w:type="dxa"/>
            <w:vAlign w:val="bottom"/>
          </w:tcPr>
          <w:p>
            <w:pPr>
              <w:spacing w:after="0"/>
              <w:rPr>
                <w:sz w:val="18"/>
                <w:szCs w:val="18"/>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color w:val="auto"/>
              </w:rPr>
              <w:t>derivatives(2)</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derivatives</w:t>
            </w:r>
          </w:p>
        </w:tc>
      </w:tr>
      <w:tr>
        <w:trPr>
          <w:trHeight w:val="204"/>
        </w:trPr>
        <w:tc>
          <w:tcPr>
            <w:tcW w:w="52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r>
      <w:tr>
        <w:trPr>
          <w:trHeight w:val="216"/>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20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6</w:t>
            </w:r>
          </w:p>
        </w:tc>
        <w:tc>
          <w:tcPr>
            <w:tcW w:w="30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15</w:t>
            </w:r>
          </w:p>
        </w:tc>
        <w:tc>
          <w:tcPr>
            <w:tcW w:w="28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(23)</w:t>
            </w:r>
          </w:p>
        </w:tc>
        <w:tc>
          <w:tcPr>
            <w:tcW w:w="320" w:type="dxa"/>
            <w:vAlign w:val="bottom"/>
            <w:tcBorders>
              <w:top w:val="single" w:sz="8" w:color="auto"/>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(69)</w:t>
            </w:r>
          </w:p>
        </w:tc>
        <w:tc>
          <w:tcPr>
            <w:tcW w:w="20" w:type="dxa"/>
            <w:vAlign w:val="bottom"/>
          </w:tcPr>
          <w:p>
            <w:pPr>
              <w:spacing w:after="0"/>
              <w:rPr>
                <w:sz w:val="15"/>
                <w:szCs w:val="15"/>
                <w:color w:val="auto"/>
              </w:rPr>
            </w:pP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52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520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r>
      <w:tr>
        <w:trPr>
          <w:trHeight w:val="21"/>
        </w:trPr>
        <w:tc>
          <w:tcPr>
            <w:tcW w:w="5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216"/>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(131)</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r>
      <w:tr>
        <w:trPr>
          <w:trHeight w:val="216"/>
        </w:trPr>
        <w:tc>
          <w:tcPr>
            <w:tcW w:w="520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(111)</w:t>
            </w:r>
          </w:p>
        </w:tc>
        <w:tc>
          <w:tcPr>
            <w:tcW w:w="3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111</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216"/>
        </w:trPr>
        <w:tc>
          <w:tcPr>
            <w:tcW w:w="520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176"/>
        </w:trPr>
        <w:tc>
          <w:tcPr>
            <w:tcW w:w="520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66</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(62)</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(60)</w:t>
            </w:r>
          </w:p>
        </w:tc>
        <w:tc>
          <w:tcPr>
            <w:tcW w:w="20" w:type="dxa"/>
            <w:vAlign w:val="bottom"/>
          </w:tcPr>
          <w:p>
            <w:pPr>
              <w:spacing w:after="0"/>
              <w:rPr>
                <w:sz w:val="15"/>
                <w:szCs w:val="15"/>
                <w:color w:val="auto"/>
              </w:rPr>
            </w:pP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52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216"/>
        </w:trPr>
        <w:tc>
          <w:tcPr>
            <w:tcW w:w="520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176"/>
        </w:trPr>
        <w:tc>
          <w:tcPr>
            <w:tcW w:w="520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(33)</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5"/>
                <w:szCs w:val="15"/>
                <w:color w:val="auto"/>
              </w:rPr>
            </w:pP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52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20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1</w:t>
            </w:r>
          </w:p>
        </w:tc>
        <w:tc>
          <w:tcPr>
            <w:tcW w:w="30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(1)</w:t>
            </w:r>
          </w:p>
        </w:tc>
        <w:tc>
          <w:tcPr>
            <w:tcW w:w="320" w:type="dxa"/>
            <w:vAlign w:val="bottom"/>
            <w:tcBorders>
              <w:top w:val="single" w:sz="8" w:color="auto"/>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5"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5" w:lineRule="exact"/>
        <w:rPr>
          <w:rFonts w:ascii="Arial" w:cs="Arial" w:eastAsia="Arial" w:hAnsi="Arial"/>
          <w:sz w:val="14"/>
          <w:szCs w:val="14"/>
          <w:i w:val="1"/>
          <w:iCs w:val="1"/>
          <w:color w:val="auto"/>
        </w:rPr>
      </w:pPr>
    </w:p>
    <w:p>
      <w:pPr>
        <w:ind w:left="500" w:hanging="492"/>
        <w:spacing w:after="0"/>
        <w:tabs>
          <w:tab w:leader="none" w:pos="50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5" w:lineRule="exact"/>
        <w:rPr>
          <w:rFonts w:ascii="Arial" w:cs="Arial" w:eastAsia="Arial" w:hAnsi="Arial"/>
          <w:sz w:val="14"/>
          <w:szCs w:val="14"/>
          <w:i w:val="1"/>
          <w:iCs w:val="1"/>
          <w:color w:val="auto"/>
        </w:rPr>
      </w:pPr>
    </w:p>
    <w:p>
      <w:pPr>
        <w:ind w:left="500" w:hanging="492"/>
        <w:spacing w:after="0"/>
        <w:tabs>
          <w:tab w:leader="none" w:pos="50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640"/>
        <w:spacing w:after="0" w:line="261"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902"/>
              <w:spacing w:after="0" w:line="158" w:lineRule="exact"/>
              <w:rPr>
                <w:sz w:val="20"/>
                <w:szCs w:val="20"/>
                <w:color w:val="auto"/>
              </w:rPr>
            </w:pPr>
            <w:r>
              <w:rPr>
                <w:rFonts w:ascii="Arial" w:cs="Arial" w:eastAsia="Arial" w:hAnsi="Arial"/>
                <w:sz w:val="14"/>
                <w:szCs w:val="14"/>
                <w:color w:val="auto"/>
              </w:rPr>
              <w:t>December 31, 2011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1"/>
        </w:trPr>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auto"/>
              </w:rPr>
              <w:t>Deferred</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credits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liabilities: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8"/>
                <w:szCs w:val="18"/>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contracts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280" w:type="dxa"/>
            <w:vAlign w:val="bottom"/>
          </w:tcPr>
          <w:p>
            <w:pPr>
              <w:spacing w:after="0"/>
              <w:rPr>
                <w:sz w:val="18"/>
                <w:szCs w:val="18"/>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208"/>
        </w:trPr>
        <w:tc>
          <w:tcPr>
            <w:tcW w:w="5200" w:type="dxa"/>
            <w:vAlign w:val="bottom"/>
          </w:tcPr>
          <w:p>
            <w:pPr>
              <w:spacing w:after="0"/>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Sundry</w:t>
            </w:r>
          </w:p>
        </w:tc>
        <w:tc>
          <w:tcPr>
            <w:tcW w:w="280" w:type="dxa"/>
            <w:vAlign w:val="bottom"/>
          </w:tcPr>
          <w:p>
            <w:pPr>
              <w:spacing w:after="0"/>
              <w:rPr>
                <w:sz w:val="18"/>
                <w:szCs w:val="18"/>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derivatives(2)</w:t>
            </w:r>
          </w:p>
        </w:tc>
        <w:tc>
          <w:tcPr>
            <w:tcW w:w="3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derivatives</w:t>
            </w:r>
          </w:p>
        </w:tc>
      </w:tr>
      <w:tr>
        <w:trPr>
          <w:trHeight w:val="204"/>
        </w:trPr>
        <w:tc>
          <w:tcPr>
            <w:tcW w:w="5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520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r>
      <w:tr>
        <w:trPr>
          <w:trHeight w:val="21"/>
        </w:trPr>
        <w:tc>
          <w:tcPr>
            <w:tcW w:w="5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52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520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r>
      <w:tr>
        <w:trPr>
          <w:trHeight w:val="21"/>
        </w:trPr>
        <w:tc>
          <w:tcPr>
            <w:tcW w:w="5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r>
      <w:tr>
        <w:trPr>
          <w:trHeight w:val="216"/>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156</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(148)</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r>
      <w:tr>
        <w:trPr>
          <w:trHeight w:val="216"/>
        </w:trPr>
        <w:tc>
          <w:tcPr>
            <w:tcW w:w="520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120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16"/>
        </w:trPr>
        <w:tc>
          <w:tcPr>
            <w:tcW w:w="520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176"/>
        </w:trPr>
        <w:tc>
          <w:tcPr>
            <w:tcW w:w="520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62</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51</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(87)</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(84)</w:t>
            </w:r>
          </w:p>
        </w:tc>
        <w:tc>
          <w:tcPr>
            <w:tcW w:w="20" w:type="dxa"/>
            <w:vAlign w:val="bottom"/>
          </w:tcPr>
          <w:p>
            <w:pPr>
              <w:spacing w:after="0"/>
              <w:rPr>
                <w:sz w:val="15"/>
                <w:szCs w:val="15"/>
                <w:color w:val="auto"/>
              </w:rPr>
            </w:pP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52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(55)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16"/>
        </w:trPr>
        <w:tc>
          <w:tcPr>
            <w:tcW w:w="520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176"/>
        </w:trPr>
        <w:tc>
          <w:tcPr>
            <w:tcW w:w="520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(50)</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52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20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1</w:t>
            </w:r>
          </w:p>
        </w:tc>
        <w:tc>
          <w:tcPr>
            <w:tcW w:w="30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(2)</w:t>
            </w:r>
          </w:p>
        </w:tc>
        <w:tc>
          <w:tcPr>
            <w:tcW w:w="320" w:type="dxa"/>
            <w:vAlign w:val="bottom"/>
            <w:tcBorders>
              <w:top w:val="single" w:sz="8" w:color="auto"/>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57" w:orient="portrait"/>
          <w:cols w:equalWidth="0" w:num="1">
            <w:col w:w="11420"/>
          </w:cols>
          <w:pgMar w:left="240" w:top="125" w:right="239" w:bottom="0" w:gutter="0" w:footer="0" w:header="0"/>
        </w:sectPr>
      </w:pPr>
    </w:p>
    <w:bookmarkStart w:id="31" w:name="page32"/>
    <w:bookmarkEnd w:id="31"/>
    <w:p>
      <w:pPr>
        <w:ind w:left="500" w:hanging="492"/>
        <w:spacing w:after="0"/>
        <w:tabs>
          <w:tab w:leader="none" w:pos="50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09" w:lineRule="exact"/>
        <w:rPr>
          <w:rFonts w:ascii="Arial" w:cs="Arial" w:eastAsia="Arial" w:hAnsi="Arial"/>
          <w:sz w:val="14"/>
          <w:szCs w:val="14"/>
          <w:i w:val="1"/>
          <w:iCs w:val="1"/>
          <w:color w:val="auto"/>
        </w:rPr>
      </w:pPr>
    </w:p>
    <w:p>
      <w:pPr>
        <w:ind w:left="500" w:hanging="492"/>
        <w:spacing w:after="0"/>
        <w:tabs>
          <w:tab w:leader="none" w:pos="50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5" w:lineRule="exact"/>
        <w:rPr>
          <w:rFonts w:ascii="Arial" w:cs="Arial" w:eastAsia="Arial" w:hAnsi="Arial"/>
          <w:sz w:val="14"/>
          <w:szCs w:val="14"/>
          <w:i w:val="1"/>
          <w:iCs w:val="1"/>
          <w:color w:val="auto"/>
        </w:rPr>
      </w:pPr>
    </w:p>
    <w:p>
      <w:pPr>
        <w:ind w:left="500" w:hanging="492"/>
        <w:spacing w:after="0"/>
        <w:tabs>
          <w:tab w:leader="none" w:pos="50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1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effects of derivative instruments designated as hedges on the Condensed Consolidated Statements of Operations and on Other Comprehensive Income (OCI) and Accumulated Other Comprehensive Income (AOCI) for the three months and nine months ended September 30 were:</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1"/>
        </w:trPr>
        <w:tc>
          <w:tcPr>
            <w:tcW w:w="2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Gain on derivatives recognized in earnings</w:t>
            </w:r>
          </w:p>
        </w:tc>
        <w:tc>
          <w:tcPr>
            <w:tcW w:w="3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Gain (loss) on derivatives recognized in earnings</w:t>
            </w:r>
          </w:p>
        </w:tc>
      </w:tr>
      <w:tr>
        <w:trPr>
          <w:trHeight w:val="196"/>
        </w:trPr>
        <w:tc>
          <w:tcPr>
            <w:tcW w:w="2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25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Location</w:t>
            </w: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color w:val="auto"/>
              </w:rPr>
              <w:t>2011</w:t>
            </w:r>
          </w:p>
        </w:tc>
      </w:tr>
      <w:tr>
        <w:trPr>
          <w:trHeight w:val="204"/>
        </w:trPr>
        <w:tc>
          <w:tcPr>
            <w:tcW w:w="25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5"/>
        </w:trPr>
        <w:tc>
          <w:tcPr>
            <w:tcW w:w="25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220" w:type="dxa"/>
            <w:vAlign w:val="bottom"/>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360" w:type="dxa"/>
            <w:vAlign w:val="bottom"/>
          </w:tcPr>
          <w:p>
            <w:pPr>
              <w:jc w:val="right"/>
              <w:ind w:right="110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80" w:type="dxa"/>
            <w:vAlign w:val="bottom"/>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25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2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2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360" w:type="dxa"/>
            <w:vAlign w:val="bottom"/>
            <w:tcBorders>
              <w:bottom w:val="single" w:sz="8" w:color="auto"/>
            </w:tcBorders>
          </w:tcPr>
          <w:p>
            <w:pPr>
              <w:jc w:val="right"/>
              <w:ind w:right="110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
        </w:trPr>
        <w:tc>
          <w:tcPr>
            <w:tcW w:w="2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8"/>
        </w:trPr>
        <w:tc>
          <w:tcPr>
            <w:tcW w:w="25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5"/>
        </w:trPr>
        <w:tc>
          <w:tcPr>
            <w:tcW w:w="2540" w:type="dxa"/>
            <w:vAlign w:val="bottom"/>
          </w:tcPr>
          <w:p>
            <w:pPr>
              <w:ind w:left="180"/>
              <w:spacing w:after="0"/>
              <w:rPr>
                <w:sz w:val="20"/>
                <w:szCs w:val="20"/>
                <w:color w:val="auto"/>
              </w:rPr>
            </w:pPr>
            <w:r>
              <w:rPr>
                <w:rFonts w:ascii="Arial" w:cs="Arial" w:eastAsia="Arial" w:hAnsi="Arial"/>
                <w:sz w:val="16"/>
                <w:szCs w:val="16"/>
                <w:color w:val="auto"/>
              </w:rPr>
              <w:t>Interest rate instrument</w:t>
            </w:r>
          </w:p>
        </w:tc>
        <w:tc>
          <w:tcPr>
            <w:tcW w:w="2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220" w:type="dxa"/>
            <w:vAlign w:val="bottom"/>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0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540" w:type="dxa"/>
            <w:vAlign w:val="bottom"/>
          </w:tcPr>
          <w:p>
            <w:pPr>
              <w:ind w:left="180"/>
              <w:spacing w:after="0"/>
              <w:rPr>
                <w:sz w:val="20"/>
                <w:szCs w:val="20"/>
                <w:color w:val="auto"/>
              </w:rPr>
            </w:pPr>
            <w:r>
              <w:rPr>
                <w:rFonts w:ascii="Arial" w:cs="Arial" w:eastAsia="Arial" w:hAnsi="Arial"/>
                <w:sz w:val="16"/>
                <w:szCs w:val="16"/>
                <w:color w:val="auto"/>
              </w:rPr>
              <w:t>Interest rate instrument</w:t>
            </w:r>
          </w:p>
        </w:tc>
        <w:tc>
          <w:tcPr>
            <w:tcW w:w="2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2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10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2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520" w:right="20" w:hanging="512"/>
        <w:spacing w:after="0" w:line="265" w:lineRule="auto"/>
        <w:tabs>
          <w:tab w:leader="none" w:pos="5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200" w:lineRule="exact"/>
        <w:rPr>
          <w:sz w:val="20"/>
          <w:szCs w:val="20"/>
          <w:color w:val="auto"/>
        </w:rPr>
      </w:pPr>
    </w:p>
    <w:p>
      <w:pPr>
        <w:spacing w:after="0" w:line="358" w:lineRule="exact"/>
        <w:rPr>
          <w:sz w:val="20"/>
          <w:szCs w:val="20"/>
          <w:color w:val="auto"/>
        </w:rPr>
      </w:pPr>
    </w:p>
    <w:p>
      <w:pPr>
        <w:ind w:right="3600"/>
        <w:spacing w:after="0" w:line="261" w:lineRule="auto"/>
        <w:rPr>
          <w:sz w:val="20"/>
          <w:szCs w:val="20"/>
          <w:color w:val="auto"/>
        </w:rPr>
      </w:pPr>
      <w:r>
        <w:rPr>
          <w:rFonts w:ascii="Arial" w:cs="Arial" w:eastAsia="Arial" w:hAnsi="Arial"/>
          <w:sz w:val="16"/>
          <w:szCs w:val="16"/>
          <w:b w:val="1"/>
          <w:bCs w:val="1"/>
          <w:color w:val="auto"/>
        </w:rPr>
        <w:t xml:space="preserve">CASH FLOW HEDGE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2520" w:type="dxa"/>
            <w:vAlign w:val="bottom"/>
            <w:gridSpan w:val="3"/>
          </w:tcPr>
          <w:p>
            <w:pPr>
              <w:jc w:val="center"/>
              <w:ind w:left="188"/>
              <w:spacing w:after="0"/>
              <w:rPr>
                <w:sz w:val="20"/>
                <w:szCs w:val="20"/>
                <w:color w:val="auto"/>
              </w:rPr>
            </w:pPr>
            <w:r>
              <w:rPr>
                <w:rFonts w:ascii="Arial" w:cs="Arial" w:eastAsia="Arial" w:hAnsi="Arial"/>
                <w:sz w:val="14"/>
                <w:szCs w:val="14"/>
                <w:color w:val="auto"/>
              </w:rPr>
              <w:t>Pretax loss recognized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3"/>
          </w:tcPr>
          <w:p>
            <w:pPr>
              <w:jc w:val="center"/>
              <w:ind w:right="188"/>
              <w:spacing w:after="0"/>
              <w:rPr>
                <w:sz w:val="20"/>
                <w:szCs w:val="20"/>
                <w:color w:val="auto"/>
              </w:rPr>
            </w:pPr>
            <w:r>
              <w:rPr>
                <w:rFonts w:ascii="Arial" w:cs="Arial" w:eastAsia="Arial" w:hAnsi="Arial"/>
                <w:sz w:val="14"/>
                <w:szCs w:val="14"/>
                <w:color w:val="auto"/>
              </w:rPr>
              <w:t>Gain (loss) reclassified from AOCI</w:t>
            </w:r>
          </w:p>
        </w:tc>
      </w:tr>
      <w:tr>
        <w:trPr>
          <w:trHeight w:val="181"/>
        </w:trPr>
        <w:tc>
          <w:tcPr>
            <w:tcW w:w="2960" w:type="dxa"/>
            <w:vAlign w:val="bottom"/>
          </w:tcPr>
          <w:p>
            <w:pPr>
              <w:spacing w:after="0"/>
              <w:rPr>
                <w:sz w:val="15"/>
                <w:szCs w:val="15"/>
                <w:color w:val="auto"/>
              </w:rPr>
            </w:pPr>
          </w:p>
        </w:tc>
        <w:tc>
          <w:tcPr>
            <w:tcW w:w="252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color w:val="auto"/>
              </w:rPr>
              <w:t>in OCI (effective portion)</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color w:val="auto"/>
              </w:rPr>
              <w:t>into earnings (effective portion)</w:t>
            </w:r>
          </w:p>
        </w:tc>
      </w:tr>
      <w:tr>
        <w:trPr>
          <w:trHeight w:val="196"/>
        </w:trPr>
        <w:tc>
          <w:tcPr>
            <w:tcW w:w="2960" w:type="dxa"/>
            <w:vAlign w:val="bottom"/>
          </w:tcPr>
          <w:p>
            <w:pPr>
              <w:spacing w:after="0"/>
              <w:rPr>
                <w:sz w:val="17"/>
                <w:szCs w:val="17"/>
                <w:color w:val="auto"/>
              </w:rPr>
            </w:pPr>
          </w:p>
        </w:tc>
        <w:tc>
          <w:tcPr>
            <w:tcW w:w="2920" w:type="dxa"/>
            <w:vAlign w:val="bottom"/>
            <w:gridSpan w:val="5"/>
          </w:tcPr>
          <w:p>
            <w:pPr>
              <w:jc w:val="center"/>
              <w:ind w:right="120"/>
              <w:spacing w:after="0"/>
              <w:rPr>
                <w:sz w:val="20"/>
                <w:szCs w:val="20"/>
                <w:color w:val="auto"/>
              </w:rPr>
            </w:pPr>
            <w:r>
              <w:rPr>
                <w:rFonts w:ascii="Arial" w:cs="Arial" w:eastAsia="Arial" w:hAnsi="Arial"/>
                <w:sz w:val="14"/>
                <w:szCs w:val="14"/>
                <w:color w:val="auto"/>
              </w:rPr>
              <w:t>Three months ended September 30,</w:t>
            </w: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3"/>
          </w:tcPr>
          <w:p>
            <w:pPr>
              <w:jc w:val="center"/>
              <w:ind w:right="188"/>
              <w:spacing w:after="0"/>
              <w:rPr>
                <w:sz w:val="20"/>
                <w:szCs w:val="20"/>
                <w:color w:val="auto"/>
              </w:rPr>
            </w:pPr>
            <w:r>
              <w:rPr>
                <w:rFonts w:ascii="Arial" w:cs="Arial" w:eastAsia="Arial" w:hAnsi="Arial"/>
                <w:sz w:val="14"/>
                <w:szCs w:val="14"/>
                <w:color w:val="auto"/>
              </w:rPr>
              <w:t>Three months ended September 30,</w:t>
            </w:r>
          </w:p>
        </w:tc>
      </w:tr>
      <w:tr>
        <w:trPr>
          <w:trHeight w:val="223"/>
        </w:trPr>
        <w:tc>
          <w:tcPr>
            <w:tcW w:w="296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2012</w:t>
            </w: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Location</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r>
      <w:tr>
        <w:trPr>
          <w:trHeight w:val="231"/>
        </w:trPr>
        <w:tc>
          <w:tcPr>
            <w:tcW w:w="296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instruments(1)</w:t>
            </w:r>
          </w:p>
        </w:tc>
        <w:tc>
          <w:tcPr>
            <w:tcW w:w="98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center"/>
              <w:ind w:right="100"/>
              <w:spacing w:after="0"/>
              <w:rPr>
                <w:sz w:val="20"/>
                <w:szCs w:val="20"/>
                <w:color w:val="auto"/>
              </w:rPr>
            </w:pPr>
            <w:r>
              <w:rPr>
                <w:rFonts w:ascii="Arial" w:cs="Arial" w:eastAsia="Arial" w:hAnsi="Arial"/>
                <w:sz w:val="14"/>
                <w:szCs w:val="14"/>
                <w:color w:val="auto"/>
              </w:rPr>
              <w:t>(21)</w:t>
            </w:r>
          </w:p>
        </w:tc>
        <w:tc>
          <w:tcPr>
            <w:tcW w:w="27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ind w:left="980"/>
              <w:spacing w:after="0"/>
              <w:rPr>
                <w:sz w:val="20"/>
                <w:szCs w:val="20"/>
                <w:color w:val="auto"/>
              </w:rPr>
            </w:pPr>
            <w:r>
              <w:rPr>
                <w:rFonts w:ascii="Arial" w:cs="Arial" w:eastAsia="Arial" w:hAnsi="Arial"/>
                <w:sz w:val="14"/>
                <w:szCs w:val="14"/>
                <w:color w:val="auto"/>
              </w:rPr>
              <w:t>(3)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Equity Losses,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980" w:type="dxa"/>
            <w:vAlign w:val="bottom"/>
          </w:tcPr>
          <w:p>
            <w:pPr>
              <w:spacing w:after="0"/>
              <w:rPr>
                <w:sz w:val="18"/>
                <w:szCs w:val="18"/>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4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4"/>
                <w:szCs w:val="14"/>
                <w:color w:val="auto"/>
              </w:rPr>
              <w:t>(27)</w:t>
            </w:r>
          </w:p>
        </w:tc>
        <w:tc>
          <w:tcPr>
            <w:tcW w:w="2700" w:type="dxa"/>
            <w:vAlign w:val="bottom"/>
          </w:tcPr>
          <w:p>
            <w:pPr>
              <w:ind w:left="280"/>
              <w:spacing w:after="0"/>
              <w:rPr>
                <w:sz w:val="20"/>
                <w:szCs w:val="20"/>
                <w:color w:val="auto"/>
              </w:rPr>
            </w:pPr>
            <w:r>
              <w:rPr>
                <w:rFonts w:ascii="Arial" w:cs="Arial" w:eastAsia="Arial" w:hAnsi="Arial"/>
                <w:sz w:val="14"/>
                <w:szCs w:val="14"/>
                <w:color w:val="auto"/>
              </w:rPr>
              <w:t>Before Income Tax</w:t>
            </w:r>
          </w:p>
        </w:tc>
        <w:tc>
          <w:tcPr>
            <w:tcW w:w="260" w:type="dxa"/>
            <w:vAlign w:val="bottom"/>
          </w:tcPr>
          <w:p>
            <w:pPr>
              <w:spacing w:after="0"/>
              <w:rPr>
                <w:sz w:val="18"/>
                <w:szCs w:val="18"/>
                <w:color w:val="auto"/>
              </w:rPr>
            </w:pPr>
          </w:p>
        </w:tc>
        <w:tc>
          <w:tcPr>
            <w:tcW w:w="1240" w:type="dxa"/>
            <w:vAlign w:val="bottom"/>
          </w:tcPr>
          <w:p>
            <w:pPr>
              <w:ind w:left="98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Cost of Natural Gas, Electric</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960" w:type="dxa"/>
            <w:vAlign w:val="bottom"/>
          </w:tcPr>
          <w:p>
            <w:pPr>
              <w:ind w:left="320"/>
              <w:spacing w:after="0"/>
              <w:rPr>
                <w:sz w:val="20"/>
                <w:szCs w:val="20"/>
                <w:color w:val="auto"/>
              </w:rPr>
            </w:pPr>
            <w:r>
              <w:rPr>
                <w:rFonts w:ascii="Arial" w:cs="Arial" w:eastAsia="Arial" w:hAnsi="Arial"/>
                <w:sz w:val="14"/>
                <w:szCs w:val="14"/>
                <w:color w:val="auto"/>
              </w:rPr>
              <w:t>to rate recovery</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4"/>
                <w:szCs w:val="14"/>
                <w:color w:val="auto"/>
              </w:rPr>
              <w:t>Fuel and Purchased Power</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(48)</w:t>
            </w:r>
          </w:p>
        </w:tc>
        <w:tc>
          <w:tcPr>
            <w:tcW w:w="2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instruments(1)</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(21)</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3"/>
          </w:tcPr>
          <w:p>
            <w:pPr>
              <w:spacing w:after="0" w:line="20" w:lineRule="exact"/>
              <w:rPr>
                <w:sz w:val="1"/>
                <w:szCs w:val="1"/>
                <w:color w:val="auto"/>
              </w:rPr>
            </w:pPr>
          </w:p>
        </w:tc>
      </w:tr>
      <w:tr>
        <w:trPr>
          <w:trHeight w:val="190"/>
        </w:trPr>
        <w:tc>
          <w:tcPr>
            <w:tcW w:w="2960" w:type="dxa"/>
            <w:vAlign w:val="bottom"/>
          </w:tcPr>
          <w:p>
            <w:pPr>
              <w:spacing w:after="0"/>
              <w:rPr>
                <w:sz w:val="16"/>
                <w:szCs w:val="16"/>
                <w:color w:val="auto"/>
              </w:rPr>
            </w:pPr>
          </w:p>
        </w:tc>
        <w:tc>
          <w:tcPr>
            <w:tcW w:w="252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color w:val="auto"/>
              </w:rPr>
              <w:t>Nine months ended September 30,</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2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Location</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r>
      <w:tr>
        <w:trPr>
          <w:trHeight w:val="231"/>
        </w:trPr>
        <w:tc>
          <w:tcPr>
            <w:tcW w:w="296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instruments(1)</w:t>
            </w:r>
          </w:p>
        </w:tc>
        <w:tc>
          <w:tcPr>
            <w:tcW w:w="98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center"/>
              <w:ind w:right="100"/>
              <w:spacing w:after="0"/>
              <w:rPr>
                <w:sz w:val="20"/>
                <w:szCs w:val="20"/>
                <w:color w:val="auto"/>
              </w:rPr>
            </w:pPr>
            <w:r>
              <w:rPr>
                <w:rFonts w:ascii="Arial" w:cs="Arial" w:eastAsia="Arial" w:hAnsi="Arial"/>
                <w:sz w:val="14"/>
                <w:szCs w:val="14"/>
                <w:color w:val="auto"/>
              </w:rPr>
              <w:t>(32)</w:t>
            </w:r>
          </w:p>
        </w:tc>
        <w:tc>
          <w:tcPr>
            <w:tcW w:w="27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ind w:left="980"/>
              <w:spacing w:after="0"/>
              <w:rPr>
                <w:sz w:val="20"/>
                <w:szCs w:val="20"/>
                <w:color w:val="auto"/>
              </w:rPr>
            </w:pPr>
            <w:r>
              <w:rPr>
                <w:rFonts w:ascii="Arial" w:cs="Arial" w:eastAsia="Arial" w:hAnsi="Arial"/>
                <w:sz w:val="14"/>
                <w:szCs w:val="14"/>
                <w:color w:val="auto"/>
              </w:rPr>
              <w:t>(5)</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Equity Losses,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980" w:type="dxa"/>
            <w:vAlign w:val="bottom"/>
          </w:tcPr>
          <w:p>
            <w:pPr>
              <w:spacing w:after="0"/>
              <w:rPr>
                <w:sz w:val="18"/>
                <w:szCs w:val="18"/>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4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4"/>
                <w:szCs w:val="14"/>
                <w:color w:val="auto"/>
              </w:rPr>
              <w:t>(34)</w:t>
            </w:r>
          </w:p>
        </w:tc>
        <w:tc>
          <w:tcPr>
            <w:tcW w:w="2700" w:type="dxa"/>
            <w:vAlign w:val="bottom"/>
          </w:tcPr>
          <w:p>
            <w:pPr>
              <w:ind w:left="280"/>
              <w:spacing w:after="0"/>
              <w:rPr>
                <w:sz w:val="20"/>
                <w:szCs w:val="20"/>
                <w:color w:val="auto"/>
              </w:rPr>
            </w:pPr>
            <w:r>
              <w:rPr>
                <w:rFonts w:ascii="Arial" w:cs="Arial" w:eastAsia="Arial" w:hAnsi="Arial"/>
                <w:sz w:val="14"/>
                <w:szCs w:val="14"/>
                <w:color w:val="auto"/>
              </w:rPr>
              <w:t>Before Income Tax</w:t>
            </w:r>
          </w:p>
        </w:tc>
        <w:tc>
          <w:tcPr>
            <w:tcW w:w="260" w:type="dxa"/>
            <w:vAlign w:val="bottom"/>
          </w:tcPr>
          <w:p>
            <w:pPr>
              <w:spacing w:after="0"/>
              <w:rPr>
                <w:sz w:val="18"/>
                <w:szCs w:val="18"/>
                <w:color w:val="auto"/>
              </w:rPr>
            </w:pPr>
          </w:p>
        </w:tc>
        <w:tc>
          <w:tcPr>
            <w:tcW w:w="1240" w:type="dxa"/>
            <w:vAlign w:val="bottom"/>
          </w:tcPr>
          <w:p>
            <w:pPr>
              <w:ind w:left="98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Cost of Natural Gas, Electric</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960" w:type="dxa"/>
            <w:vAlign w:val="bottom"/>
          </w:tcPr>
          <w:p>
            <w:pPr>
              <w:ind w:left="320"/>
              <w:spacing w:after="0"/>
              <w:rPr>
                <w:sz w:val="20"/>
                <w:szCs w:val="20"/>
                <w:color w:val="auto"/>
              </w:rPr>
            </w:pPr>
            <w:r>
              <w:rPr>
                <w:rFonts w:ascii="Arial" w:cs="Arial" w:eastAsia="Arial" w:hAnsi="Arial"/>
                <w:sz w:val="14"/>
                <w:szCs w:val="14"/>
                <w:color w:val="auto"/>
              </w:rPr>
              <w:t>to rate recovery</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4"/>
                <w:szCs w:val="14"/>
                <w:color w:val="auto"/>
              </w:rPr>
              <w:t>Fuel and Purchased Power</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0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(66)</w:t>
            </w:r>
          </w:p>
        </w:tc>
        <w:tc>
          <w:tcPr>
            <w:tcW w:w="2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instruments(1)</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(32)</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ind w:left="500" w:right="60" w:hanging="492"/>
        <w:spacing w:after="0" w:line="265" w:lineRule="auto"/>
        <w:tabs>
          <w:tab w:leader="none" w:pos="50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 There has been a negligible amount of ineffectiveness related to these swaps.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Sempra Energy expects that losses of $18 million, which are net of income tax benefit, that are currently recorded in AOCI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SDG&amp;E and SoCalGas expect that losses of $8 million and $1 million, respectively, which are net of income tax benefit, that are currently recorded in AOCI related to cash flow hedges will be reclassified into earnings during the next twelve months as the hedged items affect earnings.</w:t>
      </w:r>
    </w:p>
    <w:p>
      <w:pPr>
        <w:spacing w:after="0" w:line="14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all forecasted transactions, the maximum term over which we are hedging exposure to the variability of cash flows at September 30, 2012 is approximately 17 years and 7 years for Sempra Energy and SDG&amp;E, respectively. The maximum term of hedged interest rate variability related to debt at Sempra Renewables’ equity method investees is 18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recorded $1 million of hedge ineffectiveness in both the three months and nine months ended September 30, 2012.</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effects of derivative instruments not designated as hedging instruments on the Condensed Consolidated Statements of Operations for the three months and nine months ended September 30 were:</w:t>
      </w:r>
    </w:p>
    <w:p>
      <w:pPr>
        <w:sectPr>
          <w:pgSz w:w="11900" w:h="16838" w:orient="portrait"/>
          <w:cols w:equalWidth="0" w:num="1">
            <w:col w:w="11420"/>
          </w:cols>
          <w:pgMar w:left="240" w:top="130" w:right="239" w:bottom="0" w:gutter="0" w:footer="0" w:header="0"/>
        </w:sectPr>
      </w:pPr>
    </w:p>
    <w:bookmarkStart w:id="32" w:name="page33"/>
    <w:bookmarkEnd w:id="32"/>
    <w:p>
      <w:pPr>
        <w:spacing w:after="0" w:line="69" w:lineRule="exact"/>
        <w:rPr>
          <w:sz w:val="20"/>
          <w:szCs w:val="20"/>
          <w:color w:val="auto"/>
        </w:rPr>
      </w:pPr>
    </w:p>
    <w:p>
      <w:pPr>
        <w:ind w:right="2920"/>
        <w:spacing w:after="0" w:line="261" w:lineRule="auto"/>
        <w:rPr>
          <w:sz w:val="20"/>
          <w:szCs w:val="20"/>
          <w:color w:val="auto"/>
        </w:rPr>
      </w:pPr>
      <w:r>
        <w:rPr>
          <w:rFonts w:ascii="Arial" w:cs="Arial" w:eastAsia="Arial" w:hAnsi="Arial"/>
          <w:sz w:val="16"/>
          <w:szCs w:val="16"/>
          <w:b w:val="1"/>
          <w:bCs w:val="1"/>
          <w:color w:val="auto"/>
        </w:rPr>
        <w:t xml:space="preserve">UNDESIGNATED DERIVATIVE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6"/>
          </w:tcPr>
          <w:p>
            <w:pPr>
              <w:jc w:val="right"/>
              <w:ind w:right="59"/>
              <w:spacing w:after="0" w:line="158" w:lineRule="exact"/>
              <w:rPr>
                <w:sz w:val="20"/>
                <w:szCs w:val="20"/>
                <w:color w:val="auto"/>
              </w:rPr>
            </w:pPr>
            <w:r>
              <w:rPr>
                <w:rFonts w:ascii="Arial" w:cs="Arial" w:eastAsia="Arial" w:hAnsi="Arial"/>
                <w:sz w:val="14"/>
                <w:szCs w:val="14"/>
                <w:color w:val="auto"/>
              </w:rPr>
              <w:t>Gain (loss) on derivatives recognized in earnings</w:t>
            </w:r>
          </w:p>
        </w:tc>
        <w:tc>
          <w:tcPr>
            <w:tcW w:w="1000" w:type="dxa"/>
            <w:vAlign w:val="bottom"/>
            <w:tcBorders>
              <w:bottom w:val="single" w:sz="8" w:color="auto"/>
            </w:tcBorders>
          </w:tcPr>
          <w:p>
            <w:pPr>
              <w:spacing w:after="0"/>
              <w:rPr>
                <w:sz w:val="14"/>
                <w:szCs w:val="14"/>
                <w:color w:val="auto"/>
              </w:rPr>
            </w:pPr>
          </w:p>
        </w:tc>
      </w:tr>
      <w:tr>
        <w:trPr>
          <w:trHeight w:val="196"/>
        </w:trPr>
        <w:tc>
          <w:tcPr>
            <w:tcW w:w="29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Three months ended September 30,</w:t>
            </w:r>
          </w:p>
        </w:tc>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29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auto"/>
              </w:rPr>
              <w:t>Location</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2011</w:t>
            </w:r>
          </w:p>
        </w:tc>
      </w:tr>
      <w:tr>
        <w:trPr>
          <w:trHeight w:val="224"/>
        </w:trPr>
        <w:tc>
          <w:tcPr>
            <w:tcW w:w="29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7"/>
        </w:trPr>
        <w:tc>
          <w:tcPr>
            <w:tcW w:w="2980" w:type="dxa"/>
            <w:vAlign w:val="bottom"/>
          </w:tcPr>
          <w:p>
            <w:pPr>
              <w:ind w:left="180"/>
              <w:spacing w:after="0"/>
              <w:rPr>
                <w:sz w:val="20"/>
                <w:szCs w:val="20"/>
                <w:color w:val="auto"/>
              </w:rPr>
            </w:pPr>
            <w:r>
              <w:rPr>
                <w:rFonts w:ascii="Arial" w:cs="Arial" w:eastAsia="Arial" w:hAnsi="Arial"/>
                <w:sz w:val="16"/>
                <w:szCs w:val="16"/>
                <w:color w:val="auto"/>
              </w:rPr>
              <w:t>Interest rate and foreign exchange</w:t>
            </w:r>
          </w:p>
        </w:tc>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5"/>
        </w:trPr>
        <w:tc>
          <w:tcPr>
            <w:tcW w:w="2980" w:type="dxa"/>
            <w:vAlign w:val="bottom"/>
          </w:tcPr>
          <w:p>
            <w:pPr>
              <w:ind w:left="420"/>
              <w:spacing w:after="0"/>
              <w:rPr>
                <w:sz w:val="20"/>
                <w:szCs w:val="20"/>
                <w:color w:val="auto"/>
              </w:rPr>
            </w:pPr>
            <w:r>
              <w:rPr>
                <w:rFonts w:ascii="Arial" w:cs="Arial" w:eastAsia="Arial" w:hAnsi="Arial"/>
                <w:sz w:val="16"/>
                <w:szCs w:val="16"/>
                <w:color w:val="auto"/>
              </w:rPr>
              <w:t>instruments</w:t>
            </w:r>
          </w:p>
        </w:tc>
        <w:tc>
          <w:tcPr>
            <w:tcW w:w="3040" w:type="dxa"/>
            <w:vAlign w:val="bottom"/>
          </w:tcPr>
          <w:p>
            <w:pPr>
              <w:ind w:left="340"/>
              <w:spacing w:after="0"/>
              <w:rPr>
                <w:sz w:val="20"/>
                <w:szCs w:val="20"/>
                <w:color w:val="auto"/>
              </w:rPr>
            </w:pPr>
            <w:r>
              <w:rPr>
                <w:rFonts w:ascii="Arial" w:cs="Arial" w:eastAsia="Arial" w:hAnsi="Arial"/>
                <w:sz w:val="16"/>
                <w:szCs w:val="16"/>
                <w:color w:val="auto"/>
              </w:rPr>
              <w:t>Other Income, Net</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040" w:type="dxa"/>
            <w:vAlign w:val="bottom"/>
          </w:tcPr>
          <w:p>
            <w:pPr>
              <w:ind w:left="340"/>
              <w:spacing w:after="0"/>
              <w:rPr>
                <w:sz w:val="20"/>
                <w:szCs w:val="20"/>
                <w:color w:val="auto"/>
              </w:rPr>
            </w:pPr>
            <w:r>
              <w:rPr>
                <w:rFonts w:ascii="Arial" w:cs="Arial" w:eastAsia="Arial" w:hAnsi="Arial"/>
                <w:sz w:val="16"/>
                <w:szCs w:val="16"/>
                <w:color w:val="auto"/>
              </w:rPr>
              <w:t>Revenues: Energy-Related</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520"/>
              <w:spacing w:after="0"/>
              <w:rPr>
                <w:sz w:val="20"/>
                <w:szCs w:val="20"/>
                <w:color w:val="auto"/>
              </w:rPr>
            </w:pPr>
            <w:r>
              <w:rPr>
                <w:rFonts w:ascii="Arial" w:cs="Arial" w:eastAsia="Arial" w:hAnsi="Arial"/>
                <w:sz w:val="16"/>
                <w:szCs w:val="16"/>
                <w:color w:val="auto"/>
              </w:rPr>
              <w:t>Businesses</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040" w:type="dxa"/>
            <w:vAlign w:val="bottom"/>
          </w:tcPr>
          <w:p>
            <w:pPr>
              <w:ind w:left="340"/>
              <w:spacing w:after="0"/>
              <w:rPr>
                <w:sz w:val="20"/>
                <w:szCs w:val="20"/>
                <w:color w:val="auto"/>
              </w:rPr>
            </w:pPr>
            <w:r>
              <w:rPr>
                <w:rFonts w:ascii="Arial" w:cs="Arial" w:eastAsia="Arial" w:hAnsi="Arial"/>
                <w:sz w:val="16"/>
                <w:szCs w:val="16"/>
                <w:color w:val="auto"/>
              </w:rPr>
              <w:t>Cost of Natural Gas, Electric</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520"/>
              <w:spacing w:after="0"/>
              <w:rPr>
                <w:sz w:val="20"/>
                <w:szCs w:val="20"/>
                <w:color w:val="auto"/>
              </w:rPr>
            </w:pPr>
            <w:r>
              <w:rPr>
                <w:rFonts w:ascii="Arial" w:cs="Arial" w:eastAsia="Arial" w:hAnsi="Arial"/>
                <w:sz w:val="16"/>
                <w:szCs w:val="16"/>
                <w:color w:val="auto"/>
              </w:rPr>
              <w:t>Fuel and Purchased Power</w:t>
            </w:r>
          </w:p>
        </w:tc>
        <w:tc>
          <w:tcPr>
            <w:tcW w:w="3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rPr>
                <w:sz w:val="20"/>
                <w:szCs w:val="20"/>
                <w:color w:val="auto"/>
              </w:rPr>
            </w:pPr>
            <w:r>
              <w:rPr>
                <w:rFonts w:ascii="Arial" w:cs="Arial" w:eastAsia="Arial" w:hAnsi="Arial"/>
                <w:sz w:val="16"/>
                <w:szCs w:val="16"/>
                <w:color w:val="auto"/>
              </w:rPr>
              <w:t>Operation and Maintenance</w:t>
            </w:r>
          </w:p>
        </w:tc>
        <w:tc>
          <w:tcPr>
            <w:tcW w:w="3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040" w:type="dxa"/>
            <w:vAlign w:val="bottom"/>
          </w:tcPr>
          <w:p>
            <w:pPr>
              <w:ind w:left="340"/>
              <w:spacing w:after="0"/>
              <w:rPr>
                <w:sz w:val="20"/>
                <w:szCs w:val="20"/>
                <w:color w:val="auto"/>
              </w:rPr>
            </w:pPr>
            <w:r>
              <w:rPr>
                <w:rFonts w:ascii="Arial" w:cs="Arial" w:eastAsia="Arial" w:hAnsi="Arial"/>
                <w:sz w:val="16"/>
                <w:szCs w:val="16"/>
                <w:color w:val="auto"/>
              </w:rPr>
              <w:t>Cost of Electric Fuel</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520"/>
              <w:spacing w:after="0"/>
              <w:rPr>
                <w:sz w:val="20"/>
                <w:szCs w:val="20"/>
                <w:color w:val="auto"/>
              </w:rPr>
            </w:pPr>
            <w:r>
              <w:rPr>
                <w:rFonts w:ascii="Arial" w:cs="Arial" w:eastAsia="Arial" w:hAnsi="Arial"/>
                <w:sz w:val="16"/>
                <w:szCs w:val="16"/>
                <w:color w:val="auto"/>
              </w:rPr>
              <w:t>and Purchased Power</w:t>
            </w:r>
          </w:p>
        </w:tc>
        <w:tc>
          <w:tcPr>
            <w:tcW w:w="3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rPr>
                <w:sz w:val="20"/>
                <w:szCs w:val="20"/>
                <w:color w:val="auto"/>
              </w:rPr>
            </w:pPr>
            <w:r>
              <w:rPr>
                <w:rFonts w:ascii="Arial" w:cs="Arial" w:eastAsia="Arial" w:hAnsi="Arial"/>
                <w:sz w:val="16"/>
                <w:szCs w:val="16"/>
                <w:color w:val="auto"/>
              </w:rPr>
              <w:t>Cost of Natural Gas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7"/>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5"/>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rPr>
                <w:sz w:val="20"/>
                <w:szCs w:val="20"/>
                <w:color w:val="auto"/>
              </w:rPr>
            </w:pPr>
            <w:r>
              <w:rPr>
                <w:rFonts w:ascii="Arial" w:cs="Arial" w:eastAsia="Arial" w:hAnsi="Arial"/>
                <w:sz w:val="16"/>
                <w:szCs w:val="16"/>
                <w:color w:val="auto"/>
              </w:rPr>
              <w:t>Operation and Maintenance</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040" w:type="dxa"/>
            <w:vAlign w:val="bottom"/>
          </w:tcPr>
          <w:p>
            <w:pPr>
              <w:ind w:left="340"/>
              <w:spacing w:after="0"/>
              <w:rPr>
                <w:sz w:val="20"/>
                <w:szCs w:val="20"/>
                <w:color w:val="auto"/>
              </w:rPr>
            </w:pPr>
            <w:r>
              <w:rPr>
                <w:rFonts w:ascii="Arial" w:cs="Arial" w:eastAsia="Arial" w:hAnsi="Arial"/>
                <w:sz w:val="16"/>
                <w:szCs w:val="16"/>
                <w:color w:val="auto"/>
              </w:rPr>
              <w:t>Cost of Electric Fuel</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520"/>
              <w:spacing w:after="0"/>
              <w:rPr>
                <w:sz w:val="20"/>
                <w:szCs w:val="20"/>
                <w:color w:val="auto"/>
              </w:rPr>
            </w:pPr>
            <w:r>
              <w:rPr>
                <w:rFonts w:ascii="Arial" w:cs="Arial" w:eastAsia="Arial" w:hAnsi="Arial"/>
                <w:sz w:val="16"/>
                <w:szCs w:val="16"/>
                <w:color w:val="auto"/>
              </w:rPr>
              <w:t>and Purchased Power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7"/>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5"/>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rPr>
                <w:sz w:val="20"/>
                <w:szCs w:val="20"/>
                <w:color w:val="auto"/>
              </w:rPr>
            </w:pPr>
            <w:r>
              <w:rPr>
                <w:rFonts w:ascii="Arial" w:cs="Arial" w:eastAsia="Arial" w:hAnsi="Arial"/>
                <w:sz w:val="16"/>
                <w:szCs w:val="16"/>
                <w:color w:val="auto"/>
              </w:rPr>
              <w:t>Operation and Maintenance</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rPr>
                <w:sz w:val="20"/>
                <w:szCs w:val="20"/>
                <w:color w:val="auto"/>
              </w:rPr>
            </w:pPr>
            <w:r>
              <w:rPr>
                <w:rFonts w:ascii="Arial" w:cs="Arial" w:eastAsia="Arial" w:hAnsi="Arial"/>
                <w:sz w:val="16"/>
                <w:szCs w:val="16"/>
                <w:color w:val="auto"/>
              </w:rPr>
              <w:t>Cost of Natural Gas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3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Sempra Energy and SDG&amp;E, the total fair value of this group of derivative instruments in a net liability position at September 30, 2012 is $11 million and $6 million, respectively. As of September 30, 2012, if the credit ratings of Sempra Energy and SDG&amp;E were reduced below investment grade, $11 million and $6 million, respectively, of additional assets could be required to be posted as collateral for these derivative contracts.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19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Notes 1 and 2 of the Notes to Consolidated Financial Statements in the Updated Annual Report. We have not changed the valuation techniques or inputs we use to measure fair value during the nine months ended September 30, 2012.</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Recurring Fair Value Measures</w:t>
      </w:r>
    </w:p>
    <w:p>
      <w:pPr>
        <w:spacing w:after="0" w:line="2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as of September 30, 2012 and December 31, 2011.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commodity derivative assets and liabilities is determined in accordance with our netting policy, as discussed below under “Derivative Positions Net of Cash Collateral.”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financial assets and liabilities that were accounted for at fair value on a recurring basis as of September 30, 2012 and December 31, 2011 in the tables below include the following:</w:t>
      </w:r>
    </w:p>
    <w:p>
      <w:pPr>
        <w:spacing w:after="0" w:line="170" w:lineRule="exact"/>
        <w:rPr>
          <w:sz w:val="20"/>
          <w:szCs w:val="20"/>
          <w:color w:val="auto"/>
        </w:rPr>
      </w:pPr>
    </w:p>
    <w:p>
      <w:pPr>
        <w:jc w:val="both"/>
        <w:ind w:left="340" w:hanging="188"/>
        <w:spacing w:after="0" w:line="34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w:t>
      </w:r>
    </w:p>
    <w:p>
      <w:pPr>
        <w:sectPr>
          <w:pgSz w:w="11900" w:h="16908" w:orient="portrait"/>
          <w:cols w:equalWidth="0" w:num="1">
            <w:col w:w="11420"/>
          </w:cols>
          <w:pgMar w:left="240" w:top="324" w:right="239" w:bottom="0" w:gutter="0" w:footer="0" w:header="0"/>
        </w:sectPr>
      </w:pPr>
    </w:p>
    <w:bookmarkStart w:id="33" w:name="page34"/>
    <w:bookmarkEnd w:id="33"/>
    <w:p>
      <w:pPr>
        <w:jc w:val="both"/>
        <w:ind w:left="340"/>
        <w:spacing w:after="0" w:line="264" w:lineRule="auto"/>
        <w:rPr>
          <w:sz w:val="20"/>
          <w:szCs w:val="20"/>
          <w:color w:val="auto"/>
        </w:rPr>
      </w:pPr>
      <w:r>
        <w:rPr>
          <w:rFonts w:ascii="Arial" w:cs="Arial" w:eastAsia="Arial" w:hAnsi="Arial"/>
          <w:sz w:val="18"/>
          <w:szCs w:val="18"/>
          <w:color w:val="auto"/>
        </w:rPr>
        <w:t>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pacing w:after="0" w:line="208" w:lineRule="exact"/>
        <w:rPr>
          <w:sz w:val="20"/>
          <w:szCs w:val="20"/>
          <w:color w:val="auto"/>
        </w:rPr>
      </w:pPr>
    </w:p>
    <w:p>
      <w:pPr>
        <w:jc w:val="both"/>
        <w:ind w:left="340" w:hanging="188"/>
        <w:spacing w:after="0" w:line="271"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enter into commodity contracts and interest rate derivatives primarily as a means to manage price exposures.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discussed below under “Level 3 Information.” Commodity derivative contracts that are subject to rate recovery are recorded as commodity costs that are offset by regulatory account balances and are recovered in rates.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include marketable securities that we value using a market approach based on closing prices reported in the active market in which the identical security is traded (Level 1).</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into or out of Level 1, Level 2, or Level 3 for Sempra Energy Consolidated, SDG&amp;E or SoCalGas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5540"/>
        <w:spacing w:after="0" w:line="261" w:lineRule="auto"/>
        <w:rPr>
          <w:sz w:val="20"/>
          <w:szCs w:val="20"/>
          <w:color w:val="auto"/>
        </w:rPr>
      </w:pPr>
      <w:r>
        <w:rPr>
          <w:rFonts w:ascii="Arial" w:cs="Arial" w:eastAsia="Arial" w:hAnsi="Arial"/>
          <w:sz w:val="16"/>
          <w:szCs w:val="16"/>
          <w:b w:val="1"/>
          <w:bCs w:val="1"/>
          <w:color w:val="auto"/>
        </w:rPr>
        <w:t xml:space="preserve">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5"/>
          </w:tcPr>
          <w:p>
            <w:pPr>
              <w:jc w:val="right"/>
              <w:ind w:right="748"/>
              <w:spacing w:after="0" w:line="158" w:lineRule="exact"/>
              <w:rPr>
                <w:sz w:val="20"/>
                <w:szCs w:val="20"/>
                <w:color w:val="auto"/>
              </w:rPr>
            </w:pPr>
            <w:r>
              <w:rPr>
                <w:rFonts w:ascii="Arial" w:cs="Arial" w:eastAsia="Arial" w:hAnsi="Arial"/>
                <w:sz w:val="14"/>
                <w:szCs w:val="14"/>
                <w:color w:val="auto"/>
              </w:rPr>
              <w:t>At fair value as of September 30, 2012</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529</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59"/>
        </w:trPr>
        <w:tc>
          <w:tcPr>
            <w:tcW w:w="50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0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72</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8"/>
        </w:trPr>
        <w:tc>
          <w:tcPr>
            <w:tcW w:w="50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23"/>
        </w:trPr>
        <w:tc>
          <w:tcPr>
            <w:tcW w:w="50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601</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31"/>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360" w:type="dxa"/>
            <w:vAlign w:val="bottom"/>
          </w:tcPr>
          <w:p>
            <w:pPr>
              <w:spacing w:after="0"/>
              <w:rPr>
                <w:sz w:val="20"/>
                <w:szCs w:val="20"/>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0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642</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355</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21"/>
        </w:trPr>
        <w:tc>
          <w:tcPr>
            <w:tcW w:w="508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174</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0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ind w:right="768"/>
              <w:spacing w:after="0"/>
              <w:rPr>
                <w:sz w:val="20"/>
                <w:szCs w:val="20"/>
                <w:color w:val="auto"/>
              </w:rPr>
            </w:pPr>
            <w:r>
              <w:rPr>
                <w:rFonts w:ascii="Arial" w:cs="Arial" w:eastAsia="Arial" w:hAnsi="Arial"/>
                <w:sz w:val="14"/>
                <w:szCs w:val="14"/>
                <w:color w:val="auto"/>
              </w:rPr>
              <w:t>At fair value as of December 31, 2011</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468</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0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0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8"/>
        </w:trPr>
        <w:tc>
          <w:tcPr>
            <w:tcW w:w="50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3"/>
        </w:trPr>
        <w:tc>
          <w:tcPr>
            <w:tcW w:w="50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560</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231"/>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360" w:type="dxa"/>
            <w:vAlign w:val="bottom"/>
          </w:tcPr>
          <w:p>
            <w:pPr>
              <w:spacing w:after="0"/>
              <w:rPr>
                <w:sz w:val="20"/>
                <w:szCs w:val="20"/>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35</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50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590</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21"/>
        </w:trPr>
        <w:tc>
          <w:tcPr>
            <w:tcW w:w="508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At fair value as of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-1905</wp:posOffset>
            </wp:positionV>
            <wp:extent cx="390207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02075" cy="17145"/>
                    </a:xfrm>
                    <a:prstGeom prst="rect">
                      <a:avLst/>
                    </a:prstGeom>
                    <a:noFill/>
                  </pic:spPr>
                </pic:pic>
              </a:graphicData>
            </a:graphic>
          </wp:anchor>
        </w:drawing>
      </w:r>
    </w:p>
    <w:p>
      <w:pPr>
        <w:spacing w:after="0" w:line="62"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Collateral</w:t>
      </w:r>
    </w:p>
    <w:p>
      <w:pPr>
        <w:sectPr>
          <w:pgSz w:w="11900" w:h="16838" w:orient="portrait"/>
          <w:cols w:equalWidth="0" w:num="1">
            <w:col w:w="11420"/>
          </w:cols>
          <w:pgMar w:left="240" w:top="125" w:right="2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Pr>
          <w:p>
            <w:pPr>
              <w:spacing w:after="0"/>
              <w:rPr>
                <w:sz w:val="14"/>
                <w:szCs w:val="14"/>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netted</w:t>
            </w:r>
          </w:p>
        </w:tc>
        <w:tc>
          <w:tcPr>
            <w:tcW w:w="38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46"/>
        </w:trPr>
        <w:tc>
          <w:tcPr>
            <w:tcW w:w="528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2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529</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72</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16"/>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8"/>
        </w:trPr>
        <w:tc>
          <w:tcPr>
            <w:tcW w:w="52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23"/>
        </w:trPr>
        <w:tc>
          <w:tcPr>
            <w:tcW w:w="52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263</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23"/>
        </w:trPr>
        <w:tc>
          <w:tcPr>
            <w:tcW w:w="52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263</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31"/>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20"/>
                <w:szCs w:val="20"/>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20"/>
                <w:szCs w:val="20"/>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8"/>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52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622</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263</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21"/>
        </w:trPr>
        <w:tc>
          <w:tcPr>
            <w:tcW w:w="528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8"/>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(32)</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(32)</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color w:val="auto"/>
              </w:rPr>
              <w:t>At fair value as of December 31, 2011</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468</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92</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6"/>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8"/>
        </w:trPr>
        <w:tc>
          <w:tcPr>
            <w:tcW w:w="52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3"/>
        </w:trPr>
        <w:tc>
          <w:tcPr>
            <w:tcW w:w="52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23"/>
        </w:trPr>
        <w:tc>
          <w:tcPr>
            <w:tcW w:w="52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560</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231"/>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20"/>
                <w:szCs w:val="20"/>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20"/>
                <w:szCs w:val="20"/>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8"/>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2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570</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21"/>
        </w:trPr>
        <w:tc>
          <w:tcPr>
            <w:tcW w:w="528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8"/>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(61)</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(61)</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September 30, 2012</w:t>
            </w: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center"/>
              <w:ind w:right="26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ind w:left="6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454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454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45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2011</w:t>
            </w: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center"/>
              <w:ind w:right="26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ind w:left="6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454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sets forth reconciliations of changes in the fair value of CRRs classified as Level 3 in the fair value hierarchy for Sempra Energy Consolidated and SDG&amp;E:</w:t>
      </w:r>
    </w:p>
    <w:p>
      <w:pPr>
        <w:sectPr>
          <w:pgSz w:w="11900" w:h="16838" w:orient="portrait"/>
          <w:cols w:equalWidth="0" w:num="1">
            <w:col w:w="11420"/>
          </w:cols>
          <w:pgMar w:left="240" w:top="144"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color w:val="auto"/>
              </w:rPr>
              <w:t>Three months ended September 30,</w:t>
            </w:r>
          </w:p>
        </w:tc>
        <w:tc>
          <w:tcPr>
            <w:tcW w:w="0" w:type="dxa"/>
            <w:vAlign w:val="bottom"/>
          </w:tcPr>
          <w:p>
            <w:pPr>
              <w:spacing w:after="0"/>
              <w:rPr>
                <w:sz w:val="1"/>
                <w:szCs w:val="1"/>
                <w:color w:val="auto"/>
              </w:rPr>
            </w:pPr>
          </w:p>
        </w:tc>
      </w:tr>
      <w:tr>
        <w:trPr>
          <w:trHeight w:val="169"/>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spacing w:after="0"/>
              <w:rPr>
                <w:sz w:val="14"/>
                <w:szCs w:val="14"/>
                <w:color w:val="auto"/>
              </w:rPr>
            </w:pPr>
          </w:p>
        </w:tc>
        <w:tc>
          <w:tcPr>
            <w:tcW w:w="1660" w:type="dxa"/>
            <w:vAlign w:val="bottom"/>
          </w:tcPr>
          <w:p>
            <w:pPr>
              <w:jc w:val="right"/>
              <w:ind w:right="1101"/>
              <w:spacing w:after="0"/>
              <w:rPr>
                <w:sz w:val="20"/>
                <w:szCs w:val="20"/>
                <w:color w:val="auto"/>
              </w:rPr>
            </w:pPr>
            <w:r>
              <w:rPr>
                <w:rFonts w:ascii="Arial" w:cs="Arial" w:eastAsia="Arial" w:hAnsi="Arial"/>
                <w:sz w:val="14"/>
                <w:szCs w:val="14"/>
                <w:color w:val="auto"/>
              </w:rPr>
              <w:t>2012</w:t>
            </w:r>
          </w:p>
        </w:tc>
        <w:tc>
          <w:tcPr>
            <w:tcW w:w="480" w:type="dxa"/>
            <w:vAlign w:val="bottom"/>
          </w:tcPr>
          <w:p>
            <w:pPr>
              <w:spacing w:after="0"/>
              <w:rPr>
                <w:sz w:val="14"/>
                <w:szCs w:val="14"/>
                <w:color w:val="auto"/>
              </w:rPr>
            </w:pPr>
          </w:p>
        </w:tc>
        <w:tc>
          <w:tcPr>
            <w:tcW w:w="1440" w:type="dxa"/>
            <w:vAlign w:val="bottom"/>
          </w:tcPr>
          <w:p>
            <w:pPr>
              <w:jc w:val="right"/>
              <w:ind w:right="86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as of July 1</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13</w:t>
            </w:r>
          </w:p>
        </w:tc>
        <w:tc>
          <w:tcPr>
            <w:tcW w:w="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Realized and unrealized gains</w:t>
            </w:r>
          </w:p>
        </w:tc>
        <w:tc>
          <w:tcPr>
            <w:tcW w:w="740" w:type="dxa"/>
            <w:vAlign w:val="bottom"/>
          </w:tcPr>
          <w:p>
            <w:pPr>
              <w:spacing w:after="0"/>
              <w:rPr>
                <w:sz w:val="17"/>
                <w:szCs w:val="17"/>
                <w:color w:val="auto"/>
              </w:rPr>
            </w:pPr>
          </w:p>
        </w:tc>
        <w:tc>
          <w:tcPr>
            <w:tcW w:w="1660" w:type="dxa"/>
            <w:vAlign w:val="bottom"/>
          </w:tcPr>
          <w:p>
            <w:pPr>
              <w:jc w:val="right"/>
              <w:ind w:right="221"/>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Allocated transmission instruments</w:t>
            </w:r>
          </w:p>
        </w:tc>
        <w:tc>
          <w:tcPr>
            <w:tcW w:w="740" w:type="dxa"/>
            <w:vAlign w:val="bottom"/>
          </w:tcPr>
          <w:p>
            <w:pPr>
              <w:spacing w:after="0"/>
              <w:rPr>
                <w:sz w:val="18"/>
                <w:szCs w:val="18"/>
                <w:color w:val="auto"/>
              </w:rPr>
            </w:pPr>
          </w:p>
        </w:tc>
        <w:tc>
          <w:tcPr>
            <w:tcW w:w="1660" w:type="dxa"/>
            <w:vAlign w:val="bottom"/>
          </w:tcPr>
          <w:p>
            <w:pPr>
              <w:jc w:val="right"/>
              <w:ind w:right="221"/>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7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(23)</w:t>
            </w: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7100" w:type="dxa"/>
            <w:vAlign w:val="bottom"/>
            <w:gridSpan w:val="2"/>
          </w:tcPr>
          <w:p>
            <w:pPr>
              <w:spacing w:after="0" w:line="169" w:lineRule="exact"/>
              <w:rPr>
                <w:sz w:val="20"/>
                <w:szCs w:val="20"/>
                <w:color w:val="auto"/>
              </w:rPr>
            </w:pPr>
            <w:r>
              <w:rPr>
                <w:rFonts w:ascii="Arial" w:cs="Arial" w:eastAsia="Arial" w:hAnsi="Arial"/>
                <w:sz w:val="16"/>
                <w:szCs w:val="16"/>
                <w:color w:val="auto"/>
              </w:rPr>
              <w:t>Balance as of September 30</w:t>
            </w:r>
          </w:p>
        </w:tc>
        <w:tc>
          <w:tcPr>
            <w:tcW w:w="7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line="176" w:lineRule="exact"/>
              <w:rPr>
                <w:sz w:val="20"/>
                <w:szCs w:val="20"/>
                <w:color w:val="auto"/>
              </w:rPr>
            </w:pPr>
            <w:r>
              <w:rPr>
                <w:rFonts w:ascii="Arial" w:cs="Arial" w:eastAsia="Arial" w:hAnsi="Arial"/>
                <w:sz w:val="16"/>
                <w:szCs w:val="16"/>
                <w:color w:val="auto"/>
              </w:rPr>
              <w:t>23</w:t>
            </w:r>
          </w:p>
        </w:tc>
        <w:tc>
          <w:tcPr>
            <w:tcW w:w="4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Change in unrealized gains or losses relating to</w:t>
            </w: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10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September 30</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69"/>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spacing w:after="0"/>
              <w:rPr>
                <w:sz w:val="14"/>
                <w:szCs w:val="14"/>
                <w:color w:val="auto"/>
              </w:rPr>
            </w:pPr>
          </w:p>
        </w:tc>
        <w:tc>
          <w:tcPr>
            <w:tcW w:w="1660" w:type="dxa"/>
            <w:vAlign w:val="bottom"/>
          </w:tcPr>
          <w:p>
            <w:pPr>
              <w:jc w:val="right"/>
              <w:ind w:right="1101"/>
              <w:spacing w:after="0"/>
              <w:rPr>
                <w:sz w:val="20"/>
                <w:szCs w:val="20"/>
                <w:color w:val="auto"/>
              </w:rPr>
            </w:pPr>
            <w:r>
              <w:rPr>
                <w:rFonts w:ascii="Arial" w:cs="Arial" w:eastAsia="Arial" w:hAnsi="Arial"/>
                <w:sz w:val="14"/>
                <w:szCs w:val="14"/>
                <w:color w:val="auto"/>
              </w:rPr>
              <w:t>2012</w:t>
            </w:r>
          </w:p>
        </w:tc>
        <w:tc>
          <w:tcPr>
            <w:tcW w:w="480" w:type="dxa"/>
            <w:vAlign w:val="bottom"/>
          </w:tcPr>
          <w:p>
            <w:pPr>
              <w:spacing w:after="0"/>
              <w:rPr>
                <w:sz w:val="14"/>
                <w:szCs w:val="14"/>
                <w:color w:val="auto"/>
              </w:rPr>
            </w:pPr>
          </w:p>
        </w:tc>
        <w:tc>
          <w:tcPr>
            <w:tcW w:w="1440" w:type="dxa"/>
            <w:vAlign w:val="bottom"/>
          </w:tcPr>
          <w:p>
            <w:pPr>
              <w:jc w:val="right"/>
              <w:ind w:right="86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as of January 1</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23</w:t>
            </w:r>
          </w:p>
        </w:tc>
        <w:tc>
          <w:tcPr>
            <w:tcW w:w="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Realized and unrealized gains</w:t>
            </w:r>
          </w:p>
        </w:tc>
        <w:tc>
          <w:tcPr>
            <w:tcW w:w="740" w:type="dxa"/>
            <w:vAlign w:val="bottom"/>
          </w:tcPr>
          <w:p>
            <w:pPr>
              <w:spacing w:after="0"/>
              <w:rPr>
                <w:sz w:val="17"/>
                <w:szCs w:val="17"/>
                <w:color w:val="auto"/>
              </w:rPr>
            </w:pPr>
          </w:p>
        </w:tc>
        <w:tc>
          <w:tcPr>
            <w:tcW w:w="1660" w:type="dxa"/>
            <w:vAlign w:val="bottom"/>
          </w:tcPr>
          <w:p>
            <w:pPr>
              <w:jc w:val="right"/>
              <w:ind w:right="221"/>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Allocated transmission instruments</w:t>
            </w:r>
          </w:p>
        </w:tc>
        <w:tc>
          <w:tcPr>
            <w:tcW w:w="740" w:type="dxa"/>
            <w:vAlign w:val="bottom"/>
          </w:tcPr>
          <w:p>
            <w:pPr>
              <w:spacing w:after="0"/>
              <w:rPr>
                <w:sz w:val="18"/>
                <w:szCs w:val="18"/>
                <w:color w:val="auto"/>
              </w:rPr>
            </w:pPr>
          </w:p>
        </w:tc>
        <w:tc>
          <w:tcPr>
            <w:tcW w:w="1660" w:type="dxa"/>
            <w:vAlign w:val="bottom"/>
          </w:tcPr>
          <w:p>
            <w:pPr>
              <w:jc w:val="right"/>
              <w:ind w:right="221"/>
              <w:spacing w:after="0"/>
              <w:rPr>
                <w:sz w:val="20"/>
                <w:szCs w:val="20"/>
                <w:color w:val="auto"/>
              </w:rPr>
            </w:pPr>
            <w:r>
              <w:rPr>
                <w:rFonts w:ascii="Arial" w:cs="Arial" w:eastAsia="Arial" w:hAnsi="Arial"/>
                <w:sz w:val="16"/>
                <w:szCs w:val="16"/>
                <w:color w:val="auto"/>
              </w:rPr>
              <w:t>18</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7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(41)</w:t>
            </w: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6"/>
        </w:trPr>
        <w:tc>
          <w:tcPr>
            <w:tcW w:w="7100" w:type="dxa"/>
            <w:vAlign w:val="bottom"/>
            <w:gridSpan w:val="2"/>
          </w:tcPr>
          <w:p>
            <w:pPr>
              <w:spacing w:after="0" w:line="169" w:lineRule="exact"/>
              <w:rPr>
                <w:sz w:val="20"/>
                <w:szCs w:val="20"/>
                <w:color w:val="auto"/>
              </w:rPr>
            </w:pPr>
            <w:r>
              <w:rPr>
                <w:rFonts w:ascii="Arial" w:cs="Arial" w:eastAsia="Arial" w:hAnsi="Arial"/>
                <w:sz w:val="16"/>
                <w:szCs w:val="16"/>
                <w:color w:val="auto"/>
              </w:rPr>
              <w:t>Balance as of September 30</w:t>
            </w:r>
          </w:p>
        </w:tc>
        <w:tc>
          <w:tcPr>
            <w:tcW w:w="7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line="176" w:lineRule="exact"/>
              <w:rPr>
                <w:sz w:val="20"/>
                <w:szCs w:val="20"/>
                <w:color w:val="auto"/>
              </w:rPr>
            </w:pPr>
            <w:r>
              <w:rPr>
                <w:rFonts w:ascii="Arial" w:cs="Arial" w:eastAsia="Arial" w:hAnsi="Arial"/>
                <w:sz w:val="16"/>
                <w:szCs w:val="16"/>
                <w:color w:val="auto"/>
              </w:rPr>
              <w:t>23</w:t>
            </w:r>
          </w:p>
        </w:tc>
        <w:tc>
          <w:tcPr>
            <w:tcW w:w="4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Change in unrealized gains or losses relating to</w:t>
            </w: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10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September 30</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Independent System Operator (ISO), an objective source. The impact associated with discounting is negligible. Because auction prices are a less observable input, these instruments are classified as Level 3. Auction prices range from $(3) per MWh to $5 per MWh at a given location, and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The earnings impacts of CRRs are deferred and recorded in regulatory accounts to the extent they are recoverable or refundable through rates. Upon settlement, CRRs are included in Cost of Electric Fuel and Purchased Power on the Condensed Consolidated Statements of Operations.</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Condensed Consolidated Balance Sheet reflects the offsetting of net derivative positions with fair value amounts for cash collateral with the same counterparty when management believes a legal right of offset exists.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amount of fair value of cash collateral receivables that were not offset in the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December 31, 2011:</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3940" w:type="dxa"/>
            <w:vAlign w:val="bottom"/>
          </w:tcPr>
          <w:p>
            <w:pPr>
              <w:jc w:val="center"/>
              <w:ind w:left="2485"/>
              <w:spacing w:after="0"/>
              <w:rPr>
                <w:sz w:val="20"/>
                <w:szCs w:val="20"/>
                <w:color w:val="auto"/>
              </w:rPr>
            </w:pPr>
            <w:r>
              <w:rPr>
                <w:rFonts w:ascii="Arial" w:cs="Arial" w:eastAsia="Arial" w:hAnsi="Arial"/>
                <w:sz w:val="14"/>
                <w:szCs w:val="14"/>
                <w:color w:val="auto"/>
              </w:rPr>
              <w:t>September 30,</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ind w:right="64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4"/>
        </w:trPr>
        <w:tc>
          <w:tcPr>
            <w:tcW w:w="4680" w:type="dxa"/>
            <w:vAlign w:val="bottom"/>
            <w:tcBorders>
              <w:bottom w:val="single" w:sz="8" w:color="auto"/>
            </w:tcBorders>
            <w:vMerge w:val="continue"/>
          </w:tcPr>
          <w:p>
            <w:pPr>
              <w:spacing w:after="0"/>
              <w:rPr>
                <w:sz w:val="14"/>
                <w:szCs w:val="14"/>
                <w:color w:val="auto"/>
              </w:rPr>
            </w:pPr>
          </w:p>
        </w:tc>
        <w:tc>
          <w:tcPr>
            <w:tcW w:w="3940" w:type="dxa"/>
            <w:vAlign w:val="bottom"/>
            <w:tcBorders>
              <w:bottom w:val="single" w:sz="8" w:color="auto"/>
            </w:tcBorders>
          </w:tcPr>
          <w:p>
            <w:pPr>
              <w:jc w:val="right"/>
              <w:ind w:right="485"/>
              <w:spacing w:after="0" w:line="157" w:lineRule="exact"/>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43"/>
              <w:spacing w:after="0" w:line="157"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5"/>
        </w:trPr>
        <w:tc>
          <w:tcPr>
            <w:tcW w:w="468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3940" w:type="dxa"/>
            <w:vAlign w:val="bottom"/>
          </w:tcPr>
          <w:p>
            <w:pPr>
              <w:jc w:val="right"/>
              <w:ind w:right="1205"/>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46</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4680" w:type="dxa"/>
            <w:vAlign w:val="bottom"/>
          </w:tcPr>
          <w:p>
            <w:pPr>
              <w:spacing w:after="0"/>
              <w:rPr>
                <w:sz w:val="20"/>
                <w:szCs w:val="20"/>
                <w:color w:val="auto"/>
              </w:rPr>
            </w:pPr>
            <w:r>
              <w:rPr>
                <w:rFonts w:ascii="Arial" w:cs="Arial" w:eastAsia="Arial" w:hAnsi="Arial"/>
                <w:sz w:val="16"/>
                <w:szCs w:val="16"/>
                <w:color w:val="auto"/>
              </w:rPr>
              <w:t>SDG&amp;E</w:t>
            </w:r>
          </w:p>
        </w:tc>
        <w:tc>
          <w:tcPr>
            <w:tcW w:w="394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certain other financial instruments at September 30, 2012 and December 31, 2011:</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color w:val="auto"/>
              </w:rPr>
              <w:t>September 30, 2012</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96"/>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522"/>
              <w:spacing w:after="0"/>
              <w:rPr>
                <w:sz w:val="20"/>
                <w:szCs w:val="20"/>
                <w:color w:val="auto"/>
              </w:rPr>
            </w:pPr>
            <w:r>
              <w:rPr>
                <w:rFonts w:ascii="Arial" w:cs="Arial" w:eastAsia="Arial" w:hAnsi="Arial"/>
                <w:sz w:val="14"/>
                <w:szCs w:val="14"/>
                <w:color w:val="auto"/>
              </w:rPr>
              <w:t>Carrying</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22"/>
              <w:spacing w:after="0"/>
              <w:rPr>
                <w:sz w:val="20"/>
                <w:szCs w:val="20"/>
                <w:color w:val="auto"/>
              </w:rPr>
            </w:pPr>
            <w:r>
              <w:rPr>
                <w:rFonts w:ascii="Arial" w:cs="Arial" w:eastAsia="Arial" w:hAnsi="Arial"/>
                <w:sz w:val="14"/>
                <w:szCs w:val="14"/>
                <w:color w:val="auto"/>
                <w:w w:val="99"/>
              </w:rPr>
              <w:t>Amount</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Total</w:t>
            </w:r>
          </w:p>
        </w:tc>
      </w:tr>
      <w:tr>
        <w:trPr>
          <w:trHeight w:val="22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4"/>
                <w:szCs w:val="14"/>
                <w:color w:val="auto"/>
              </w:rPr>
              <w:t>(1)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16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4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11,727</w:t>
            </w:r>
          </w:p>
        </w:tc>
        <w:tc>
          <w:tcPr>
            <w:tcW w:w="40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12,556</w:t>
            </w:r>
          </w:p>
        </w:tc>
        <w:tc>
          <w:tcPr>
            <w:tcW w:w="860" w:type="dxa"/>
            <w:vAlign w:val="bottom"/>
          </w:tcPr>
          <w:p>
            <w:pPr>
              <w:spacing w:after="0"/>
              <w:rPr>
                <w:sz w:val="18"/>
                <w:szCs w:val="18"/>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755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13,311</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108</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4,137</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4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4,308</w:t>
            </w:r>
          </w:p>
        </w:tc>
        <w:tc>
          <w:tcPr>
            <w:tcW w:w="8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347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4,655</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86</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1,662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4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1,872</w:t>
            </w:r>
          </w:p>
        </w:tc>
        <w:tc>
          <w:tcPr>
            <w:tcW w:w="8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1,872</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24</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6"/>
        </w:trPr>
        <w:tc>
          <w:tcPr>
            <w:tcW w:w="4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color w:val="auto"/>
              </w:rPr>
              <w:t>December 31, 2011</w:t>
            </w: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96"/>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522"/>
              <w:spacing w:after="0"/>
              <w:rPr>
                <w:sz w:val="20"/>
                <w:szCs w:val="20"/>
                <w:color w:val="auto"/>
              </w:rPr>
            </w:pPr>
            <w:r>
              <w:rPr>
                <w:rFonts w:ascii="Arial" w:cs="Arial" w:eastAsia="Arial" w:hAnsi="Arial"/>
                <w:sz w:val="14"/>
                <w:szCs w:val="14"/>
                <w:color w:val="auto"/>
              </w:rPr>
              <w:t>Carrying</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22"/>
              <w:spacing w:after="0"/>
              <w:rPr>
                <w:sz w:val="20"/>
                <w:szCs w:val="20"/>
                <w:color w:val="auto"/>
              </w:rPr>
            </w:pPr>
            <w:r>
              <w:rPr>
                <w:rFonts w:ascii="Arial" w:cs="Arial" w:eastAsia="Arial" w:hAnsi="Arial"/>
                <w:sz w:val="14"/>
                <w:szCs w:val="14"/>
                <w:color w:val="auto"/>
                <w:w w:val="99"/>
              </w:rPr>
              <w:t>Amount</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Total</w:t>
            </w:r>
          </w:p>
        </w:tc>
      </w:tr>
      <w:tr>
        <w:trPr>
          <w:trHeight w:val="22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38" w:orient="portrait"/>
          <w:cols w:equalWidth="0" w:num="1">
            <w:col w:w="11420"/>
          </w:cols>
          <w:pgMar w:left="240" w:top="370"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4"/>
                <w:szCs w:val="14"/>
                <w:color w:val="auto"/>
              </w:rPr>
              <w:t>(1)</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57"/>
        </w:trPr>
        <w:tc>
          <w:tcPr>
            <w:tcW w:w="414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94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9,826</w:t>
            </w:r>
          </w:p>
        </w:tc>
        <w:tc>
          <w:tcPr>
            <w:tcW w:w="740" w:type="dxa"/>
            <w:vAlign w:val="bottom"/>
          </w:tcPr>
          <w:p>
            <w:pPr>
              <w:spacing w:after="0"/>
              <w:rPr>
                <w:sz w:val="22"/>
                <w:szCs w:val="22"/>
                <w:color w:val="auto"/>
              </w:rPr>
            </w:pP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10,447</w:t>
            </w:r>
          </w:p>
        </w:tc>
        <w:tc>
          <w:tcPr>
            <w:tcW w:w="58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600</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11,047</w:t>
            </w:r>
          </w:p>
        </w:tc>
      </w:tr>
      <w:tr>
        <w:trPr>
          <w:trHeight w:val="209"/>
        </w:trPr>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99</w:t>
            </w: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w:t>
            </w: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7"/>
        </w:trPr>
        <w:tc>
          <w:tcPr>
            <w:tcW w:w="41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3,895</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3,933</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355</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4,288</w:t>
            </w:r>
          </w:p>
        </w:tc>
      </w:tr>
      <w:tr>
        <w:trPr>
          <w:trHeight w:val="209"/>
        </w:trPr>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79</w:t>
            </w: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w:t>
            </w: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7"/>
        </w:trPr>
        <w:tc>
          <w:tcPr>
            <w:tcW w:w="41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(4)</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1,313</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1,506</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1,506</w:t>
            </w:r>
          </w:p>
        </w:tc>
      </w:tr>
      <w:tr>
        <w:trPr>
          <w:trHeight w:val="209"/>
        </w:trPr>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w:t>
            </w: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w:t>
            </w: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ind w:left="600" w:hanging="383"/>
        <w:spacing w:after="0"/>
        <w:tabs>
          <w:tab w:leader="none" w:pos="60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We discuss our investments in affordable housing partnerships in Note 4 of the Notes to Consolidated Financial Statements in the Updated Annual Report.</w:t>
      </w:r>
    </w:p>
    <w:p>
      <w:pPr>
        <w:spacing w:after="0" w:line="5" w:lineRule="exact"/>
        <w:rPr>
          <w:rFonts w:ascii="Arial" w:cs="Arial" w:eastAsia="Arial" w:hAnsi="Arial"/>
          <w:sz w:val="14"/>
          <w:szCs w:val="14"/>
          <w:i w:val="1"/>
          <w:iCs w:val="1"/>
          <w:color w:val="auto"/>
        </w:rPr>
      </w:pPr>
    </w:p>
    <w:p>
      <w:pPr>
        <w:ind w:left="600" w:right="80" w:hanging="383"/>
        <w:spacing w:after="0" w:line="241" w:lineRule="auto"/>
        <w:tabs>
          <w:tab w:leader="none" w:pos="60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$17 million at September 30, 2012 and $16 million at December 31, 2011, and excluding capital leases of $192 million at September 30, 2012 and $204 million at December 31, 2011, and commercial paper classified as long-term debt of $400 million at December 31, 2011. We discuss our long-term debt in Note 6 above and in Note 5 of the Notes to Consolidated Financial Statements in the Updated Annual Report.</w:t>
      </w:r>
    </w:p>
    <w:p>
      <w:pPr>
        <w:spacing w:after="0" w:line="1" w:lineRule="exact"/>
        <w:rPr>
          <w:rFonts w:ascii="Arial" w:cs="Arial" w:eastAsia="Arial" w:hAnsi="Arial"/>
          <w:sz w:val="14"/>
          <w:szCs w:val="14"/>
          <w:i w:val="1"/>
          <w:iCs w:val="1"/>
          <w:color w:val="auto"/>
        </w:rPr>
      </w:pPr>
    </w:p>
    <w:p>
      <w:pPr>
        <w:ind w:left="600" w:right="200" w:hanging="383"/>
        <w:spacing w:after="0" w:line="241" w:lineRule="auto"/>
        <w:tabs>
          <w:tab w:leader="none" w:pos="60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$12 million at September 30, 2012 and $11 million at December 31, 2011, and excluding capital leases of $187 million at September 30, 2012 and $193 million at December 31, 2011.</w:t>
      </w:r>
    </w:p>
    <w:p>
      <w:pPr>
        <w:ind w:left="600" w:right="520" w:hanging="383"/>
        <w:spacing w:after="0" w:line="258" w:lineRule="auto"/>
        <w:tabs>
          <w:tab w:leader="none" w:pos="60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$4 million at September 30, 2012 and $3 million at December 31, 2011, and excluding capital leases of $5 million at September 30, 2012 and $11 million at December 31, 2011.</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calculate the fair value of our investments in affordable housing partnerships using an income approach based on the present value of estimated future cash flows discounted at rates available for similar investments (Level 3).</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base the fair value of certain of our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20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discuss SDG&amp;E’s investments in nuclear decommissioning trust funds in Note 6 of the Notes to Consolidated Financial Statements in the Updated Annual Report. The following table shows the fair values and gross unrealized gains and losses for the securities held in the trust funds: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4"/>
                <w:szCs w:val="14"/>
                <w:color w:val="auto"/>
              </w:rPr>
            </w:pPr>
          </w:p>
        </w:tc>
        <w:tc>
          <w:tcPr>
            <w:tcW w:w="1180" w:type="dxa"/>
            <w:vAlign w:val="bottom"/>
          </w:tcPr>
          <w:p>
            <w:pPr>
              <w:jc w:val="center"/>
              <w:ind w:right="208"/>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Estimated</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center"/>
              <w:ind w:right="208"/>
              <w:spacing w:after="0"/>
              <w:rPr>
                <w:sz w:val="20"/>
                <w:szCs w:val="20"/>
                <w:color w:val="auto"/>
              </w:rPr>
            </w:pPr>
            <w:r>
              <w:rPr>
                <w:rFonts w:ascii="Arial" w:cs="Arial" w:eastAsia="Arial" w:hAnsi="Arial"/>
                <w:sz w:val="14"/>
                <w:szCs w:val="14"/>
                <w:color w:val="auto"/>
              </w:rPr>
              <w:t>Unrealized</w:t>
            </w:r>
          </w:p>
        </w:tc>
        <w:tc>
          <w:tcPr>
            <w:tcW w:w="380" w:type="dxa"/>
            <w:vAlign w:val="bottom"/>
          </w:tcPr>
          <w:p>
            <w:pPr>
              <w:spacing w:after="0"/>
              <w:rPr>
                <w:sz w:val="18"/>
                <w:szCs w:val="18"/>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8"/>
                <w:szCs w:val="18"/>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color w:val="auto"/>
              </w:rPr>
              <w:t>Fair</w:t>
            </w:r>
          </w:p>
        </w:tc>
      </w:tr>
      <w:tr>
        <w:trPr>
          <w:trHeight w:val="208"/>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Gains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Losses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Value</w:t>
            </w:r>
          </w:p>
        </w:tc>
      </w:tr>
      <w:tr>
        <w:trPr>
          <w:trHeight w:val="231"/>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2012:</w:t>
            </w: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U.S. government corporations and agencies(1)</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134</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16"/>
        </w:trPr>
        <w:tc>
          <w:tcPr>
            <w:tcW w:w="2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Municipal bonds(2)</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8"/>
        </w:trPr>
        <w:tc>
          <w:tcPr>
            <w:tcW w:w="2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Other securities(3)</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114</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231"/>
        </w:trPr>
        <w:tc>
          <w:tcPr>
            <w:tcW w:w="5080" w:type="dxa"/>
            <w:vAlign w:val="bottom"/>
            <w:gridSpan w:val="3"/>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20"/>
                <w:szCs w:val="20"/>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308</w:t>
            </w:r>
          </w:p>
        </w:tc>
        <w:tc>
          <w:tcPr>
            <w:tcW w:w="380" w:type="dxa"/>
            <w:vAlign w:val="bottom"/>
          </w:tcPr>
          <w:p>
            <w:pPr>
              <w:spacing w:after="0"/>
              <w:rPr>
                <w:sz w:val="20"/>
                <w:szCs w:val="20"/>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380" w:type="dxa"/>
            <w:vAlign w:val="bottom"/>
          </w:tcPr>
          <w:p>
            <w:pPr>
              <w:spacing w:after="0"/>
              <w:rPr>
                <w:sz w:val="20"/>
                <w:szCs w:val="20"/>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335</w:t>
            </w:r>
          </w:p>
        </w:tc>
      </w:tr>
      <w:tr>
        <w:trPr>
          <w:trHeight w:val="216"/>
        </w:trPr>
        <w:tc>
          <w:tcPr>
            <w:tcW w:w="5080" w:type="dxa"/>
            <w:vAlign w:val="bottom"/>
            <w:gridSpan w:val="3"/>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249</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284</w:t>
            </w:r>
          </w:p>
        </w:tc>
        <w:tc>
          <w:tcPr>
            <w:tcW w:w="3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(4)</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529</w:t>
            </w:r>
          </w:p>
        </w:tc>
      </w:tr>
      <w:tr>
        <w:trPr>
          <w:trHeight w:val="208"/>
        </w:trPr>
        <w:tc>
          <w:tcPr>
            <w:tcW w:w="508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62"/>
        </w:trPr>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4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585</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311</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r>
      <w:tr>
        <w:trPr>
          <w:trHeight w:val="21"/>
        </w:trPr>
        <w:tc>
          <w:tcPr>
            <w:tcW w:w="20" w:type="dxa"/>
            <w:vAlign w:val="bottom"/>
          </w:tcPr>
          <w:p>
            <w:pPr>
              <w:spacing w:after="0" w:line="20" w:lineRule="exact"/>
              <w:rPr>
                <w:sz w:val="1"/>
                <w:szCs w:val="1"/>
                <w:color w:val="auto"/>
              </w:rPr>
            </w:pPr>
          </w:p>
        </w:tc>
        <w:tc>
          <w:tcPr>
            <w:tcW w:w="506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5"/>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2011:</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157</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216"/>
        </w:trPr>
        <w:tc>
          <w:tcPr>
            <w:tcW w:w="2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Municipal bonds</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8"/>
        </w:trPr>
        <w:tc>
          <w:tcPr>
            <w:tcW w:w="2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Other securities</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231"/>
        </w:trPr>
        <w:tc>
          <w:tcPr>
            <w:tcW w:w="5080" w:type="dxa"/>
            <w:vAlign w:val="bottom"/>
            <w:gridSpan w:val="3"/>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20"/>
                <w:szCs w:val="20"/>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305</w:t>
            </w:r>
          </w:p>
        </w:tc>
        <w:tc>
          <w:tcPr>
            <w:tcW w:w="380" w:type="dxa"/>
            <w:vAlign w:val="bottom"/>
          </w:tcPr>
          <w:p>
            <w:pPr>
              <w:spacing w:after="0"/>
              <w:rPr>
                <w:sz w:val="20"/>
                <w:szCs w:val="20"/>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380" w:type="dxa"/>
            <w:vAlign w:val="bottom"/>
          </w:tcPr>
          <w:p>
            <w:pPr>
              <w:spacing w:after="0"/>
              <w:rPr>
                <w:sz w:val="20"/>
                <w:szCs w:val="20"/>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216"/>
        </w:trPr>
        <w:tc>
          <w:tcPr>
            <w:tcW w:w="5080" w:type="dxa"/>
            <w:vAlign w:val="bottom"/>
            <w:gridSpan w:val="3"/>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246</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3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208"/>
        </w:trPr>
        <w:tc>
          <w:tcPr>
            <w:tcW w:w="508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62"/>
        </w:trPr>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4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562</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248</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(6)</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r>
      <w:tr>
        <w:trPr>
          <w:trHeight w:val="21"/>
        </w:trPr>
        <w:tc>
          <w:tcPr>
            <w:tcW w:w="34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i w:val="1"/>
                <w:iCs w:val="1"/>
                <w:color w:val="auto"/>
              </w:rPr>
              <w:t>(1)</w:t>
            </w:r>
          </w:p>
        </w:tc>
        <w:tc>
          <w:tcPr>
            <w:tcW w:w="4740" w:type="dxa"/>
            <w:vAlign w:val="bottom"/>
            <w:tcBorders>
              <w:top w:val="single" w:sz="8" w:color="auto"/>
            </w:tcBorders>
          </w:tcPr>
          <w:p>
            <w:pPr>
              <w:ind w:left="220"/>
              <w:spacing w:after="0" w:line="147" w:lineRule="exact"/>
              <w:rPr>
                <w:sz w:val="20"/>
                <w:szCs w:val="20"/>
                <w:color w:val="auto"/>
              </w:rPr>
            </w:pPr>
            <w:r>
              <w:rPr>
                <w:rFonts w:ascii="Arial" w:cs="Arial" w:eastAsia="Arial" w:hAnsi="Arial"/>
                <w:sz w:val="14"/>
                <w:szCs w:val="14"/>
                <w:i w:val="1"/>
                <w:iCs w:val="1"/>
                <w:color w:val="auto"/>
              </w:rPr>
              <w:t>Maturity dates are 2013-2042</w:t>
            </w:r>
          </w:p>
        </w:tc>
        <w:tc>
          <w:tcPr>
            <w:tcW w:w="1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162"/>
        </w:trPr>
        <w:tc>
          <w:tcPr>
            <w:tcW w:w="340" w:type="dxa"/>
            <w:vAlign w:val="bottom"/>
            <w:gridSpan w:val="2"/>
          </w:tcPr>
          <w:p>
            <w:pPr>
              <w:spacing w:after="0"/>
              <w:rPr>
                <w:sz w:val="20"/>
                <w:szCs w:val="20"/>
                <w:color w:val="auto"/>
              </w:rPr>
            </w:pPr>
            <w:r>
              <w:rPr>
                <w:rFonts w:ascii="Arial" w:cs="Arial" w:eastAsia="Arial" w:hAnsi="Arial"/>
                <w:sz w:val="14"/>
                <w:szCs w:val="14"/>
                <w:i w:val="1"/>
                <w:iCs w:val="1"/>
                <w:color w:val="auto"/>
              </w:rPr>
              <w:t>(2)</w:t>
            </w:r>
          </w:p>
        </w:tc>
        <w:tc>
          <w:tcPr>
            <w:tcW w:w="4740" w:type="dxa"/>
            <w:vAlign w:val="bottom"/>
          </w:tcPr>
          <w:p>
            <w:pPr>
              <w:ind w:left="220"/>
              <w:spacing w:after="0"/>
              <w:rPr>
                <w:sz w:val="20"/>
                <w:szCs w:val="20"/>
                <w:color w:val="auto"/>
              </w:rPr>
            </w:pPr>
            <w:r>
              <w:rPr>
                <w:rFonts w:ascii="Arial" w:cs="Arial" w:eastAsia="Arial" w:hAnsi="Arial"/>
                <w:sz w:val="14"/>
                <w:szCs w:val="14"/>
                <w:i w:val="1"/>
                <w:iCs w:val="1"/>
                <w:color w:val="auto"/>
              </w:rPr>
              <w:t>Maturity dates are 2012-2057</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6"/>
        </w:trPr>
        <w:tc>
          <w:tcPr>
            <w:tcW w:w="340" w:type="dxa"/>
            <w:vAlign w:val="bottom"/>
            <w:gridSpan w:val="2"/>
          </w:tcPr>
          <w:p>
            <w:pPr>
              <w:spacing w:after="0"/>
              <w:rPr>
                <w:sz w:val="20"/>
                <w:szCs w:val="20"/>
                <w:color w:val="auto"/>
              </w:rPr>
            </w:pPr>
            <w:r>
              <w:rPr>
                <w:rFonts w:ascii="Arial" w:cs="Arial" w:eastAsia="Arial" w:hAnsi="Arial"/>
                <w:sz w:val="14"/>
                <w:szCs w:val="14"/>
                <w:i w:val="1"/>
                <w:iCs w:val="1"/>
                <w:color w:val="auto"/>
              </w:rPr>
              <w:t>(3)</w:t>
            </w:r>
          </w:p>
        </w:tc>
        <w:tc>
          <w:tcPr>
            <w:tcW w:w="4740" w:type="dxa"/>
            <w:vAlign w:val="bottom"/>
          </w:tcPr>
          <w:p>
            <w:pPr>
              <w:ind w:left="220"/>
              <w:spacing w:after="0"/>
              <w:rPr>
                <w:sz w:val="20"/>
                <w:szCs w:val="20"/>
                <w:color w:val="auto"/>
              </w:rPr>
            </w:pPr>
            <w:r>
              <w:rPr>
                <w:rFonts w:ascii="Arial" w:cs="Arial" w:eastAsia="Arial" w:hAnsi="Arial"/>
                <w:sz w:val="14"/>
                <w:szCs w:val="14"/>
                <w:i w:val="1"/>
                <w:iCs w:val="1"/>
                <w:color w:val="auto"/>
              </w:rPr>
              <w:t>Maturity dates are 2013-2111</w:t>
            </w: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80" w:type="dxa"/>
            <w:vAlign w:val="bottom"/>
            <w:gridSpan w:val="3"/>
          </w:tcPr>
          <w:p>
            <w:pPr>
              <w:ind w:left="1500"/>
              <w:spacing w:after="0"/>
              <w:rPr>
                <w:sz w:val="20"/>
                <w:szCs w:val="20"/>
                <w:color w:val="auto"/>
              </w:rPr>
            </w:pPr>
            <w:r>
              <w:rPr>
                <w:rFonts w:ascii="Arial" w:cs="Arial" w:eastAsia="Arial" w:hAnsi="Arial"/>
                <w:sz w:val="14"/>
                <w:szCs w:val="14"/>
                <w:color w:val="auto"/>
              </w:rPr>
              <w:t>Three months ended September 30,</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gridSpan w:val="3"/>
          </w:tcPr>
          <w:p>
            <w:pPr>
              <w:jc w:val="right"/>
              <w:ind w:right="801"/>
              <w:spacing w:after="0"/>
              <w:rPr>
                <w:sz w:val="20"/>
                <w:szCs w:val="20"/>
                <w:color w:val="auto"/>
              </w:rPr>
            </w:pPr>
            <w:r>
              <w:rPr>
                <w:rFonts w:ascii="Arial" w:cs="Arial" w:eastAsia="Arial" w:hAnsi="Arial"/>
                <w:sz w:val="14"/>
                <w:szCs w:val="14"/>
                <w:color w:val="auto"/>
              </w:rPr>
              <w:t>Nine months ended September 30,</w:t>
            </w:r>
          </w:p>
        </w:tc>
      </w:tr>
      <w:tr>
        <w:trPr>
          <w:trHeight w:val="208"/>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ind w:left="1500"/>
              <w:spacing w:after="0"/>
              <w:rPr>
                <w:sz w:val="20"/>
                <w:szCs w:val="20"/>
                <w:color w:val="auto"/>
              </w:rPr>
            </w:pPr>
            <w:r>
              <w:rPr>
                <w:rFonts w:ascii="Arial" w:cs="Arial" w:eastAsia="Arial" w:hAnsi="Arial"/>
                <w:sz w:val="14"/>
                <w:szCs w:val="14"/>
                <w:color w:val="auto"/>
              </w:rPr>
              <w:t>2012</w:t>
            </w:r>
          </w:p>
        </w:tc>
        <w:tc>
          <w:tcPr>
            <w:tcW w:w="8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2011</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63"/>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Proceeds from sales</w:t>
            </w:r>
          </w:p>
        </w:tc>
        <w:tc>
          <w:tcPr>
            <w:tcW w:w="2080" w:type="dxa"/>
            <w:vAlign w:val="bottom"/>
          </w:tcPr>
          <w:p>
            <w:pPr>
              <w:jc w:val="right"/>
              <w:ind w:right="665"/>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204</w:t>
            </w:r>
          </w:p>
        </w:tc>
        <w:tc>
          <w:tcPr>
            <w:tcW w:w="114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294</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43"/>
              <w:spacing w:after="0"/>
              <w:rPr>
                <w:sz w:val="20"/>
                <w:szCs w:val="20"/>
                <w:color w:val="auto"/>
              </w:rPr>
            </w:pPr>
            <w:r>
              <w:rPr>
                <w:rFonts w:ascii="Arial" w:cs="Arial" w:eastAsia="Arial" w:hAnsi="Arial"/>
                <w:sz w:val="16"/>
                <w:szCs w:val="16"/>
                <w:color w:val="auto"/>
              </w:rPr>
              <w:t>524</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04"/>
        </w:trPr>
        <w:tc>
          <w:tcPr>
            <w:tcW w:w="2800" w:type="dxa"/>
            <w:vAlign w:val="bottom"/>
            <w:gridSpan w:val="2"/>
          </w:tcPr>
          <w:p>
            <w:pPr>
              <w:spacing w:after="0"/>
              <w:rPr>
                <w:sz w:val="20"/>
                <w:szCs w:val="20"/>
                <w:color w:val="auto"/>
              </w:rPr>
            </w:pPr>
            <w:r>
              <w:rPr>
                <w:rFonts w:ascii="Arial" w:cs="Arial" w:eastAsia="Arial" w:hAnsi="Arial"/>
                <w:sz w:val="16"/>
                <w:szCs w:val="16"/>
                <w:color w:val="auto"/>
              </w:rPr>
              <w:t>Gross realized gains</w:t>
            </w:r>
          </w:p>
        </w:tc>
        <w:tc>
          <w:tcPr>
            <w:tcW w:w="208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3</w:t>
            </w:r>
          </w:p>
        </w:tc>
        <w:tc>
          <w:tcPr>
            <w:tcW w:w="114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27</w:t>
            </w:r>
          </w:p>
        </w:tc>
        <w:tc>
          <w:tcPr>
            <w:tcW w:w="440" w:type="dxa"/>
            <w:vAlign w:val="bottom"/>
          </w:tcPr>
          <w:p>
            <w:pPr>
              <w:spacing w:after="0"/>
              <w:rPr>
                <w:sz w:val="17"/>
                <w:szCs w:val="17"/>
                <w:color w:val="auto"/>
              </w:rPr>
            </w:pPr>
          </w:p>
        </w:tc>
        <w:tc>
          <w:tcPr>
            <w:tcW w:w="1540" w:type="dxa"/>
            <w:vAlign w:val="bottom"/>
          </w:tcPr>
          <w:p>
            <w:pPr>
              <w:jc w:val="right"/>
              <w:ind w:right="243"/>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Gross realized losses</w:t>
            </w:r>
          </w:p>
        </w:tc>
        <w:tc>
          <w:tcPr>
            <w:tcW w:w="20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(6)</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Non-Recurring Fair Value Measures – Sempra Energy Consolidated</w:t>
      </w:r>
    </w:p>
    <w:p>
      <w:pPr>
        <w:sectPr>
          <w:pgSz w:w="11900" w:h="16838" w:orient="portrait"/>
          <w:cols w:equalWidth="0" w:num="1">
            <w:col w:w="11420"/>
          </w:cols>
          <w:pgMar w:left="240" w:top="128" w:right="239" w:bottom="12" w:gutter="0" w:footer="0" w:header="0"/>
        </w:sectPr>
      </w:pPr>
    </w:p>
    <w:bookmarkStart w:id="37" w:name="page38"/>
    <w:bookmarkEnd w:id="37"/>
    <w:p>
      <w:pPr>
        <w:spacing w:after="0" w:line="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discuss non-recurring fair value measures and the associated accounting impact on our investments in RBS Sempra Commodities and Argentina in Note 4 of the Notes to Consolidated Financial Statements in the Updated Annual Report and, with regard to RBS Sempra Commodities, in Note 4 above. We also discuss non-recurring fair value measures and the associated accounting impact on our investment in Rockies Express in Note 4 above.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Rockies Express</w:t>
      </w:r>
    </w:p>
    <w:p>
      <w:pPr>
        <w:spacing w:after="0" w:line="2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second quarter of 2012, the noncash impairment charge of $300 million ($179 million after-tax) primarily resulted from the continuing decline in basis differential on REX associated with shale gas production zones coming on line, assumptions related to the re-contracting of the long-term transportation agreements, and the refinancing of the existing project level debt, discussed further below. The fair value measurement was significantly impacted by unobservable inputs (Level 3) as defined by the accounting guidance for fair value measurements, which we discuss in Note 11 of the Notes to Consolidated Financial Statements in the Updated Annual Report. We considered a market participant’s view of the total value for Rockies Express, based on an estimation of the future cash distributions it would be able to generate, adjusted for our 25-percent ownership interest. To estimate future cash distributions, we considered factors impacting Rockies Express’ ability to pay future distributions including:</w:t>
      </w:r>
    </w:p>
    <w:p>
      <w:pPr>
        <w:spacing w:after="0" w:line="178" w:lineRule="exact"/>
        <w:rPr>
          <w:sz w:val="20"/>
          <w:szCs w:val="20"/>
          <w:color w:val="auto"/>
        </w:rPr>
      </w:pPr>
    </w:p>
    <w:p>
      <w:pPr>
        <w:ind w:left="340" w:hanging="188"/>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future cash flows are hedged by capacity sales contracts and their duration (generally through 2019), as well as the creditworthiness of the various counterparties;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Rockies Express’ future financing needs, including the ability to secure borrowings at reasonable rates as well as potentially using operating cash to retire principal;</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prospects for generating attractive revenues and cash flows beyond 2019, including natural gas’ future basis differentials (driven by the location and extent of future supply and demand) and alternative strategies potentially available to utilize the assets;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discount rates commensurate with the risks inherent in the cash flows.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third quarter of 2012, KMI reached an agreement, expected to close in the fourth quarter of 2012, to sell the FTC-mandated asset group, which includes its interest in Rockies Express. Events in the third quarter of 2012 related to this agreement have provided us with additional market participant data. We therefore updated our analysis of the fair value of our investment in Rockies Express as of September 30, 2012 to reflect these additional inputs and recorded an additional impairment charge of $100 million ($60 million after-tax). This fair value measurement in the third quarter was based primarily on the Level 2 input. We believe this is useful and reliable information, but we considered that it may be impacted by the FTC’s requirement for KMI to sell its interest in Rockies Express. To reflect this uncertainty, our updated analysis included the less subjective Level 2 market participant input as the primary indicator of fair value, with less weight ascribed to value based on estimated discounted cash flows as discussed above and in the table below. The updates to the cash flow analyses used in determining fair value in the second quarter reflected discussions with Tallgrass as to the strategic direction they are planning to take with their equity partners for Rockies Express, as well as additional discussions with other market participants. Tallgrass is expected to be the operator of Rockies Express.</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our analysis forms a reasonable estimate of the fair value of Rockies Express. This estimate includes the material input described above, which was generally observable during the period most relevant to our analysis. Regarding the unobservable inputs, significant uncertainties exist with regard to REX’s ability to secure attractive revenues beyond 2019. Accordingly, our analysis suggests that the fair value of our investment in Rockies Express could be materially different from the value we have estimated at this time. For example, if REX is able to sustain the level of revenues currently generated beyond 2019, the value of our investment in Rockies Express would be materially enhanced and the indicated value of our investment in Rockies Express could be significantly higher. Conversely, if REX is unable to sell its transport capacity at sufficient rates or in sufficient volumes beyond 2019, the fair value of our investment in Rockies Express could be materially lower than our carrying amount. Separately, future events involving REX equity could occur and may also provide additional information regarding the fair value of our investment in REX.</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Sempra Natural Gas developed the models and scenarios used to measure the fair value of our investment in REX. This modeling used inputs from external sources as described above and in the table below, as well as internally available data, such as operating and maintenance budgets used for financial planning purposes. External experts that forecast the future price of natural gas at various physical locations were also engaged to help validate certain scenarios and modeling assumptions. The fair value measurements were reviewed in detail by Sempra Natural Gas’ financial management, as well as Sempra Energy’s financial management team.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RBS Sempra Commodities</w:t>
      </w:r>
    </w:p>
    <w:p>
      <w:pPr>
        <w:spacing w:after="0" w:line="2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both the three months and nine months ended September 30, 2011, we reduced our investment in RBS Sempra Commodities to reflect the latest estimates of our expected future cash distributions from the partnership. This fair value measurement was significantly impacted by unobservable inputs (i.e. Level 3 inputs) as described in the table below.</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 summarizes significant inputs impacting non-recurring fair value measures related to our investments in REX and RBS Sempra Commodities:</w:t>
      </w:r>
    </w:p>
    <w:p>
      <w:pPr>
        <w:spacing w:after="0" w:line="369" w:lineRule="exact"/>
        <w:rPr>
          <w:sz w:val="20"/>
          <w:szCs w:val="20"/>
          <w:color w:val="auto"/>
        </w:rPr>
      </w:pPr>
    </w:p>
    <w:p>
      <w:pPr>
        <w:ind w:right="5120"/>
        <w:spacing w:after="0" w:line="261" w:lineRule="auto"/>
        <w:rPr>
          <w:sz w:val="20"/>
          <w:szCs w:val="20"/>
          <w:color w:val="auto"/>
        </w:rPr>
      </w:pPr>
      <w:r>
        <w:rPr>
          <w:rFonts w:ascii="Arial" w:cs="Arial" w:eastAsia="Arial" w:hAnsi="Arial"/>
          <w:sz w:val="16"/>
          <w:szCs w:val="16"/>
          <w:b w:val="1"/>
          <w:bCs w:val="1"/>
          <w:color w:val="auto"/>
        </w:rPr>
        <w:t xml:space="preserve">NON-RECURRING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14"/>
                <w:szCs w:val="14"/>
                <w:color w:val="auto"/>
              </w:rPr>
            </w:pPr>
          </w:p>
        </w:tc>
        <w:tc>
          <w:tcPr>
            <w:tcW w:w="1040" w:type="dxa"/>
            <w:vAlign w:val="bottom"/>
          </w:tcPr>
          <w:p>
            <w:pPr>
              <w:jc w:val="center"/>
              <w:ind w:left="168"/>
              <w:spacing w:after="0"/>
              <w:rPr>
                <w:sz w:val="20"/>
                <w:szCs w:val="20"/>
                <w:color w:val="auto"/>
              </w:rPr>
            </w:pPr>
            <w:r>
              <w:rPr>
                <w:rFonts w:ascii="Arial" w:cs="Arial" w:eastAsia="Arial" w:hAnsi="Arial"/>
                <w:sz w:val="14"/>
                <w:szCs w:val="14"/>
                <w:color w:val="auto"/>
              </w:rPr>
              <w:t>Estimated</w:t>
            </w:r>
          </w:p>
        </w:tc>
        <w:tc>
          <w:tcPr>
            <w:tcW w:w="1700" w:type="dxa"/>
            <w:vAlign w:val="bottom"/>
          </w:tcPr>
          <w:p>
            <w:pPr>
              <w:spacing w:after="0"/>
              <w:rPr>
                <w:sz w:val="14"/>
                <w:szCs w:val="14"/>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color w:val="auto"/>
                <w:w w:val="99"/>
              </w:rPr>
              <w:t>Fair</w:t>
            </w:r>
          </w:p>
        </w:tc>
        <w:tc>
          <w:tcPr>
            <w:tcW w:w="1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1420" w:type="dxa"/>
            <w:vAlign w:val="bottom"/>
          </w:tcPr>
          <w:p>
            <w:pPr>
              <w:spacing w:after="0"/>
              <w:rPr>
                <w:sz w:val="18"/>
                <w:szCs w:val="18"/>
                <w:color w:val="auto"/>
              </w:rPr>
            </w:pPr>
          </w:p>
        </w:tc>
        <w:tc>
          <w:tcPr>
            <w:tcW w:w="1040" w:type="dxa"/>
            <w:vAlign w:val="bottom"/>
          </w:tcPr>
          <w:p>
            <w:pPr>
              <w:jc w:val="center"/>
              <w:ind w:left="188"/>
              <w:spacing w:after="0"/>
              <w:rPr>
                <w:sz w:val="20"/>
                <w:szCs w:val="20"/>
                <w:color w:val="auto"/>
              </w:rPr>
            </w:pPr>
            <w:r>
              <w:rPr>
                <w:rFonts w:ascii="Arial" w:cs="Arial" w:eastAsia="Arial" w:hAnsi="Arial"/>
                <w:sz w:val="14"/>
                <w:szCs w:val="14"/>
                <w:color w:val="auto"/>
              </w:rPr>
              <w:t>Fair</w:t>
            </w:r>
          </w:p>
        </w:tc>
        <w:tc>
          <w:tcPr>
            <w:tcW w:w="1700" w:type="dxa"/>
            <w:vAlign w:val="bottom"/>
          </w:tcPr>
          <w:p>
            <w:pPr>
              <w:spacing w:after="0"/>
              <w:rPr>
                <w:sz w:val="18"/>
                <w:szCs w:val="18"/>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color w:val="auto"/>
              </w:rPr>
              <w:t>Value</w:t>
            </w:r>
          </w:p>
        </w:tc>
        <w:tc>
          <w:tcPr>
            <w:tcW w:w="1600" w:type="dxa"/>
            <w:vAlign w:val="bottom"/>
          </w:tcPr>
          <w:p>
            <w:pPr>
              <w:jc w:val="right"/>
              <w:ind w:right="408"/>
              <w:spacing w:after="0"/>
              <w:rPr>
                <w:sz w:val="20"/>
                <w:szCs w:val="20"/>
                <w:color w:val="auto"/>
              </w:rPr>
            </w:pPr>
            <w:r>
              <w:rPr>
                <w:rFonts w:ascii="Arial" w:cs="Arial" w:eastAsia="Arial" w:hAnsi="Arial"/>
                <w:sz w:val="14"/>
                <w:szCs w:val="14"/>
                <w:color w:val="auto"/>
              </w:rPr>
              <w:t>% of Fair Value</w:t>
            </w:r>
          </w:p>
        </w:tc>
        <w:tc>
          <w:tcPr>
            <w:tcW w:w="3600" w:type="dxa"/>
            <w:vAlign w:val="bottom"/>
          </w:tcPr>
          <w:p>
            <w:pPr>
              <w:spacing w:after="0"/>
              <w:rPr>
                <w:sz w:val="18"/>
                <w:szCs w:val="18"/>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Range of</w:t>
            </w:r>
          </w:p>
        </w:tc>
      </w:tr>
      <w:tr>
        <w:trPr>
          <w:trHeight w:val="208"/>
        </w:trPr>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Value</w:t>
            </w:r>
          </w:p>
        </w:tc>
        <w:tc>
          <w:tcPr>
            <w:tcW w:w="17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Valuation Technique</w:t>
            </w:r>
          </w:p>
        </w:tc>
        <w:tc>
          <w:tcPr>
            <w:tcW w:w="10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Hierarchy</w:t>
            </w:r>
          </w:p>
        </w:tc>
        <w:tc>
          <w:tcPr>
            <w:tcW w:w="1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Measurement</w:t>
            </w:r>
          </w:p>
        </w:tc>
        <w:tc>
          <w:tcPr>
            <w:tcW w:w="36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Inputs Used to Develop Measurement</w:t>
            </w: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Inputs</w:t>
            </w:r>
          </w:p>
        </w:tc>
      </w:tr>
      <w:tr>
        <w:trPr>
          <w:trHeight w:val="221"/>
        </w:trPr>
        <w:tc>
          <w:tcPr>
            <w:tcW w:w="1420" w:type="dxa"/>
            <w:vAlign w:val="bottom"/>
          </w:tcPr>
          <w:p>
            <w:pPr>
              <w:spacing w:after="0"/>
              <w:rPr>
                <w:sz w:val="20"/>
                <w:szCs w:val="20"/>
                <w:color w:val="auto"/>
              </w:rPr>
            </w:pPr>
            <w:r>
              <w:rPr>
                <w:rFonts w:ascii="Arial" w:cs="Arial" w:eastAsia="Arial" w:hAnsi="Arial"/>
                <w:sz w:val="14"/>
                <w:szCs w:val="14"/>
                <w:color w:val="auto"/>
              </w:rPr>
              <w:t>Investment in</w:t>
            </w:r>
          </w:p>
        </w:tc>
        <w:tc>
          <w:tcPr>
            <w:tcW w:w="1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2"/>
        </w:trPr>
        <w:tc>
          <w:tcPr>
            <w:tcW w:w="1420" w:type="dxa"/>
            <w:vAlign w:val="bottom"/>
          </w:tcPr>
          <w:p>
            <w:pPr>
              <w:spacing w:after="0"/>
              <w:rPr>
                <w:sz w:val="20"/>
                <w:szCs w:val="20"/>
                <w:color w:val="auto"/>
              </w:rPr>
            </w:pPr>
            <w:r>
              <w:rPr>
                <w:rFonts w:ascii="Arial" w:cs="Arial" w:eastAsia="Arial" w:hAnsi="Arial"/>
                <w:sz w:val="14"/>
                <w:szCs w:val="14"/>
                <w:color w:val="auto"/>
              </w:rPr>
              <w:t>Rockies Express</w:t>
            </w:r>
          </w:p>
        </w:tc>
        <w:tc>
          <w:tcPr>
            <w:tcW w:w="1040" w:type="dxa"/>
            <w:vAlign w:val="bottom"/>
          </w:tcPr>
          <w:p>
            <w:pPr>
              <w:jc w:val="center"/>
              <w:ind w:left="168"/>
              <w:spacing w:after="0"/>
              <w:rPr>
                <w:sz w:val="20"/>
                <w:szCs w:val="20"/>
                <w:color w:val="auto"/>
              </w:rPr>
            </w:pPr>
            <w:r>
              <w:rPr>
                <w:rFonts w:ascii="Arial" w:cs="Arial" w:eastAsia="Arial" w:hAnsi="Arial"/>
                <w:sz w:val="14"/>
                <w:szCs w:val="14"/>
                <w:color w:val="auto"/>
              </w:rPr>
              <w:t>$ 369</w:t>
            </w:r>
          </w:p>
        </w:tc>
        <w:tc>
          <w:tcPr>
            <w:tcW w:w="1700" w:type="dxa"/>
            <w:vAlign w:val="bottom"/>
          </w:tcPr>
          <w:p>
            <w:pPr>
              <w:ind w:left="80"/>
              <w:spacing w:after="0"/>
              <w:rPr>
                <w:sz w:val="20"/>
                <w:szCs w:val="20"/>
                <w:color w:val="auto"/>
              </w:rPr>
            </w:pPr>
            <w:r>
              <w:rPr>
                <w:rFonts w:ascii="Arial" w:cs="Arial" w:eastAsia="Arial" w:hAnsi="Arial"/>
                <w:sz w:val="14"/>
                <w:szCs w:val="14"/>
                <w:color w:val="auto"/>
              </w:rPr>
              <w:t>Market approach</w:t>
            </w:r>
          </w:p>
        </w:tc>
        <w:tc>
          <w:tcPr>
            <w:tcW w:w="1040" w:type="dxa"/>
            <w:vAlign w:val="bottom"/>
          </w:tcPr>
          <w:p>
            <w:pPr>
              <w:ind w:left="120"/>
              <w:spacing w:after="0"/>
              <w:rPr>
                <w:sz w:val="20"/>
                <w:szCs w:val="20"/>
                <w:color w:val="auto"/>
              </w:rPr>
            </w:pPr>
            <w:r>
              <w:rPr>
                <w:rFonts w:ascii="Arial" w:cs="Arial" w:eastAsia="Arial" w:hAnsi="Arial"/>
                <w:sz w:val="14"/>
                <w:szCs w:val="14"/>
                <w:color w:val="auto"/>
              </w:rPr>
              <w:t>Level 2</w:t>
            </w:r>
          </w:p>
        </w:tc>
        <w:tc>
          <w:tcPr>
            <w:tcW w:w="1600" w:type="dxa"/>
            <w:vAlign w:val="bottom"/>
          </w:tcPr>
          <w:p>
            <w:pPr>
              <w:jc w:val="right"/>
              <w:ind w:right="248"/>
              <w:spacing w:after="0"/>
              <w:rPr>
                <w:sz w:val="20"/>
                <w:szCs w:val="20"/>
                <w:color w:val="auto"/>
              </w:rPr>
            </w:pPr>
            <w:r>
              <w:rPr>
                <w:rFonts w:ascii="Arial" w:cs="Arial" w:eastAsia="Arial" w:hAnsi="Arial"/>
                <w:sz w:val="14"/>
                <w:szCs w:val="14"/>
                <w:color w:val="auto"/>
              </w:rPr>
              <w:t>67%</w:t>
            </w:r>
          </w:p>
        </w:tc>
        <w:tc>
          <w:tcPr>
            <w:tcW w:w="3600" w:type="dxa"/>
            <w:vAlign w:val="bottom"/>
          </w:tcPr>
          <w:p>
            <w:pPr>
              <w:jc w:val="right"/>
              <w:ind w:right="88"/>
              <w:spacing w:after="0"/>
              <w:rPr>
                <w:sz w:val="20"/>
                <w:szCs w:val="20"/>
                <w:color w:val="auto"/>
              </w:rPr>
            </w:pPr>
            <w:r>
              <w:rPr>
                <w:rFonts w:ascii="Arial" w:cs="Arial" w:eastAsia="Arial" w:hAnsi="Arial"/>
                <w:sz w:val="14"/>
                <w:szCs w:val="14"/>
                <w:color w:val="auto"/>
              </w:rPr>
              <w:t>Equity sale offer price</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648"/>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14"/>
                <w:szCs w:val="14"/>
                <w:color w:val="auto"/>
              </w:rPr>
              <w:t>Probability weighted</w:t>
            </w:r>
          </w:p>
        </w:tc>
        <w:tc>
          <w:tcPr>
            <w:tcW w:w="1040" w:type="dxa"/>
            <w:vAlign w:val="bottom"/>
          </w:tcPr>
          <w:p>
            <w:pPr>
              <w:ind w:left="120"/>
              <w:spacing w:after="0"/>
              <w:rPr>
                <w:sz w:val="20"/>
                <w:szCs w:val="20"/>
                <w:color w:val="auto"/>
              </w:rPr>
            </w:pPr>
            <w:r>
              <w:rPr>
                <w:rFonts w:ascii="Arial" w:cs="Arial" w:eastAsia="Arial" w:hAnsi="Arial"/>
                <w:sz w:val="14"/>
                <w:szCs w:val="14"/>
                <w:color w:val="auto"/>
              </w:rPr>
              <w:t>Level 3</w:t>
            </w:r>
          </w:p>
        </w:tc>
        <w:tc>
          <w:tcPr>
            <w:tcW w:w="1600" w:type="dxa"/>
            <w:vAlign w:val="bottom"/>
          </w:tcPr>
          <w:p>
            <w:pPr>
              <w:jc w:val="right"/>
              <w:ind w:right="248"/>
              <w:spacing w:after="0"/>
              <w:rPr>
                <w:sz w:val="20"/>
                <w:szCs w:val="20"/>
                <w:color w:val="auto"/>
              </w:rPr>
            </w:pPr>
            <w:r>
              <w:rPr>
                <w:rFonts w:ascii="Arial" w:cs="Arial" w:eastAsia="Arial" w:hAnsi="Arial"/>
                <w:sz w:val="14"/>
                <w:szCs w:val="14"/>
                <w:color w:val="auto"/>
              </w:rPr>
              <w:t>33%</w:t>
            </w:r>
          </w:p>
        </w:tc>
        <w:tc>
          <w:tcPr>
            <w:tcW w:w="3600" w:type="dxa"/>
            <w:vAlign w:val="bottom"/>
          </w:tcPr>
          <w:p>
            <w:pPr>
              <w:jc w:val="right"/>
              <w:ind w:right="88"/>
              <w:spacing w:after="0"/>
              <w:rPr>
                <w:sz w:val="20"/>
                <w:szCs w:val="20"/>
                <w:color w:val="auto"/>
              </w:rPr>
            </w:pPr>
            <w:r>
              <w:rPr>
                <w:rFonts w:ascii="Arial" w:cs="Arial" w:eastAsia="Arial" w:hAnsi="Arial"/>
                <w:sz w:val="14"/>
                <w:szCs w:val="14"/>
                <w:color w:val="auto"/>
              </w:rPr>
              <w:t>Combined transportation rate assumption(1)</w:t>
            </w:r>
          </w:p>
        </w:tc>
        <w:tc>
          <w:tcPr>
            <w:tcW w:w="1020" w:type="dxa"/>
            <w:vAlign w:val="bottom"/>
          </w:tcPr>
          <w:p>
            <w:pPr>
              <w:jc w:val="right"/>
              <w:spacing w:after="0"/>
              <w:rPr>
                <w:sz w:val="20"/>
                <w:szCs w:val="20"/>
                <w:color w:val="auto"/>
              </w:rPr>
            </w:pPr>
            <w:r>
              <w:rPr>
                <w:rFonts w:ascii="Arial" w:cs="Arial" w:eastAsia="Arial" w:hAnsi="Arial"/>
                <w:sz w:val="14"/>
                <w:szCs w:val="14"/>
                <w:color w:val="auto"/>
              </w:rPr>
              <w:t>6% - 78%</w:t>
            </w:r>
          </w:p>
        </w:tc>
      </w:tr>
      <w:tr>
        <w:trPr>
          <w:trHeight w:val="216"/>
        </w:trPr>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4"/>
                <w:szCs w:val="14"/>
                <w:color w:val="auto"/>
              </w:rPr>
              <w:t>discounted cash flow</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0" w:type="dxa"/>
            <w:vAlign w:val="bottom"/>
          </w:tcPr>
          <w:p>
            <w:pPr>
              <w:jc w:val="right"/>
              <w:ind w:right="88"/>
              <w:spacing w:after="0"/>
              <w:rPr>
                <w:sz w:val="20"/>
                <w:szCs w:val="20"/>
                <w:color w:val="auto"/>
              </w:rPr>
            </w:pPr>
            <w:r>
              <w:rPr>
                <w:rFonts w:ascii="Arial" w:cs="Arial" w:eastAsia="Arial" w:hAnsi="Arial"/>
                <w:sz w:val="14"/>
                <w:szCs w:val="14"/>
                <w:color w:val="auto"/>
              </w:rPr>
              <w:t>Counterparty credit risk on existing contracts</w:t>
            </w:r>
          </w:p>
        </w:tc>
        <w:tc>
          <w:tcPr>
            <w:tcW w:w="1020" w:type="dxa"/>
            <w:vAlign w:val="bottom"/>
          </w:tcPr>
          <w:p>
            <w:pPr>
              <w:jc w:val="right"/>
              <w:spacing w:after="0"/>
              <w:rPr>
                <w:sz w:val="20"/>
                <w:szCs w:val="20"/>
                <w:color w:val="auto"/>
              </w:rPr>
            </w:pPr>
            <w:r>
              <w:rPr>
                <w:rFonts w:ascii="Arial" w:cs="Arial" w:eastAsia="Arial" w:hAnsi="Arial"/>
                <w:sz w:val="14"/>
                <w:szCs w:val="14"/>
                <w:color w:val="auto"/>
              </w:rPr>
              <w:t>Low</w:t>
            </w:r>
          </w:p>
        </w:tc>
      </w:tr>
      <w:tr>
        <w:trPr>
          <w:trHeight w:val="216"/>
        </w:trPr>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0" w:type="dxa"/>
            <w:vAlign w:val="bottom"/>
          </w:tcPr>
          <w:p>
            <w:pPr>
              <w:jc w:val="right"/>
              <w:ind w:right="88"/>
              <w:spacing w:after="0"/>
              <w:rPr>
                <w:sz w:val="20"/>
                <w:szCs w:val="20"/>
                <w:color w:val="auto"/>
              </w:rPr>
            </w:pPr>
            <w:r>
              <w:rPr>
                <w:rFonts w:ascii="Arial" w:cs="Arial" w:eastAsia="Arial" w:hAnsi="Arial"/>
                <w:sz w:val="14"/>
                <w:szCs w:val="14"/>
                <w:color w:val="auto"/>
              </w:rPr>
              <w:t>Operation and maintenance escalation rate</w:t>
            </w:r>
          </w:p>
        </w:tc>
        <w:tc>
          <w:tcPr>
            <w:tcW w:w="1020" w:type="dxa"/>
            <w:vAlign w:val="bottom"/>
          </w:tcPr>
          <w:p>
            <w:pPr>
              <w:jc w:val="right"/>
              <w:spacing w:after="0"/>
              <w:rPr>
                <w:sz w:val="20"/>
                <w:szCs w:val="20"/>
                <w:color w:val="auto"/>
              </w:rPr>
            </w:pPr>
            <w:r>
              <w:rPr>
                <w:rFonts w:ascii="Arial" w:cs="Arial" w:eastAsia="Arial" w:hAnsi="Arial"/>
                <w:sz w:val="14"/>
                <w:szCs w:val="14"/>
                <w:color w:val="auto"/>
              </w:rPr>
              <w:t>0% - 1%</w:t>
            </w:r>
          </w:p>
        </w:tc>
      </w:tr>
      <w:tr>
        <w:trPr>
          <w:trHeight w:val="206"/>
        </w:trPr>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0" w:type="dxa"/>
            <w:vAlign w:val="bottom"/>
          </w:tcPr>
          <w:p>
            <w:pPr>
              <w:jc w:val="right"/>
              <w:ind w:right="88"/>
              <w:spacing w:after="0"/>
              <w:rPr>
                <w:sz w:val="20"/>
                <w:szCs w:val="20"/>
                <w:color w:val="auto"/>
              </w:rPr>
            </w:pPr>
            <w:r>
              <w:rPr>
                <w:rFonts w:ascii="Arial" w:cs="Arial" w:eastAsia="Arial" w:hAnsi="Arial"/>
                <w:sz w:val="14"/>
                <w:szCs w:val="14"/>
                <w:color w:val="auto"/>
              </w:rPr>
              <w:t>Forecasted interest rate on debt to be refinanced</w:t>
            </w:r>
          </w:p>
        </w:tc>
        <w:tc>
          <w:tcPr>
            <w:tcW w:w="1020" w:type="dxa"/>
            <w:vAlign w:val="bottom"/>
          </w:tcPr>
          <w:p>
            <w:pPr>
              <w:jc w:val="right"/>
              <w:spacing w:after="0"/>
              <w:rPr>
                <w:sz w:val="20"/>
                <w:szCs w:val="20"/>
                <w:color w:val="auto"/>
              </w:rPr>
            </w:pPr>
            <w:r>
              <w:rPr>
                <w:rFonts w:ascii="Arial" w:cs="Arial" w:eastAsia="Arial" w:hAnsi="Arial"/>
                <w:sz w:val="14"/>
                <w:szCs w:val="14"/>
                <w:color w:val="auto"/>
              </w:rPr>
              <w:t>5% - 10%</w:t>
            </w:r>
          </w:p>
        </w:tc>
      </w:tr>
      <w:tr>
        <w:trPr>
          <w:trHeight w:val="172"/>
        </w:trPr>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0" w:type="dxa"/>
            <w:vAlign w:val="bottom"/>
          </w:tcPr>
          <w:p>
            <w:pPr>
              <w:jc w:val="right"/>
              <w:ind w:right="88"/>
              <w:spacing w:after="0"/>
              <w:rPr>
                <w:sz w:val="20"/>
                <w:szCs w:val="20"/>
                <w:color w:val="auto"/>
              </w:rPr>
            </w:pPr>
            <w:r>
              <w:rPr>
                <w:rFonts w:ascii="Arial" w:cs="Arial" w:eastAsia="Arial" w:hAnsi="Arial"/>
                <w:sz w:val="14"/>
                <w:szCs w:val="14"/>
                <w:color w:val="auto"/>
              </w:rPr>
              <w:t>Discount rate</w:t>
            </w:r>
          </w:p>
        </w:tc>
        <w:tc>
          <w:tcPr>
            <w:tcW w:w="1020" w:type="dxa"/>
            <w:vAlign w:val="bottom"/>
          </w:tcPr>
          <w:p>
            <w:pPr>
              <w:jc w:val="right"/>
              <w:spacing w:after="0"/>
              <w:rPr>
                <w:sz w:val="20"/>
                <w:szCs w:val="20"/>
                <w:color w:val="auto"/>
              </w:rPr>
            </w:pPr>
            <w:r>
              <w:rPr>
                <w:rFonts w:ascii="Arial" w:cs="Arial" w:eastAsia="Arial" w:hAnsi="Arial"/>
                <w:sz w:val="14"/>
                <w:szCs w:val="14"/>
                <w:color w:val="auto"/>
              </w:rPr>
              <w:t>8% - 10%</w:t>
            </w:r>
          </w:p>
        </w:tc>
      </w:tr>
    </w:tbl>
    <w:p>
      <w:pPr>
        <w:sectPr>
          <w:pgSz w:w="11900" w:h="16926" w:orient="portrait"/>
          <w:cols w:equalWidth="0" w:num="1">
            <w:col w:w="11420"/>
          </w:cols>
          <w:pgMar w:left="240" w:top="125" w:right="239" w:bottom="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Investment in</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6"/>
        </w:trPr>
        <w:tc>
          <w:tcPr>
            <w:tcW w:w="1380" w:type="dxa"/>
            <w:vAlign w:val="bottom"/>
          </w:tcPr>
          <w:p>
            <w:pPr>
              <w:spacing w:after="0"/>
              <w:rPr>
                <w:sz w:val="20"/>
                <w:szCs w:val="20"/>
                <w:color w:val="auto"/>
              </w:rPr>
            </w:pPr>
            <w:r>
              <w:rPr>
                <w:rFonts w:ascii="Arial" w:cs="Arial" w:eastAsia="Arial" w:hAnsi="Arial"/>
                <w:sz w:val="14"/>
                <w:szCs w:val="14"/>
                <w:color w:val="auto"/>
              </w:rPr>
              <w:t>RBS Sempra</w:t>
            </w: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Commodities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$ 126</w:t>
            </w:r>
          </w:p>
        </w:tc>
        <w:tc>
          <w:tcPr>
            <w:tcW w:w="1680" w:type="dxa"/>
            <w:vAlign w:val="bottom"/>
          </w:tcPr>
          <w:p>
            <w:pPr>
              <w:ind w:left="140"/>
              <w:spacing w:after="0"/>
              <w:rPr>
                <w:sz w:val="20"/>
                <w:szCs w:val="20"/>
                <w:color w:val="auto"/>
              </w:rPr>
            </w:pPr>
            <w:r>
              <w:rPr>
                <w:rFonts w:ascii="Arial" w:cs="Arial" w:eastAsia="Arial" w:hAnsi="Arial"/>
                <w:sz w:val="14"/>
                <w:szCs w:val="14"/>
                <w:color w:val="auto"/>
              </w:rPr>
              <w:t>Discounted cash flow</w:t>
            </w:r>
          </w:p>
        </w:tc>
        <w:tc>
          <w:tcPr>
            <w:tcW w:w="1340" w:type="dxa"/>
            <w:vAlign w:val="bottom"/>
          </w:tcPr>
          <w:p>
            <w:pPr>
              <w:ind w:left="200"/>
              <w:spacing w:after="0"/>
              <w:rPr>
                <w:sz w:val="20"/>
                <w:szCs w:val="20"/>
                <w:color w:val="auto"/>
              </w:rPr>
            </w:pPr>
            <w:r>
              <w:rPr>
                <w:rFonts w:ascii="Arial" w:cs="Arial" w:eastAsia="Arial" w:hAnsi="Arial"/>
                <w:sz w:val="14"/>
                <w:szCs w:val="14"/>
                <w:color w:val="auto"/>
              </w:rPr>
              <w:t>Level 3</w:t>
            </w:r>
          </w:p>
        </w:tc>
        <w:tc>
          <w:tcPr>
            <w:tcW w:w="2160" w:type="dxa"/>
            <w:vAlign w:val="bottom"/>
          </w:tcPr>
          <w:p>
            <w:pPr>
              <w:jc w:val="right"/>
              <w:ind w:right="1028"/>
              <w:spacing w:after="0"/>
              <w:rPr>
                <w:sz w:val="20"/>
                <w:szCs w:val="20"/>
                <w:color w:val="auto"/>
              </w:rPr>
            </w:pPr>
            <w:r>
              <w:rPr>
                <w:rFonts w:ascii="Arial" w:cs="Arial" w:eastAsia="Arial" w:hAnsi="Arial"/>
                <w:sz w:val="14"/>
                <w:szCs w:val="14"/>
                <w:color w:val="auto"/>
              </w:rPr>
              <w:t>100%</w:t>
            </w:r>
          </w:p>
        </w:tc>
        <w:tc>
          <w:tcPr>
            <w:tcW w:w="2860" w:type="dxa"/>
            <w:vAlign w:val="bottom"/>
          </w:tcPr>
          <w:p>
            <w:pPr>
              <w:ind w:left="1100"/>
              <w:spacing w:after="0"/>
              <w:rPr>
                <w:sz w:val="20"/>
                <w:szCs w:val="20"/>
                <w:color w:val="auto"/>
              </w:rPr>
            </w:pPr>
            <w:r>
              <w:rPr>
                <w:rFonts w:ascii="Arial" w:cs="Arial" w:eastAsia="Arial" w:hAnsi="Arial"/>
                <w:sz w:val="14"/>
                <w:szCs w:val="14"/>
                <w:color w:val="auto"/>
              </w:rPr>
              <w:t>Future cash distributions</w:t>
            </w:r>
          </w:p>
        </w:tc>
        <w:tc>
          <w:tcPr>
            <w:tcW w:w="980" w:type="dxa"/>
            <w:vAlign w:val="bottom"/>
          </w:tcPr>
          <w:p>
            <w:pPr>
              <w:jc w:val="right"/>
              <w:spacing w:after="0"/>
              <w:rPr>
                <w:sz w:val="20"/>
                <w:szCs w:val="20"/>
                <w:color w:val="auto"/>
              </w:rPr>
            </w:pPr>
            <w:r>
              <w:rPr>
                <w:rFonts w:ascii="Arial" w:cs="Arial" w:eastAsia="Arial" w:hAnsi="Arial"/>
                <w:sz w:val="14"/>
                <w:szCs w:val="14"/>
                <w:color w:val="auto"/>
              </w:rPr>
              <w:t>90% - 110%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800" w:hanging="792"/>
        <w:spacing w:after="0"/>
        <w:tabs>
          <w:tab w:leader="none" w:pos="80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Transportation rate beyond existing contract terms as a percentage of current mean REX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NOTE 9. CALIFORNIA UTILITIES' REGULATORY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Rate Case (GRC)</w:t>
      </w:r>
    </w:p>
    <w:p>
      <w:pPr>
        <w:spacing w:after="0" w:line="20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December 2010, the California Utilities filed their 2012 General Rate Case (GRC) applications to establish their authorized 2012 revenue requirements and the ratemaking mechanisms by which those requirements will change on an annual basis over the subsequent three-year (2013-2015) period. Both SDG&amp;E and SoCalGas filed revised applications with the CPUC in July 2011. Evidentiary hearings were completed in January 2012, and final briefs reflecting the results from these hearings were filed with the CPUC in May 2012.</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February 2012, the California Utilities filed amendments to update their July 2011 revised applications. With these amendments, SDG&amp;E is requesting a revenue requirement in 2012 of $1.849 billion, an increase of $235 million (or 14.6%) over 2011, of which $67 million is being requested for cost recovery of the incremental wildfire insurance premiums which are not included in the 2011 revenue requirement as set forth in the 2008 GRC. SoCalGas is requesting a revenue requirement in 2012 of $2.112 billion, an increase of $268 million (14.5%) over 2011. The Division of Ratepayer Advocates (DRA) is recommending that the CPUC reduce the utilities’ revenue requirements in 2012 by approximately 5 percent compared to 2011.</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Until such time as a final decision for the 2012 GRC is issued, the California Utilities are recording revenues in 2012 based on levels authorized in 2011 plus, for SDG&amp;E, consistent with the recent CPUC decisions for cost recovery for SDG&amp;E’s incremental wildfire insurance premiums, an amount for the recovery of 2012 wildfire insurance premiums. The current CPUC schedule indicates a final decision for the 2012 GRC, which will be made effective retroactive to January 1, 2012, by the end of 2012. However, if the CPUC does not issue a final decision for the 2012 GRC by December 31, 2012, Sempra Energy and the California Utilities will not be able to report the retroactive impact to January 1, 2012 of the final decision in their 2012 financial results, but would reflect the impact in 2013 financial results in the period in which such final decision is issued.</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Capital</w:t>
      </w:r>
    </w:p>
    <w:p>
      <w:pPr>
        <w:spacing w:after="0" w:line="2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cost of capital proceeding determines a utility’s authorized capital structure and authorized rate of return on rate base (ROR), which is a weighted average of the authorized returns on debt, preferred stock, and common equity (return on equity or ROE). The authorized ROR is the rate that the California Utilities are authorized to use in establishing rates to recover their cost of debt and equity, used to finance their investment in electric and natural gas distribution, natural gas transmission and electric generation assets. In addition, a cost of capital proceeding also addresses the automatic ROR adjustment mechanism which applies market-based benchmarks to determine whether an adjustment to the authorized ROR is required during the interim years between cost of capital proceedings.</w:t>
      </w:r>
    </w:p>
    <w:p>
      <w:pPr>
        <w:spacing w:after="0" w:line="19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SDG&amp;E and SoCalGas filed separate applications with the CPUC in April 2012 to update their cost of capital effective January 1, 2013. Southern California Edison (Edison) and Pacific Gas and Electric Company (PG&amp;E) also filed separate cost of capital applications with the CPUC. SDG&amp;E proposes to adjust its authorized capital structure by increasing the amount of its common equity from 49.0 percent to 52.0 percent. SDG&amp;E also proposes to lower its authorized ROE from 11.1 percent to 11.0 percent and, as reflected in its supplemental filing with the CPUC in October 2012, to lower its authorized ROR from 8.40 percent to 8.15 percent. SoCalGas proposes to adjust its authorized capital structure by increasing the amount of its common equity from 48.0 percent to 52.0 percent. SoCalGas also proposes to increase its authorized ROE from 10.82 percent to 10.9 percent and, as reflected in its supplemental filing with the CPUC in October 2012, to lower its authorized ROR from 8.68 percent to 8.44 percent. In addition, SDG&amp;E proposes to continue its currently approved cost of capital adjustment mechanism which uses a utility bond benchmark. SoCalGas proposes switching from its current cost of capital adjustment mechanism, which is based on U.S. Treasury Bonds, to a mechanism using a utility bond benchmark similar to SDG&amp;E, Edison and PG&amp;E. Both SDG&amp;E and SoCalGas are proposing to add an “off ramp” provision to the adjustment mechanism as a safeguard to protect against extreme changes in interest rates and to allow the CPUC latitude to suspend the annual mechanism if prudent.</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CPUC issued a ruling in June 2012 bifurcating the proceeding. Phase 1 will address each utility’s cost of capital for 2013 with a final decision expected by the end of 2012. Phase 2 will address the cost of capital adjustment mechanisms for SDG&amp;E, SoCalGas, Edison and PG&amp;E, with a final decision expected in the first half of 2013.</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SDG&amp;E’s current cost of capital adjustment mechanism benchmark is based on the 12-month average monthly A-rated utility bond yield as published by Moody’s for the 12-month period October through September of each fiscal year. If the 12-month average falls outside of a specified range, then SDG&amp;E’s authorized ROE would be adjusted, upward or downward, by one-half of the difference between the 12-month average and the mid-point of the specified range. In addition, SDG&amp;E’s authorized recovery rate for the cost of debt and preferred stock would also be adjusted to their respective actual weighted average cost. Therefore, SDG&amp;E’s authorized ROR would adjust, upward or downward, as a result of all three adjustments with the new rate going into effect on January 1 following the year in which the benchmark range was exceeded. SDG&amp;E’s current mechanism only applies during the intervening years between scheduled cost of capital updates and does not apply for any change in 2013 given the pending cost of capital application and the expectation of an updated cost of capital effective as of January 1, 2013.</w:t>
      </w:r>
    </w:p>
    <w:p>
      <w:pPr>
        <w:spacing w:after="0" w:line="1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SoCalGas’ Market Indexed Capital Adjustment Mechanism (MICAM) identifies two conditions for determining whether a change in the authorized rate of return is required. Both conditions are based on the 30-year Treasury bond yields – one being the most recent trailing 12-month rolling average yield and the second being the corresponding 12-month forward forecast yield as published by Global Insight. If both conditions fall outside a specified range in a given month, SoCalGas’ authorized ROE would be adjusted, upward or downward, by one-half of the difference between the trailing 12-month rolling average</w:t>
      </w:r>
    </w:p>
    <w:p>
      <w:pPr>
        <w:sectPr>
          <w:pgSz w:w="11900" w:h="16838" w:orient="portrait"/>
          <w:cols w:equalWidth="0" w:num="1">
            <w:col w:w="11420"/>
          </w:cols>
          <w:pgMar w:left="240" w:top="468" w:right="239" w:bottom="0" w:gutter="0" w:footer="0" w:header="0"/>
        </w:sectPr>
      </w:pPr>
    </w:p>
    <w:bookmarkStart w:id="39" w:name="page40"/>
    <w:bookmarkEnd w:id="39"/>
    <w:p>
      <w:pPr>
        <w:spacing w:after="0" w:line="279" w:lineRule="auto"/>
        <w:rPr>
          <w:sz w:val="20"/>
          <w:szCs w:val="20"/>
          <w:color w:val="auto"/>
        </w:rPr>
      </w:pPr>
      <w:r>
        <w:rPr>
          <w:rFonts w:ascii="Arial" w:cs="Arial" w:eastAsia="Arial" w:hAnsi="Arial"/>
          <w:sz w:val="17"/>
          <w:szCs w:val="17"/>
          <w:color w:val="auto"/>
        </w:rPr>
        <w:t>yield and the midpoint of the range, effective January 1 following the year in which both conditions were exceeded. Also, SoCalGas’ authorized recovery rate for the cost of debt and preferred stock would be adjusted to their respective actual weighted average cost. Therefore, SoCalGas’ authorized ROR would adjust, upward or downward, as a result of all three cost adjustments. In the event of such an event occurring, the benchmark interest rate would be reset to the interest rate in effect at the time it was determined that the benchmark range had been exceeded.</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August 2012, the CPUC issued an administrative ruling that confirmed SoCalGas’ participation in Phase 1 of the proceeding and held in abeyance the implementation of SoCalGas’ MICAM triggering event to make the ROE and ROR authorized by the CPUC in this proceeding effective on January 1, 2013.</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Pipeline Operations Safety Assessments</w:t>
      </w:r>
    </w:p>
    <w:p>
      <w:pPr>
        <w:spacing w:after="0" w:line="20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Various regulatory agencies, including the CPUC, are evaluating natural gas pipeline safety regulations, practices and procedures. 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June 2011, the CPUC directed SoCalGas, SDG&amp;E, PG&amp;E and Southwest Gas to file comprehensive implementation plans to test or replace all natural gas transmission pipelines that have not been pressure tested. The California Utilities filed their Pipeline Safety Enhancement Plan (PSEP) with the CPUC in August 2011. The proposed safety measures, investments and estimated costs are not included in the California Utilities’ 2012 GRC requests discussed above.</w:t>
      </w:r>
    </w:p>
    <w:p>
      <w:pPr>
        <w:spacing w:after="0" w:line="14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December 2011, the assigned Commissioner to the rulemaking proceeding for the pipeline safety regulations ruled that SDG&amp;E’s and SoCalGas’ Triennial Cost Allocation Proceeding (TCAP) would be the most logical proceeding to conduct the reasonableness and ratemaking review of the companies’ PSEP.</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January 2012, the CPUC Consumer Protection and Safety Division (CPSD) issued a Technical Report of the California Utilities’ PSEP. The report, along with testimony and evidentiary hearings, will be used to evaluate the PSEP in the regulatory process. Generally, the report found that the PSEP approach to pipeline replacement and pressure testing and other proposed enhancements is reasonable.</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February 2012, the assigned Commissioner in the TCAP issued a ruling setting a schedule for the review of the SDG&amp;E and SoCalGas PSEP with evidentiary hearings held in August 2012. SDG&amp;E and SoCalGas expect a final decision late in the first half of 2013. In April 2012, the CPUC issued an interim decision in the rulemaking proceeding formally transferring the PSEP to the TCAP and authorizing SDG&amp;E and SoCalGas to establish regulatory accounts to record the incremental costs of initiating the PSEP prior to a final decision on the PSEP. The TCAP proceeding will address the recovery of the costs recorded in the regulatory account.</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April 2012, the CPUC issued a decision expanding the scope of the rulemaking proceeding to incorporate the provisions of California Senate Bill 705, which requires gas utilities to develop and implement a plan for the safe and reliable operation of their gas pipeline facilities. SDG&amp;E and SoCalGas submitted their pipeline safety plans in June 2012. The CPUC must accept, modify or reject the plans by the end of 2012. The CPUC decision also orders the utilities to undergo independent management and financial audits to assure that the utilities are fully meeting their safety responsibilities. CPSD will select the independent auditors and will oversee the audits. A schedule for the audits has not been established.</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provide additional information regarding these rulemaking proceedings and the California Utilities’ PSEP in Note 14 of the Notes to Consolidated Financial Statements in the Updated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Utility Incentive Mechanisms</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provide additional information regarding these incentive mechanisms in Note 14 of the Notes to Consolidated Financial Statements in the Updated Annual Report, and in the updates below.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Energy Efficiency</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expect a final decision on an incentive mechanism for the 2013-2014 program period by the end of 2012. We expect a draft decision on how and if an incentive mechanism should apply to the 2010-2012 program cycle and a final decision on any incentive awards for the 2010-2012 period by the end of 2012. The CPUC issued its latest Order Instituting Rulemaking (OIR) in January 2012 to continue its review of the incentive mechanism.</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Procurement</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first quarter of 2012, the CPUC approved and SoCalGas recorded SoCalGas’ application for its Gas Cost Incentive Mechanism (GCIM) award of $6.2 million for natural gas procured for its core customers during the 12-month period ending March 31, 2011.</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June 2012, SoCalGas applied to the CPUC for approval of a GCIM award of $5.4 million for natural gas procured for its core customers during the 12-month period ending March 31, 2012. SoCalGas expects a CPUC decision in the first half of 2013.</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Onofre Nuclear Generating Station (SONGS)</w:t>
      </w:r>
    </w:p>
    <w:p>
      <w:pPr>
        <w:spacing w:after="0" w:line="205" w:lineRule="exact"/>
        <w:rPr>
          <w:sz w:val="20"/>
          <w:szCs w:val="20"/>
          <w:color w:val="auto"/>
        </w:rPr>
      </w:pPr>
    </w:p>
    <w:p>
      <w:pPr>
        <w:jc w:val="both"/>
        <w:ind w:right="720"/>
        <w:spacing w:after="0" w:line="342" w:lineRule="auto"/>
        <w:rPr>
          <w:sz w:val="20"/>
          <w:szCs w:val="20"/>
          <w:color w:val="auto"/>
        </w:rPr>
      </w:pPr>
      <w:r>
        <w:rPr>
          <w:rFonts w:ascii="Arial" w:cs="Arial" w:eastAsia="Arial" w:hAnsi="Arial"/>
          <w:sz w:val="16"/>
          <w:szCs w:val="16"/>
          <w:color w:val="auto"/>
        </w:rPr>
        <w:t>SDG&amp;E has a 20-percent ownership interest in San Onofre Nuclear Generating Station (SONGS), a 2,150-MW nuclear generating facility near San Clemente, California. SONGS is operated by Edison and is subject to the jurisdiction of the Nuclear Regulatory Commission (NRC) and the CPUC.</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2005, the CPUC authorized a project to install four new steam generators in Units 2 and 3 at SONGS and remove and dispose of their predecessor generators. Edison completed the installation of these steam generators in 2010 and 2011 for Units 2 and 3, respectively. In January 2012, a water leak occurred in the Unit 3 steam generator which caused it to be shut down. Edison conducted inspection testing and determined that the water leak was the result</w:t>
      </w:r>
    </w:p>
    <w:p>
      <w:pPr>
        <w:sectPr>
          <w:pgSz w:w="11900" w:h="16838" w:orient="portrait"/>
          <w:cols w:equalWidth="0" w:num="1">
            <w:col w:w="11400"/>
          </w:cols>
          <w:pgMar w:left="240" w:top="125" w:right="259" w:bottom="0" w:gutter="0" w:footer="0" w:header="0"/>
        </w:sectPr>
      </w:pPr>
    </w:p>
    <w:bookmarkStart w:id="40" w:name="page41"/>
    <w:bookmarkEnd w:id="40"/>
    <w:p>
      <w:pPr>
        <w:ind w:right="200"/>
        <w:spacing w:after="0" w:line="342" w:lineRule="auto"/>
        <w:rPr>
          <w:sz w:val="20"/>
          <w:szCs w:val="20"/>
          <w:color w:val="auto"/>
        </w:rPr>
      </w:pPr>
      <w:r>
        <w:rPr>
          <w:rFonts w:ascii="Arial" w:cs="Arial" w:eastAsia="Arial" w:hAnsi="Arial"/>
          <w:sz w:val="16"/>
          <w:szCs w:val="16"/>
          <w:color w:val="auto"/>
        </w:rPr>
        <w:t>of excessive wear from tube-to-tube contact. During a planned maintenance and refueling outage on the Unit 2 steam generators in February 2012, inspections found high levels of unexpected wear in some heat transfer tubes of the Unit 2 steam generators. As of today, both Units 2 and 3 remain offline.</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remedial action that will permit restart of one or both of the Units will need to be approved by the NRC. In March 2012, the NRC issued a Confirmatory Action Letter (CAL) that required NRC permission to restart Unit 2 and Unit 3 and outlined actions that Edison must complete before permission to restart either Unit may be sought. The NRC could also choose to impose additional inspections and assessment processes that could result in significant costs or additional delay. In October 2012, Edison submitted a plan to the NRC to restart and operate Unit 2 at a reduced power level for five months and then shut it down for further inspection. The plan submitted to the NRC does not address Unit 3. It is not clear at this time whether Unit 3 can be restarted without extensive additional repairs, and Edison has not indicated when it believes Unit 3 may be ready to restart operations. The timing of the restart of either of the Units is dependent upon approval by the NRC. The NRC may employ other procedures before making any determination about whether to grant permission pursuant to the terms of the CAL. It is also possible that one or more amendments to the NRC operating license for SONGS might be required (whether or not as a prerequisite to return a Unit to safe operation). There is no set or predetermined time period for such processes, and, accordingly, there can be no assurance about the length of time the NRC may take to review any request to restart submitted by Edison under the CAL or whether any such request would be granted in whole or in part.</w:t>
      </w:r>
    </w:p>
    <w:p>
      <w:pPr>
        <w:spacing w:after="0" w:line="1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Through September 30, 2012, SDG&amp;E’s proportional investment in the steam generators was approximately $180 million. These investment amounts remain subject to CPUC review upon submission of Edison’s final costs for the overall project.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unscheduled outage at SONGS, SDG&amp;E has procured replacement power, the cost of which is fully recovered in revenues subject to a reasonableness review by the CPUC. Replacement power costs for outages associated with the unscheduled SONGS outage (commencing in 2012 on January 31 for Unit 3 and March 5 for Unit 2) through September 30, 2012 were approximately $54 million. Total replacement power costs will not be known until the Units are returned to service.</w:t>
      </w:r>
    </w:p>
    <w:p>
      <w:pPr>
        <w:spacing w:after="0" w:line="187"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Currently, SDG&amp;E is collecting in customer rates its share of the operating costs, depreciation and return on its investment in SONGS. For the nine-month period ended September 30, 2012, SDG&amp;E has recognized (and collected through customer rates) an estimated $153 million of revenue associated with its investment in SONGS and operating costs. At September 30, 2012, SDG&amp;E’s weighted average rate base investment in SONGS was approximately $220 million and its net book investment, including construction work in progress and nuclear fuel was $485 million.</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November 2012, the CPUC issued an Order Instituting Investigation (OII) into the SONGS outage pursuant to California Public Utilities Code Section 455.5 to determine whether Edison and SDG&amp;E should remove from customer rates some or all revenue requirement associated with the portion of the facility that is out of service. This OII will consolidate all SONGS issues from related regulatory proceedings and consider the appropriate cost recovery for SONGS, including among other costs, the cost of the steam generator replacement project, replacement power costs, capital expenditures, operation and maintenance costs and seismic study costs. The OII requires that all costs related to SONGS incurred since January 1, 2012 be tracked in a separate memorandum account, with all revenues collected in recovery of such costs subject to refund, and will address the extent to which such revenues, if any, will be required to be refunded to customers.</w:t>
      </w:r>
    </w:p>
    <w:p>
      <w:pPr>
        <w:spacing w:after="0" w:line="189"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Under Section 455.5, any determination to adjust rates would be made after hearings are conducted in connection with Edison’s next general rate case. If, after investigation and hearings, the CPUC were to require SDG&amp;E to reduce rates as a result of a Unit being out of service and the Unit is subsequently returned to service, rates may be readjusted to reflect that return to service after 100 continuous hours of operation. Notwithstanding the requirements of Section 455.5, the CPUC may institute other proceedings relating to the impact of the extended outage at SONGS and its potential effects on rates.</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steam generators were designed and supplied by Mitsubishi Heavy Industries (MHI) and are warranted for an initial period of 20 years from acceptance. MHI is contractually obligated to repair or replace defective items and to pay specified damages for certain repairs. On July 18, 2012, the NRC issued a report providing the result of the inspection performed by the Augmented Inspection Team (AIT). The inspection concluded that faulty computer modeling that inadequately predicted conditions in the steam generators at SONGS and manufacturing issues contributed to excessive wear of the components. The most probable causes of the tube-to-tube wear were a combination of higher than predicted thermal/hydraulic conditions and changes in the manufacturing of the Unit 3 steam generators. This report also identified a number of yet unresolved issues that are continuing to be examined. Edison’s purchase contract with MHI states that MHI’s liability under the purchase agreement is limited to $137 million and excludes consequential damages, defined to include the cost of replacement power. Such limitations in the contract are subject to applicable exceptions. In September 2012, Edison submitted an invoice on behalf of all owners to MHI in the amount of $45 million for certain steam generator repair costs incurred. Edison expects to continue to invoice MHI for any additional costs incurred.</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SDG&amp;E is a named insured on the Edison insurance policies covering SONGS. These policies, issued by Nuclear Electric Insurance Limited (NEIL), cover nuclear property and non-nuclear property damage at the SONGS facility, as well as accidental outage insurance. Edison has placed NEIL on notice of potential claims for loss recovery. On October 1, 2012, Edison submitted to NEIL a Partial Proof of Loss on behalf of Edison, SDG&amp;E and the City of Riverside in connection with the outages of SONGS Units 2 and 3. The NEIL policies contain a number of exclusions and limitations that may reduce or eliminate coverage. SDG&amp;E will assist Edison in pursuing claims recoveries from NEIL, as well as warranty claims with MHI, but there is no assurance that SDG&amp;E will recover all or any of its applicable costs pursuant to these arrangements.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light of the aftermath and the significant safety events at the Fukushima Daiichi nuclear plant in Japan resulting from the earthquake and tsunami in March 2011, the NRC plans to perform additional operation and safety reviews of nuclear facilities in the United States. The lessons learned from the events in Japan and the results of the NRC reviews may materially impact future operations and capital requirements at nuclear facilities in the United States, including the operations and capital requirements at SONGS.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Edison is also addressing a number of other regulatory and performance issues at SONGS, and the NRC has required Edison to take actions to provide greater assurance of compliance by SONGS personnel. Edison continues to implement plans and address the identified issues, however a number of these issues remain outstanding. To the extent that these issues persist, it is likely that additional action will be required by Edison, which may result in increased SONGS operating costs and/or materially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provide more information about SONGS in Note 10 and in Notes 6, 14 and 15 of the Notes to Consolidated Financial Statements in the Updated Annual Report.</w:t>
      </w:r>
    </w:p>
    <w:p>
      <w:pPr>
        <w:sectPr>
          <w:pgSz w:w="11900" w:h="16838" w:orient="portrait"/>
          <w:cols w:equalWidth="0" w:num="1">
            <w:col w:w="11420"/>
          </w:cols>
          <w:pgMar w:left="240" w:top="125" w:right="239" w:bottom="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Power Procurement and Resource Planning</w:t>
      </w:r>
    </w:p>
    <w:p>
      <w:pPr>
        <w:sectPr>
          <w:pgSz w:w="11900" w:h="16838" w:orient="portrait"/>
          <w:cols w:equalWidth="0" w:num="1">
            <w:col w:w="11420"/>
          </w:cols>
          <w:pgMar w:left="240" w:top="125" w:right="239" w:bottom="0" w:gutter="0" w:footer="0" w:header="0"/>
          <w:type w:val="continuous"/>
        </w:sectPr>
      </w:pPr>
    </w:p>
    <w:bookmarkStart w:id="41" w:name="page42"/>
    <w:bookmarkEnd w:id="41"/>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Renewable Energy</w:t>
      </w:r>
    </w:p>
    <w:p>
      <w:pPr>
        <w:spacing w:after="0" w:line="20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SDG&amp;E is subject to the Renewables Portfolio Standard (RPS) Program administered by both the CPUC and the California Energy Commission (CEC), which requires each California utility to procure 33 percent of its annual electric energy requirements from renewable energy sources by 2020, with an average of 20 percent required from January 1, 2011 to December 31, 2013; 25 percent by December 31, 2016; and 33 percent by December 31, 2020. The CPUC began a rulemaking in May 2011 to address the implementation of the 33% RPS Program. We discuss the RPS Program further in Note 14 of the Notes to Consolidated Financial Statements in the Updated Annual Report.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 Orange County Reliability Enhancement</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SDG&amp;E filed an application with the CPUC in May 2012 for a Certificate of Public Convenience and Necessity (CPCN) to construct the South Orange County Reliability Enhancement project. The purpose of the project is to enhance the capacity and reliability of SDG&amp;E’s electric service to the south Orange County area. The proposed project primarily includes replacing and upgrading approximately eight miles of transmission lines and rebuilding and upgrading a substation at an existing site. SDG&amp;E expects a final CPUC decision approving the estimated $473 million project in the second half of 2013. SDG&amp;E obtained approval for the project from the ISO in May 2011. The project is planned to be in service by the second half of 2017.</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Incremental Insurance Premium Cost Recovery</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2010, the CPUC approved SDG&amp;E’s request for a $29 million revenue requirement for the recovery of the incremental increase in its general liability and wildfire liability insurance premium costs for the July 2009/June 2010 policy period. In its decision approving this cost recovery, the CPUC also authorized SDG&amp;E to request recovery of any incremental insurance premiums for future policy periods through December 31, 2011, with a $5 million deductible applied to each policy renewal period. This approval was in response to a request filed by SDG&amp;E with the CPUC in August 2009 seeking authorization to recover higher liability insurance premiums (amounts in excess of those authorized to be recovered in the 2008 GRC), which SDG&amp;E began incurring commencing July 1, 2009, and any losses realized due to higher deductibles associated with the new policies. SDG&amp;E made the filing under the CPUC’s rules allowing utilities to seek recovery of significant cost increases incurred between GRC filings that meet certain criteria, subject to a $5 million deductible per event.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2011, the CPUC approved SDG&amp;E’s request for an incremental revenue requirement of $63 million for the July 2010/June 2011 policy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May 2012, the CPUC approved SDG&amp;E’s request for a $28 million revenue requirement for the first six months of the July 2011/June 2012 policy period.</w:t>
      </w:r>
    </w:p>
    <w:p>
      <w:pPr>
        <w:spacing w:after="0" w:line="2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CPUC’s December 2010 decision, discussed above, the CPUC directed SDG&amp;E to include in its 2012 GRC application the amount of the incremental wildfire insurance premiums it would be seeking recovery for in rates subsequent to December 31, 2011. SDG&amp;E’s 2012 GRC application does request $67 million of revenue requirement for cost recovery of wildfire insurance premiums in 2012. As a decision on SDG&amp;E’s 2012 GRC application is pending with the CPUC, and based on the CPUC’s rulings for the recovery of the cost of the incremental wildfire insurance premiums incurred since July 2009, SDG&amp;E’s 2012 revenue through September 30, 2012 reflects the expected recovery of the cost of the incremental wildfire insurance premiums incurred in the current year.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Excess Wildfire Claims Cost Recovery</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SDG&amp;E and SoCalGas filed an application, along with other related filings, with the CPUC in August 2009 proposing a new mechanism for the future recovery of all wildfire-related expenses for claims, litigation expenses and insurance premiums that are in excess of amounts authorized by the CPUC for recovery in distribution rates. This application was made jointly with Edison and PG&amp;E. In July 2010, the CPUC approved SDG&amp;E’s and SoCalGas’ requests for separate regulatory memorandum accounts to record the subject expenses while the application is pending before the CPUC. Several parties protested the original application and, in response, the four utilities jointly submitted an amended application in August 2010. In November 2011, Edison and PG&amp;E requested to withdraw from the joint utility application due, in part, to the delays in the proceeding. In January 2012, the CPUC granted their requests to withdraw and held evidentiary hearings for SDG&amp;E and SoCalGas, both of which are still moving forward with the application. Legal briefs were completed in March 2012.</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October 2012, the Administrative Law Judge’s (ALJ) draft decision (Proposed Decision or PD) and the Assigned Commissioner’s alternate draft decision (Alternate Decision or AD) in this proceeding were issued. The PD rejects SDG&amp;E’s and SoCalGas’ request for a new balancing account and cost recovery mechanism and directs both SDG&amp;E and SoCalGas to close the regulatory memorandum account that was previously authorized by the CPUC in July 2010 and remove any amount recorded to it. The PD does, however, state that should SDG&amp;E continue to pursue recovery of such costs incurred, there are other established mechanisms that SDG&amp;E can utilize to seek recovery. The AD approves SDG&amp;E’s and SoCalGas’ request for a new balancing account and cost recovery mechanism but only for wildfire events that occur after July 2010, the effective date of the CPUC decision authorizing the regulatory memorandum account. The AD also directs SDG&amp;E to remove any amounts recorded in the regulatory memorandum account associated with the 2007 wildfires. Under the terms of the AD, for wildfires for which the utility is found not to be at fault, SDG&amp;E and SoCalGas may seek recovery in rates of 90 percent of costs incurred for payments made to settle claims associated with inverse condemnation which exceed the sum of $10 million per wildfire, their insurance coverage, and recoveries made from other third parties. For any costs incurred for wildfire events occurring prior to July 2010, the AD allows the utility to use the existing Z-factor application process to request recovery of such costs. A Z-factor application process allows utilities to seek recovery of significant cost increases incurred between GRC filings. We expect a final CPUC decision in the current proceeding by the end of 2012.</w:t>
      </w:r>
    </w:p>
    <w:p>
      <w:pPr>
        <w:spacing w:after="0" w:line="16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Following the issuance of the PD and the AD and consistent with CPUC rules and procedures, SDG&amp;E requested an ex parte meeting with the Assigned Commissioner and staff. The request was granted, and the ex parte meeting was held on October 29, 2012. At the meeting, SDG&amp;E provided information to the Assigned Commissioner addressing key issues from the AD that SDG&amp;E believes contradict prior CPUC rulings and decisions. On November 5, 2012, SDG&amp;E provided the CPUC with written comments and suggested changes to the AD. While there can be no assurance that the Assigned Commissioner will amend the AD, given the relevant regulatory and statutory standards and the issues discussed at the ex parte meeting, SDG&amp;E has concluded that it remains probable that SDG&amp;E will be permitted to recover from ratepayers substantially all reasonably incurred costs associated with the 2007 wildfires that exceed amounts recovered from its insurance coverage and other responsible third parties. SDG&amp;E intends to continue to pursue recovery of such costs in this proceeding or, if necessary, in a future application, such as the Z-factor application noted in both the PD and the AD.</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SDG&amp;E will continue to assess the recovery of these excess wildfire costs from ratepayers. Should SDG&amp;E conclude that the amount of recovery from ratepayers is no longer reasonably estimable or that recovery is no longer probable, including as a result of the CPUC’s failure to adopt a final decision in this</w:t>
      </w:r>
    </w:p>
    <w:p>
      <w:pPr>
        <w:sectPr>
          <w:pgSz w:w="11900" w:h="16840" w:orient="portrait"/>
          <w:cols w:equalWidth="0" w:num="1">
            <w:col w:w="11420"/>
          </w:cols>
          <w:pgMar w:left="240" w:top="339" w:right="239" w:bottom="0" w:gutter="0" w:footer="0" w:header="0"/>
        </w:sectPr>
      </w:pPr>
    </w:p>
    <w:bookmarkStart w:id="42" w:name="page43"/>
    <w:bookmarkEnd w:id="42"/>
    <w:p>
      <w:pPr>
        <w:ind w:right="240"/>
        <w:spacing w:after="0" w:line="259" w:lineRule="auto"/>
        <w:rPr>
          <w:sz w:val="20"/>
          <w:szCs w:val="20"/>
          <w:color w:val="auto"/>
        </w:rPr>
      </w:pPr>
      <w:r>
        <w:rPr>
          <w:rFonts w:ascii="Arial" w:cs="Arial" w:eastAsia="Arial" w:hAnsi="Arial"/>
          <w:sz w:val="18"/>
          <w:szCs w:val="18"/>
          <w:color w:val="auto"/>
        </w:rPr>
        <w:t>proceeding that supports future recovery from ratepayers, SDG&amp;E will record a charge against earnings at the time such conclusion is reached. If SDG&amp;E had concluded that such recovery was no longer probable or reasonably estimable as of September 30, 2012, the resulting after-tax charge against earnings would have been approximately $175 million. In addition, in periods following any such conclusion, SDG&amp;E’s earnings will be adversely impacted by increases in the estimated cost to settle pending wildfire claims.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10.</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East County Substation</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2012, the CPUC approved SDG&amp;E’s application for authorization to proceed with the East County Substation project, estimated to cost $435 million. The Bureau of Land Management (BLM) issued its record of decision in August 2012. SDG&amp;E expects to begin construction in the first half of 2013 and the substation to be placed in service in 2014. We provide additional information on the project in Note 14 of the Notes to Consolidated Financial Statements in the Updated Annual Report.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 MATTER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Aliso Canyon Natural Gas Storage Compressor Replacement</w:t>
      </w: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September 2009, SoCalGas filed an application with the CPUC requesting approval to replace certain obsolete natural gas turbine compressors used in the operations of SoCalGas’ Aliso Canyon natural gas storage reservoir, with a new electric compressor station. In April 2012, the CPUC issued a draft environmental impact report (EIR) for the project concluding that no significant or unavoidable adverse environmental impacts have been identified from the construction or operation of the proposed project. We expect a final EIR and CPUC decision on the estimated $200 million project in 2013.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We discuss additional matters affecting our California Utilities in Note 14 of the Notes to Consolidated Financial Statements in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coverages and could materially adversely affect our business, cash flows, results of operations, and financial condition. Unless otherwise indicated, we are unable to estimate reasonably possible losses in excess of any amounts accrued.</w:t>
      </w:r>
    </w:p>
    <w:p>
      <w:pPr>
        <w:spacing w:after="0" w:line="18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At September 30, 2012, Sempra Energy’s accrued liabilities for material legal proceedings, on a consolidated basis, were $427 million. At September 30, 2012, accrued liabilities for material legal proceedings for SDG&amp;E and SoCalGas were $411 million and $5 million, respectively. At September 30, 2012, liabilities of $411 million at Sempra Energy and SDG&amp;E were related to wildfire litigation discussed below.</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an estimated 1,141 homes destroyed.</w:t>
      </w:r>
    </w:p>
    <w:p>
      <w:pPr>
        <w:spacing w:after="0" w:line="15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government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1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No trial date is currently scheduled.</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 SDG&amp;E has entered into settlement agreements with Cox and the three contractors for a total of approximately $824 million. Among other things,</w:t>
      </w:r>
    </w:p>
    <w:p>
      <w:pPr>
        <w:sectPr>
          <w:pgSz w:w="11900" w:h="16838" w:orient="portrait"/>
          <w:cols w:equalWidth="0" w:num="1">
            <w:col w:w="11380"/>
          </w:cols>
          <w:pgMar w:left="240" w:top="125" w:right="279" w:bottom="0" w:gutter="0" w:footer="0" w:header="0"/>
        </w:sectPr>
      </w:pPr>
    </w:p>
    <w:bookmarkStart w:id="43" w:name="page44"/>
    <w:bookmarkEnd w:id="43"/>
    <w:p>
      <w:pPr>
        <w:ind w:right="60"/>
        <w:spacing w:after="0" w:line="277" w:lineRule="auto"/>
        <w:rPr>
          <w:sz w:val="20"/>
          <w:szCs w:val="20"/>
          <w:color w:val="auto"/>
        </w:rPr>
      </w:pPr>
      <w:r>
        <w:rPr>
          <w:rFonts w:ascii="Arial" w:cs="Arial" w:eastAsia="Arial" w:hAnsi="Arial"/>
          <w:sz w:val="18"/>
          <w:szCs w:val="18"/>
          <w:color w:val="auto"/>
        </w:rPr>
        <w:t>the settlement agreements provide that SDG&amp;E will defend and indemnify Cox and the three contractors against all compensatory damage claims and related costs arising out of the wildfires.</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4,700 of these plaintiffs, including all of the government entities. Approximately 1,550 of the approximately 1,750 remaining individual and business plaintiffs have submitted settlement demands and damage estimates totaling approximately $1.4 billion. SDG&amp;E does not expect significant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17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SDG&amp;E’s settled claims and defense costs have exceeded its $1.1 billion of liability insurance coverage and the approximately $824 million received or receivable from third parties to date. It expects that its wildfire reserves and amounts paid to resolve wildfire claims will continue to increase as it obtains additional information.</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we discuss in Note 9, upon consideration of the relevant regulatory and statutory standards and the issues discussed at an ex parte meeting with the CPUC Assigned Commissioner, SDG&amp;E has concluded that it is probable that it will be permitted to recover from its utility customers substantially all reasonably incurred costs of resolving wildfire claims in excess of its liability insurance coverage and the amounts recovered from other responsible parties. Accordingly, although such recovery will require future regulatory actions, at September 30, 2012, Sempra Energy and SDG&amp;E have recorded assets of $326 million in Regulatory Assets Arising From Wildfire Litigation Costs on their Condensed Consolidated Balance Sheets, including $292 million related to CPUC operations, which represents the amount substantially equal to the aggregate amount it has paid or reserved for payment for the resolution of wildfire claims and related costs in excess of its liability insurance coverage and amounts received or receivable from third parties. SDG&amp;E will increase the regulatory assets as additional amounts are paid or reserves are recorded.</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SDG&amp;E will continue to assess the recovery of these excess wildfire costs from ratepayers. Should SDG&amp;E conclude that the amount of recovery from ratepayers is no longer reasonably estimable or that recovery is no longer probable, SDG&amp;E will record a charge against earnings at the time such conclusion is reached. If SDG&amp;E had concluded that such recovery was no longer probable or reasonably estimable as of September 30, 2012, the resulting after-tax charge against earnings would have been approximately $175 million. In addition, in periods following any such conclusion, SDG&amp;E’s earnings will be adversely impacted by increases in the estimated cost to settle pending wildfire claims. We provide additional information about excess wildfire claims cost recovery in Note 9.</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SDG&amp;E’s cash flow may be materially adversely affected due to the timing differences between the resolution of claims and the recoveries from utility customers,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financial position, cash flows and results of operations.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SDG&amp;E will continue to gather information to evaluate and assess the remaining wildfire claims and the likelihood, amount and timing of related recoveries from utility customers and will make appropriate adjustments to wildfire reserves and the related regulatory assets as additional information becomes available.</w:t>
      </w:r>
    </w:p>
    <w:p>
      <w:pPr>
        <w:spacing w:after="0" w:line="18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Since 2010, as liabilities for wildfire litigation have become reasonably estimable in the form of settlement demands, damage estimates, and other damage information, SDG&amp;E has recorded related reserves as a liability. The impact of this liability at September 30, 2012 is offset by the recognition of regulatory assets, as discussed above, for reserves in excess of the insurance coverage and recoveries from third parties. Due primarily to the recovery from two of SDG&amp;E’s contractors, the impact of the reserves on SDG&amp;E’s and Sempra Energy’s after-tax earnings was an increase of $1 million and a decrease of $5 million for the three months ended September 30, 2012 and 2011, respectively, and a decrease of $4 million and $7 million for the nine months ended September 30, 2012 and 2011, respectively. At September 30, 2012, wildfire litigation reserves were $411 million ($284 million in current and $127 million in long-term). Additionally, through September 30, 2012, SDG&amp;E has expended $187 million (excluding amounts covered by insurance and amounts recovered from other responsible third parties) to pay costs associated with the settlement of wildfire claims.</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05"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SDG&amp;E commenced construction on the Sunrise Powerlink in the fall of 2010. The Sunrise Powerlink is a new 117-mile, 500-kilovolt (kV) electric transmission line between the Imperial Valley and the San Diego region, along a route that generally runs south of the Anza-Borrego Desert State Park. Construction of the transmission line has been completed and the line was energized and placed in service in June 2012.</w:t>
      </w:r>
    </w:p>
    <w:p>
      <w:pPr>
        <w:spacing w:after="0" w:line="1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Sunrise Powerlink project was originally approved by the CPUC in December 2008, including approval of the environmental impact review conducted jointly with the BLM. The CPUC subsequently denied or dismissed all requests for rehearing of its approval of the project. In February 2011, the California Supreme Court denied a petition filed jointly by the Utility Consumers’ Action Network (UCAN) and the Center for Biological Diversity/Sierra Club challenging the CPUC’s decision with regard to implementation of the California Environmental Quality Act (CEQA).</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January 2009, the BLM issued its decision approving the portions of the project, route and environmental review within its jurisdiction. The Interior Board of Land Appeals subsequently denied or dismissed all administrative appeals that were filed challenging the BLM’s approval of the project.</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2010, parties opposed to the project filed a lawsuit in Federal District Court in San Diego alleging that the BLM failed to properly address the environmental impacts of the approved Sunrise Powerlink route and the related potential development of renewable resources in east San Diego County and Imperial County. In July 2012, the U.S. Court of Appeals for the Ninth Circuit affirmed the District Court’s grant of the defendants’ motion for summary judgment.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July 2010, the United States Forest Service (USFS) issued its decision approving the portions of the project, route and environmental review within its jurisdiction. The USFS subsequently denied all administrative appeals challenging its approval of the project.</w:t>
      </w:r>
    </w:p>
    <w:p>
      <w:pPr>
        <w:sectPr>
          <w:pgSz w:w="11900" w:h="16838" w:orient="portrait"/>
          <w:cols w:equalWidth="0" w:num="1">
            <w:col w:w="11400"/>
          </w:cols>
          <w:pgMar w:left="240" w:top="125" w:right="259" w:bottom="112" w:gutter="0" w:footer="0" w:header="0"/>
        </w:sectPr>
      </w:pPr>
    </w:p>
    <w:bookmarkStart w:id="44" w:name="page45"/>
    <w:bookmarkEnd w:id="44"/>
    <w:p>
      <w:pPr>
        <w:ind w:right="260"/>
        <w:spacing w:after="0" w:line="259" w:lineRule="auto"/>
        <w:rPr>
          <w:sz w:val="20"/>
          <w:szCs w:val="20"/>
          <w:color w:val="auto"/>
        </w:rPr>
      </w:pPr>
      <w:r>
        <w:rPr>
          <w:rFonts w:ascii="Arial" w:cs="Arial" w:eastAsia="Arial" w:hAnsi="Arial"/>
          <w:sz w:val="18"/>
          <w:szCs w:val="18"/>
          <w:color w:val="auto"/>
        </w:rPr>
        <w:t>The CPUC and BLM jointly approved the final Project Modification Report for Sunrise Powerlink in September 2010, accepting all of the proposed modifications to the approved route and finding that no additional environmental review was required. In March 2011, opponents of the Sunrise Powerlink filed a petition with the California Supreme Court challenging the CPUC’s acceptance of the Project Modification Report. The California Supreme Court denied the petition in April 2011.</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In June 2012, the U.S. Court of Appeals for the Ninth Circuit affirmed the District Court’s denial of plaintiffs’ motion for a preliminary injunction.</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CEQA. The Superior Court denied the plaintiffs’ petition in July 2012, and the plaintiffs have appealed.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September 2011 Power Outage</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in San Diego against Arizona Public Service Company, Pinnacle West,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from the lawsuit. In addition, more than 7,000 customers’ claims, primarily related to food spoilage, have been submitted directly to SDG&amp;E. The Federal Energy Regulatory Commission (FERC) and North American Electric Reliability Corp. (NERC) conducted a joint inquiry to determine the cause of the power failure and issued a report in May 2012 regarding their findings. The report does not include any findings of failure on SDG&amp;E’s part that led to the power failure.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Smart Meters Patent Infringement Lawsuit</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SoCalGas, along with Monsanto Co., Solutia, Inc., Pharmacia Corp., and Pfizer, Inc., are defendants in five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 SoCalGas has settled two of the five lawsuits for an amount that is not significant and has been recorded.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Sempra Mexico has been engaged in a long-running land dispute relating to property adjacent to its Energía Costa Azul liquefied natural gas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February 2011, based on a complaint by the claimant, the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Sempra Mexico expects additional Mexican court proceedings and governmental actions regarding the claimant’s assertions as to whether the terminal’s permits should be modified or revoked in any manner.</w:t>
      </w:r>
    </w:p>
    <w:p>
      <w:pPr>
        <w:spacing w:after="0" w:line="16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Additionally, several administrative challenges are pending in Mexico before the Mexican environmental protection agency (SEMARNAT) and/or the Federal Tax and Administrative Courts seeking revocation of the environmental impact authorization (EIA) issued to Energía Costa Azul in 2003. These cases generally allege that the conditions and mitigation measures in the EIA are inadequate and challenge findings that the activities of the terminal are consistent with regional development guidelines. Also, there are two real property cases pending against Energía Costa Azul in which the plaintiffs seek to annul the recorded property titles for parcels on which the Energía Costa Azul LNG terminal is situated and to obtain possession of different parcels that allegedly sit in the same place. Sempra Mexico expects further proceedings on each of these matters.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July 2012, a Mexicali state court issued a ruling declaring the purchase contract by which Termoeléctrica de Mexicali (TDM) acquired the property on which the facility is located to be invalid, on the grounds that the proceeding in which the seller acquired title was invalid. TDM has appealed the ruling, and it is not enforceable while the appeal is pending. In accordance with Mexican law, TDM remains in possession of the property, and its operations have not been affected.</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Litigation</w:t>
      </w:r>
    </w:p>
    <w:p>
      <w:pPr>
        <w:sectPr>
          <w:pgSz w:w="11900" w:h="16838" w:orient="portrait"/>
          <w:cols w:equalWidth="0" w:num="1">
            <w:col w:w="11420"/>
          </w:cols>
          <w:pgMar w:left="240" w:top="125" w:right="239" w:bottom="0" w:gutter="0" w:footer="0" w:header="0"/>
          <w:type w:val="continuous"/>
        </w:sectPr>
      </w:pPr>
    </w:p>
    <w:bookmarkStart w:id="45" w:name="page46"/>
    <w:bookmarkEnd w:id="45"/>
    <w:p>
      <w:pPr>
        <w:ind w:right="40"/>
        <w:spacing w:after="0" w:line="289" w:lineRule="auto"/>
        <w:rPr>
          <w:sz w:val="20"/>
          <w:szCs w:val="20"/>
          <w:color w:val="auto"/>
        </w:rPr>
      </w:pPr>
      <w:r>
        <w:rPr>
          <w:rFonts w:ascii="Arial" w:cs="Arial" w:eastAsia="Arial" w:hAnsi="Arial"/>
          <w:sz w:val="16"/>
          <w:szCs w:val="16"/>
          <w:color w:val="auto"/>
        </w:rPr>
        <w:t>In August 2007, the U.S. Court of Appeals for the Ninth Circuit issued a decision reversing and remanding certain FERC orders declining to provide refunds regarding short-term bilateral sales up to one month in the Pacific Northwest for the December 2000 to June 2001 time period.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in the Pacific Northwest, but potential claims may exist regarding sales in the Pacific Northwest between Sempra Commodities and other parties.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and several subsidiaries, along with three oil and natural gas companies, the City of Beverly Hills, and the Beverly Hills Unified School District, were defendants in toxic tort lawsuits filed beginning in 2003 in Los Angeles County Superior Court by approximately 1,000 plaintiffs. These lawsuits claimed that various emissions resulted in cancer or fear of cancer. In November 2006, the court granted the defendants’ summary judgment motions based on lack of medical causation for the 12 initial plaintiffs scheduled to go to trial first. The court also granted summary judgment excluding punitive damages. In June 2010, a tentative settlement as to Sempra Energy and its subsidiaries was reached for an amount that was not significant and was recorded. The settlement was finalized in August 2012.</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described in Note 4, we hold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tax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In September 2012, HMRC issued an assessment of £86 million for the VAT paid in connection with these transactions and identified several options for responding, including requesting a review by HMRC and appealing to an independent tribunal. HMRC indicated that the assessment was issued on a protective basis as discussion about the issues is continuing.</w:t>
      </w:r>
    </w:p>
    <w:p>
      <w:pPr>
        <w:spacing w:after="0" w:line="16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types of cases.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$9.7 million.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9.</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discuss below significant changes in the first nine months of 2012 to contractual commitments discussed in Note 15 of the Notes to Consolidated Financial Statements in the Updated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SoCalGas’ natural gas purchase and pipeline capacity commitments have increased by $232 million since December 31, 2011. The increase, primarily due to new natural gas purchase and pipeline capacity contracts of $591 million, is offset by a reduction of $359 million from fulfillment of commitments in the first nine months of 2012. Net future payments are expected to decrease by $231 million in 2012 and increase by $307 million in 2013, $67 million in 2014, $34 million in 2015, $4 million in 2016 and $51 million thereafter compared to December 31, 2011.</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Sempra Mexico’s natural gas purchase commitments have decreased by $128 million since December 31, 2011, primarily due to changes in forward prices and fulfillment of commitments in the first nine months of 2012. Net future payments are therefore expected to decrease by $81 million in 2012, $22 million in 2013 and $25 million in 2014 compared to December 31, 2011.</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Sempra Natural Gas’ natural gas purchase and storage capacity commitments have increased by $73 million since December 31, 2011, primarily due to new storage capacity contracts in the first nine months of 2012. Net future payments are expected to decrease by $7 million in 2012, and increase by $14 million in 2013, $10 million in 2014, $11 million in 2015, $11 million in 2016 and $34 million thereafter compared to December 31, 2011.</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Purchase Agreements</w:t>
      </w:r>
    </w:p>
    <w:p>
      <w:pPr>
        <w:sectPr>
          <w:pgSz w:w="11900" w:h="16838" w:orient="portrait"/>
          <w:cols w:equalWidth="0" w:num="1">
            <w:col w:w="11420"/>
          </w:cols>
          <w:pgMar w:left="240" w:top="341" w:right="239" w:bottom="0" w:gutter="0" w:footer="0" w:header="0"/>
        </w:sectPr>
      </w:pPr>
    </w:p>
    <w:bookmarkStart w:id="46" w:name="page47"/>
    <w:bookmarkEnd w:id="46"/>
    <w:p>
      <w:pPr>
        <w:ind w:right="20"/>
        <w:spacing w:after="0" w:line="276" w:lineRule="auto"/>
        <w:rPr>
          <w:sz w:val="20"/>
          <w:szCs w:val="20"/>
          <w:color w:val="auto"/>
        </w:rPr>
      </w:pPr>
      <w:r>
        <w:rPr>
          <w:rFonts w:ascii="Arial" w:cs="Arial" w:eastAsia="Arial" w:hAnsi="Arial"/>
          <w:sz w:val="17"/>
          <w:szCs w:val="17"/>
          <w:color w:val="auto"/>
        </w:rPr>
        <w:t>At September 30, 2012, Sempra Natural Gas has various purchase agreements with major international companies for the supply of LNG to the Energía Costa Azul and Cameron receipt terminals. We discuss these agreements further in Note 15 of the Notes to Consolidated Financial Statements in the Updated Annual Report. Sempra Natural Gas’ commitments under all LNG purchase agreements, reflecting changes in forward prices since December 31, 2011 and actual transactions for the first nine months of 2012, are expected to decrease by $384 million in 2012, $9 million in 2013, $18 million in 2014, $27 million in 2015, $33 million in 2016 and $523 million thereafter compared to December 31, 2011.</w:t>
      </w:r>
    </w:p>
    <w:p>
      <w:pPr>
        <w:spacing w:after="0" w:line="17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LNG commitment amounts above are based on Sempra Natural Gas’ commitment to accept the maximum possible delivery of cargoes under the agreements. Actual LNG purchases for the nine months ended September 30, 2012 have been significantly lower than the maximum amounts possible.</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SDG&amp;E’s commitments under purchased-power contract commitments have increased by $1.6 billion since December 31, 2011. The increase is primarily due to new contracts associated with renewable energy development projects and changes in expected prices. Net future payments are therefore expected to decrease by $47 million in 2012, and increase by $18 million in 2013, $61 million in 2014, $66 million in 2015, $67 million in 2016 and $1.4 billion thereafter compared to December 31, 2011.</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Sempra South American Utilities’ purchased-power contracts have increased by $96 million since December 31, 2011, primarily due to foreign currency translation (as the contracts are denominated in the local currency), offset by changes in expected prices and fulfillment of commitments in the first nine months of 2012. Net future payments for the purchased-power contracts at Luz del Sur are expected to decrease by $291 million in 2012, increase by $15 million in 2013 and $2 million in 2014, decrease by $1 million in 2015, and to increase by $8 million in 2016 and $105 million thereafter. Net future payments for the purchased-power contracts at Chilquinta Energía are expected to decrease by $205 million in 2012, and increase by $28 million in 2013, $32 million in 2014, $34 million in 2015, $34 million in 2016 and $335 million thereafter. These amounts are based on estimated future purchases at current contracted rates, as the contracts require no minimum purchases.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Sempra Renewables entered into a land lease for the Copper Mountain Solar 2 project, which lease expires in 2054. Future payments on the lease are $2 million in 2013, $2 million in 2014, $2 million in 2015, $2 million in 2016 and $57 million thereafter.</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pacing w:after="0" w:line="2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the first nine months of 2012, significant increases to contractual commitments at SDG&amp;E were $34 million for electric transmission and distribution systems, $11 million for infrastructure improvements for natural gas transmission and distribution operations and $196 million for construction costs associated with the ECO Substation. The future payments for these contractual commitments are expected to be $62 million in 2012, $159 million in 2013 and $20 million in 2014.</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completion of the Sunrise Powerlink project, the CPUC required that SDG&amp;E establish a fire mitigation fund to minimize the risk of fire as well as reduce the potential wildfire impact on residences and structures near the Sunrise Powerlink. The future payments for these contractual commitments are expected to be approximately $3 million per year, subject to escalation of 2 percent per year, for 58 years. At September 30, 2012, the present value of these future payments of $116 million has been recorded as a regulatory asset as the amounts represent a cost that will be recovered from customers in the future, and the related liability was $113 million.</w:t>
      </w:r>
    </w:p>
    <w:p>
      <w:pPr>
        <w:spacing w:after="0" w:line="18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 the first nine months of 2012, significant increases to contractual commitments at SoCalGas were $60 million for construction and infrastructure improvements for natural gas transmission and distribution operations. The payments for these contractual commitments are all expected to be in 2012.</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2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July 2012, SDG&amp;E received $85 million from Citizens Sunrise Transmission, LLC (Citizens), a subsidiary of Citizens Energy Corporation. For this payment, under the terms of the agreement with Citizens, SDG&amp;E will provide Citizens with access to a segment of the Sunrise Powerlink transmission line known as the Border-East transmission line equal to 50 percent of the transfer capacity of this portion of the line for a period of 30 years. After the 30-year contract term, the transfer capability will revert to SDG&amp;E. SDG&amp;E will amortize deferred revenues from the use of the transfer capability over the 30-year term, and depreciation for 50 percent of the Border-East transmission line segment will be accelerated from an estimated 58-year life to 30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NOTE 11. SEGMENT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have six separately managed reportable segments, as follows:</w:t>
      </w:r>
    </w:p>
    <w:p>
      <w:pPr>
        <w:spacing w:after="0" w:line="225" w:lineRule="exact"/>
        <w:rPr>
          <w:sz w:val="20"/>
          <w:szCs w:val="20"/>
          <w:color w:val="auto"/>
        </w:rPr>
      </w:pPr>
    </w:p>
    <w:p>
      <w:pPr>
        <w:ind w:left="660" w:hanging="229"/>
        <w:spacing w:after="0"/>
        <w:tabs>
          <w:tab w:leader="none" w:pos="6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11" w:lineRule="exact"/>
        <w:rPr>
          <w:rFonts w:ascii="Arial" w:cs="Arial" w:eastAsia="Arial" w:hAnsi="Arial"/>
          <w:sz w:val="18"/>
          <w:szCs w:val="18"/>
          <w:i w:val="1"/>
          <w:iCs w:val="1"/>
          <w:color w:val="auto"/>
        </w:rPr>
      </w:pPr>
    </w:p>
    <w:p>
      <w:pPr>
        <w:ind w:left="660" w:hanging="229"/>
        <w:spacing w:after="0"/>
        <w:tabs>
          <w:tab w:leader="none" w:pos="6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11" w:lineRule="exact"/>
        <w:rPr>
          <w:rFonts w:ascii="Arial" w:cs="Arial" w:eastAsia="Arial" w:hAnsi="Arial"/>
          <w:sz w:val="18"/>
          <w:szCs w:val="18"/>
          <w:i w:val="1"/>
          <w:iCs w:val="1"/>
          <w:color w:val="auto"/>
        </w:rPr>
      </w:pPr>
    </w:p>
    <w:p>
      <w:pPr>
        <w:jc w:val="both"/>
        <w:ind w:left="660" w:hanging="229"/>
        <w:spacing w:after="0" w:line="264" w:lineRule="auto"/>
        <w:tabs>
          <w:tab w:leader="none" w:pos="6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South American Utilities </w:t>
      </w:r>
      <w:r>
        <w:rPr>
          <w:rFonts w:ascii="Arial" w:cs="Arial" w:eastAsia="Arial" w:hAnsi="Arial"/>
          <w:sz w:val="18"/>
          <w:szCs w:val="18"/>
          <w:color w:val="auto"/>
        </w:rPr>
        <w:t>operates electric transmission and distribution utilities in Chile and Peru, and owns interests in utilities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Argentina. We are currently pursuing the sale of our interests in the Argentine utilities, which we discuss further in Note 4 of the Notes to Consolidated Financial Statements in the Updated Annual Report.</w:t>
      </w:r>
    </w:p>
    <w:p>
      <w:pPr>
        <w:spacing w:after="0" w:line="167" w:lineRule="exact"/>
        <w:rPr>
          <w:rFonts w:ascii="Arial" w:cs="Arial" w:eastAsia="Arial" w:hAnsi="Arial"/>
          <w:sz w:val="18"/>
          <w:szCs w:val="18"/>
          <w:i w:val="1"/>
          <w:iCs w:val="1"/>
          <w:color w:val="auto"/>
        </w:rPr>
      </w:pPr>
    </w:p>
    <w:p>
      <w:pPr>
        <w:ind w:left="660" w:hanging="229"/>
        <w:spacing w:after="0" w:line="308" w:lineRule="auto"/>
        <w:tabs>
          <w:tab w:leader="none" w:pos="660" w:val="left"/>
        </w:tabs>
        <w:numPr>
          <w:ilvl w:val="0"/>
          <w:numId w:val="6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Sempra Mexico </w:t>
      </w:r>
      <w:r>
        <w:rPr>
          <w:rFonts w:ascii="Arial" w:cs="Arial" w:eastAsia="Arial" w:hAnsi="Arial"/>
          <w:sz w:val="17"/>
          <w:szCs w:val="17"/>
          <w:color w:val="auto"/>
        </w:rPr>
        <w:t>develops, owns and operates, or holds interests in, natural gas transmission pipelines and propane systems, a natural gas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utility, electric generation facilities, including wind, and a terminal for the import of LNG and sale of natural gas in Mexico.</w:t>
      </w:r>
    </w:p>
    <w:p>
      <w:pPr>
        <w:spacing w:after="0" w:line="133" w:lineRule="exact"/>
        <w:rPr>
          <w:rFonts w:ascii="Arial" w:cs="Arial" w:eastAsia="Arial" w:hAnsi="Arial"/>
          <w:sz w:val="17"/>
          <w:szCs w:val="17"/>
          <w:i w:val="1"/>
          <w:iCs w:val="1"/>
          <w:color w:val="auto"/>
        </w:rPr>
      </w:pPr>
    </w:p>
    <w:p>
      <w:pPr>
        <w:ind w:left="660" w:hanging="229"/>
        <w:spacing w:after="0"/>
        <w:tabs>
          <w:tab w:leader="none" w:pos="66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Renewables </w:t>
      </w:r>
      <w:r>
        <w:rPr>
          <w:rFonts w:ascii="Arial" w:cs="Arial" w:eastAsia="Arial" w:hAnsi="Arial"/>
          <w:sz w:val="16"/>
          <w:szCs w:val="16"/>
          <w:color w:val="auto"/>
        </w:rPr>
        <w:t>develops, owns and operates, or holds interests in, wind and solar energy projects in Arizona, California, Colorado, Hawaii,</w:t>
      </w:r>
    </w:p>
    <w:p>
      <w:pPr>
        <w:sectPr>
          <w:pgSz w:w="11900" w:h="16838" w:orient="portrait"/>
          <w:cols w:equalWidth="0" w:num="1">
            <w:col w:w="11420"/>
          </w:cols>
          <w:pgMar w:left="240" w:top="341" w:right="239" w:bottom="0" w:gutter="0" w:footer="0" w:header="0"/>
        </w:sectPr>
      </w:pPr>
    </w:p>
    <w:bookmarkStart w:id="47" w:name="page48"/>
    <w:bookmarkEnd w:id="47"/>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 Kansas, Nevada and Pennsylvania to serve wholesale electricity markets in the United States.</w:t>
      </w:r>
    </w:p>
    <w:p>
      <w:pPr>
        <w:spacing w:after="0" w:line="252" w:lineRule="exact"/>
        <w:rPr>
          <w:sz w:val="20"/>
          <w:szCs w:val="20"/>
          <w:color w:val="auto"/>
        </w:rPr>
      </w:pPr>
    </w:p>
    <w:p>
      <w:pPr>
        <w:ind w:left="660" w:hanging="229"/>
        <w:spacing w:after="0" w:line="342" w:lineRule="auto"/>
        <w:tabs>
          <w:tab w:leader="none" w:pos="66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plant,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natural gas distribution utilities and a terminal for the import and export of LNG and sale of natural gas, all within the United States.</w:t>
      </w:r>
    </w:p>
    <w:p>
      <w:pPr>
        <w:spacing w:after="0" w:line="1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Sempra South American Utilities and Sempra Mexico comprise our Sempra International operating unit. Sempra Renewables and Sempra Natural Gas comprise our Sempra U.S. Gas &amp; Power operating unit.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following tables show selected information by segment from our Condensed Consolidated Statements of Operations and Condensed Consolidated Balance Sheets. Amounts labeled as “All other” in the following tables consist primarily of parent organizations and the former commodities-marketing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83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c>
          <w:tcPr>
            <w:tcW w:w="110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c>
          <w:tcPr>
            <w:tcW w:w="112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color w:val="auto"/>
              </w:rPr>
              <w:t>Three months ended September 30,</w:t>
            </w:r>
          </w:p>
        </w:tc>
        <w:tc>
          <w:tcPr>
            <w:tcW w:w="1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Nine months ended September 30,</w:t>
            </w:r>
          </w:p>
        </w:tc>
        <w:tc>
          <w:tcPr>
            <w:tcW w:w="740" w:type="dxa"/>
            <w:vAlign w:val="bottom"/>
            <w:tcBorders>
              <w:bottom w:val="single" w:sz="8" w:color="auto"/>
            </w:tcBorders>
          </w:tcPr>
          <w:p>
            <w:pPr>
              <w:spacing w:after="0"/>
              <w:rPr>
                <w:sz w:val="17"/>
                <w:szCs w:val="17"/>
                <w:color w:val="auto"/>
              </w:rPr>
            </w:pPr>
          </w:p>
        </w:tc>
      </w:tr>
      <w:tr>
        <w:trPr>
          <w:trHeight w:val="223"/>
        </w:trPr>
        <w:tc>
          <w:tcPr>
            <w:tcW w:w="3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spacing w:after="0"/>
              <w:rPr>
                <w:sz w:val="19"/>
                <w:szCs w:val="19"/>
                <w:color w:val="auto"/>
              </w:rPr>
            </w:pPr>
          </w:p>
        </w:tc>
      </w:tr>
      <w:tr>
        <w:trPr>
          <w:trHeight w:val="204"/>
        </w:trPr>
        <w:tc>
          <w:tcPr>
            <w:tcW w:w="3040" w:type="dxa"/>
            <w:vAlign w:val="bottom"/>
          </w:tcPr>
          <w:p>
            <w:pPr>
              <w:spacing w:after="0"/>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5"/>
        </w:trPr>
        <w:tc>
          <w:tcPr>
            <w:tcW w:w="304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1,092</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44 % $</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868</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34 % $</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2,706</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39 % $</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2,405</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32 %</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728</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29</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844</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33</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2,328</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33</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2,776</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37</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356</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14</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345</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13</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1,061</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15</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706</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10</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181</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7</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183</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7</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434</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561</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8</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294</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12</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455</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18</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761</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11</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1,340</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18</w:t>
            </w:r>
          </w:p>
        </w:tc>
      </w:tr>
      <w:tr>
        <w:trPr>
          <w:trHeight w:val="216"/>
        </w:trPr>
        <w:tc>
          <w:tcPr>
            <w:tcW w:w="3040" w:type="dxa"/>
            <w:vAlign w:val="bottom"/>
          </w:tcPr>
          <w:p>
            <w:pPr>
              <w:ind w:left="80"/>
              <w:spacing w:after="0"/>
              <w:rPr>
                <w:sz w:val="20"/>
                <w:szCs w:val="20"/>
                <w:color w:val="auto"/>
              </w:rPr>
            </w:pPr>
            <w:r>
              <w:rPr>
                <w:rFonts w:ascii="Arial" w:cs="Arial" w:eastAsia="Arial" w:hAnsi="Arial"/>
                <w:sz w:val="16"/>
                <w:szCs w:val="16"/>
                <w:color w:val="auto"/>
              </w:rPr>
              <w:t>Adjustments and eliminations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Intersegment revenues(1)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(171)</w:t>
            </w: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(7)</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(5)</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(359)</w:t>
            </w: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(5)</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(372)</w:t>
            </w: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w:t>
            </w:r>
          </w:p>
        </w:tc>
      </w:tr>
      <w:tr>
        <w:trPr>
          <w:trHeight w:val="176"/>
        </w:trPr>
        <w:tc>
          <w:tcPr>
            <w:tcW w:w="304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2,507</w:t>
            </w:r>
          </w:p>
        </w:tc>
        <w:tc>
          <w:tcPr>
            <w:tcW w:w="11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 $</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2,576</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 $</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6,979</w:t>
            </w:r>
          </w:p>
        </w:tc>
        <w:tc>
          <w:tcPr>
            <w:tcW w:w="11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100 % $</w:t>
            </w:r>
          </w:p>
        </w:tc>
        <w:tc>
          <w:tcPr>
            <w:tcW w:w="9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7,432</w:t>
            </w:r>
          </w:p>
        </w:tc>
        <w:tc>
          <w:tcPr>
            <w:tcW w:w="7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100 %</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7"/>
        </w:trPr>
        <w:tc>
          <w:tcPr>
            <w:tcW w:w="3040" w:type="dxa"/>
            <w:vAlign w:val="bottom"/>
          </w:tcPr>
          <w:p>
            <w:pPr>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49</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124</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104</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52</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72</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62</w:t>
            </w:r>
          </w:p>
        </w:tc>
        <w:tc>
          <w:tcPr>
            <w:tcW w:w="740" w:type="dxa"/>
            <w:vAlign w:val="bottom"/>
          </w:tcPr>
          <w:p>
            <w:pPr>
              <w:spacing w:after="0"/>
              <w:rPr>
                <w:sz w:val="18"/>
                <w:szCs w:val="18"/>
                <w:color w:val="auto"/>
              </w:rPr>
            </w:pPr>
          </w:p>
        </w:tc>
      </w:tr>
      <w:tr>
        <w:trPr>
          <w:trHeight w:val="216"/>
        </w:trPr>
        <w:tc>
          <w:tcPr>
            <w:tcW w:w="3040" w:type="dxa"/>
            <w:vAlign w:val="bottom"/>
          </w:tcPr>
          <w:p>
            <w:pPr>
              <w:ind w:left="8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62</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58</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185</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w:t>
            </w: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(95)</w:t>
            </w:r>
          </w:p>
        </w:tc>
        <w:tc>
          <w:tcPr>
            <w:tcW w:w="740" w:type="dxa"/>
            <w:vAlign w:val="bottom"/>
            <w:tcBorders>
              <w:bottom w:val="single" w:sz="8" w:color="auto"/>
            </w:tcBorders>
          </w:tcPr>
          <w:p>
            <w:pPr>
              <w:spacing w:after="0"/>
              <w:rPr>
                <w:sz w:val="18"/>
                <w:szCs w:val="18"/>
                <w:color w:val="auto"/>
              </w:rPr>
            </w:pPr>
          </w:p>
        </w:tc>
      </w:tr>
      <w:tr>
        <w:trPr>
          <w:trHeight w:val="216"/>
        </w:trPr>
        <w:tc>
          <w:tcPr>
            <w:tcW w:w="30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126</w:t>
            </w: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118</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352</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344</w:t>
            </w:r>
          </w:p>
        </w:tc>
        <w:tc>
          <w:tcPr>
            <w:tcW w:w="740" w:type="dxa"/>
            <w:vAlign w:val="bottom"/>
            <w:tcBorders>
              <w:bottom w:val="single" w:sz="8" w:color="auto"/>
            </w:tcBorders>
          </w:tcPr>
          <w:p>
            <w:pPr>
              <w:spacing w:after="0"/>
              <w:rPr>
                <w:sz w:val="18"/>
                <w:szCs w:val="18"/>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7"/>
        </w:trPr>
        <w:tc>
          <w:tcPr>
            <w:tcW w:w="3040" w:type="dxa"/>
            <w:vAlign w:val="bottom"/>
          </w:tcPr>
          <w:p>
            <w:pPr>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740" w:type="dxa"/>
            <w:vAlign w:val="bottom"/>
          </w:tcPr>
          <w:p>
            <w:pPr>
              <w:spacing w:after="0"/>
              <w:rPr>
                <w:sz w:val="18"/>
                <w:szCs w:val="18"/>
                <w:color w:val="auto"/>
              </w:rPr>
            </w:pPr>
          </w:p>
        </w:tc>
      </w:tr>
      <w:tr>
        <w:trPr>
          <w:trHeight w:val="216"/>
        </w:trPr>
        <w:tc>
          <w:tcPr>
            <w:tcW w:w="3040" w:type="dxa"/>
            <w:vAlign w:val="bottom"/>
          </w:tcPr>
          <w:p>
            <w:pPr>
              <w:ind w:left="8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w:t>
            </w: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w:t>
            </w:r>
          </w:p>
        </w:tc>
        <w:tc>
          <w:tcPr>
            <w:tcW w:w="740" w:type="dxa"/>
            <w:vAlign w:val="bottom"/>
            <w:tcBorders>
              <w:bottom w:val="single" w:sz="8" w:color="auto"/>
            </w:tcBorders>
          </w:tcPr>
          <w:p>
            <w:pPr>
              <w:spacing w:after="0"/>
              <w:rPr>
                <w:sz w:val="18"/>
                <w:szCs w:val="18"/>
                <w:color w:val="auto"/>
              </w:rPr>
            </w:pPr>
          </w:p>
        </w:tc>
      </w:tr>
      <w:tr>
        <w:trPr>
          <w:trHeight w:val="216"/>
        </w:trPr>
        <w:tc>
          <w:tcPr>
            <w:tcW w:w="30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w:t>
            </w:r>
          </w:p>
        </w:tc>
        <w:tc>
          <w:tcPr>
            <w:tcW w:w="740" w:type="dxa"/>
            <w:vAlign w:val="bottom"/>
            <w:tcBorders>
              <w:bottom w:val="single" w:sz="8" w:color="auto"/>
            </w:tcBorders>
          </w:tcPr>
          <w:p>
            <w:pPr>
              <w:spacing w:after="0"/>
              <w:rPr>
                <w:sz w:val="18"/>
                <w:szCs w:val="18"/>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5"/>
        </w:trPr>
        <w:tc>
          <w:tcPr>
            <w:tcW w:w="304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128</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46 % $</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43 % $</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359</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45 % $</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316</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43 %</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91</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33</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83</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33</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268</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33</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246</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34</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5</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6</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4</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5</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6</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46</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6</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1</w:t>
            </w: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9</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10</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9</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79</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11</w:t>
            </w:r>
          </w:p>
        </w:tc>
      </w:tr>
      <w:tr>
        <w:trPr>
          <w:trHeight w:val="216"/>
        </w:trPr>
        <w:tc>
          <w:tcPr>
            <w:tcW w:w="3040" w:type="dxa"/>
            <w:vAlign w:val="bottom"/>
          </w:tcPr>
          <w:p>
            <w:pPr>
              <w:ind w:left="8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1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w:t>
            </w:r>
          </w:p>
        </w:tc>
      </w:tr>
      <w:tr>
        <w:trPr>
          <w:trHeight w:val="176"/>
        </w:trPr>
        <w:tc>
          <w:tcPr>
            <w:tcW w:w="304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280</w:t>
            </w:r>
          </w:p>
        </w:tc>
        <w:tc>
          <w:tcPr>
            <w:tcW w:w="11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 $</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251</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 $</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803</w:t>
            </w:r>
          </w:p>
        </w:tc>
        <w:tc>
          <w:tcPr>
            <w:tcW w:w="11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100 % $</w:t>
            </w:r>
          </w:p>
        </w:tc>
        <w:tc>
          <w:tcPr>
            <w:tcW w:w="9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729</w:t>
            </w:r>
          </w:p>
        </w:tc>
        <w:tc>
          <w:tcPr>
            <w:tcW w:w="7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100 %</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7"/>
        </w:trPr>
        <w:tc>
          <w:tcPr>
            <w:tcW w:w="30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151</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154</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106</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11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1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1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11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740" w:type="dxa"/>
            <w:vAlign w:val="bottom"/>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11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1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97</w:t>
            </w:r>
          </w:p>
        </w:tc>
        <w:tc>
          <w:tcPr>
            <w:tcW w:w="740" w:type="dxa"/>
            <w:vAlign w:val="bottom"/>
          </w:tcPr>
          <w:p>
            <w:pPr>
              <w:spacing w:after="0"/>
              <w:rPr>
                <w:sz w:val="18"/>
                <w:szCs w:val="18"/>
                <w:color w:val="auto"/>
              </w:rPr>
            </w:pPr>
          </w:p>
        </w:tc>
      </w:tr>
      <w:tr>
        <w:trPr>
          <w:trHeight w:val="216"/>
        </w:trPr>
        <w:tc>
          <w:tcPr>
            <w:tcW w:w="3040" w:type="dxa"/>
            <w:vAlign w:val="bottom"/>
          </w:tcPr>
          <w:p>
            <w:pPr>
              <w:ind w:left="8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w:t>
            </w: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w:t>
            </w: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w:t>
            </w:r>
          </w:p>
        </w:tc>
        <w:tc>
          <w:tcPr>
            <w:tcW w:w="740" w:type="dxa"/>
            <w:vAlign w:val="bottom"/>
            <w:tcBorders>
              <w:bottom w:val="single" w:sz="8" w:color="auto"/>
            </w:tcBorders>
          </w:tcPr>
          <w:p>
            <w:pPr>
              <w:spacing w:after="0"/>
              <w:rPr>
                <w:sz w:val="18"/>
                <w:szCs w:val="18"/>
                <w:color w:val="auto"/>
              </w:rPr>
            </w:pPr>
          </w:p>
        </w:tc>
      </w:tr>
      <w:tr>
        <w:trPr>
          <w:trHeight w:val="216"/>
        </w:trPr>
        <w:tc>
          <w:tcPr>
            <w:tcW w:w="30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49</w:t>
            </w: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289</w:t>
            </w:r>
          </w:p>
        </w:tc>
        <w:tc>
          <w:tcPr>
            <w:tcW w:w="740" w:type="dxa"/>
            <w:vAlign w:val="bottom"/>
            <w:tcBorders>
              <w:bottom w:val="single" w:sz="8" w:color="auto"/>
            </w:tcBorders>
          </w:tcPr>
          <w:p>
            <w:pPr>
              <w:spacing w:after="0"/>
              <w:rPr>
                <w:sz w:val="18"/>
                <w:szCs w:val="18"/>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4220" w:type="dxa"/>
            <w:vAlign w:val="bottom"/>
            <w:tcBorders>
              <w:bottom w:val="single" w:sz="8" w:color="auto"/>
            </w:tcBorders>
            <w:gridSpan w:val="2"/>
          </w:tcPr>
          <w:p>
            <w:pPr>
              <w:jc w:val="right"/>
              <w:ind w:right="848"/>
              <w:spacing w:after="0"/>
              <w:rPr>
                <w:sz w:val="20"/>
                <w:szCs w:val="20"/>
                <w:color w:val="auto"/>
              </w:rPr>
            </w:pPr>
            <w:r>
              <w:rPr>
                <w:rFonts w:ascii="Arial" w:cs="Arial" w:eastAsia="Arial" w:hAnsi="Arial"/>
                <w:sz w:val="14"/>
                <w:szCs w:val="14"/>
                <w:color w:val="auto"/>
              </w:rPr>
              <w:t>Three months ended September 30,</w:t>
            </w:r>
          </w:p>
        </w:tc>
        <w:tc>
          <w:tcPr>
            <w:tcW w:w="408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color w:val="auto"/>
              </w:rPr>
              <w:t>Nine months ended September 30,</w:t>
            </w:r>
          </w:p>
        </w:tc>
      </w:tr>
      <w:tr>
        <w:trPr>
          <w:trHeight w:val="223"/>
        </w:trPr>
        <w:tc>
          <w:tcPr>
            <w:tcW w:w="3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2012</w:t>
            </w:r>
          </w:p>
        </w:tc>
        <w:tc>
          <w:tcPr>
            <w:tcW w:w="2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2011</w:t>
            </w:r>
          </w:p>
        </w:tc>
        <w:tc>
          <w:tcPr>
            <w:tcW w:w="20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2012</w:t>
            </w:r>
          </w:p>
        </w:tc>
        <w:tc>
          <w:tcPr>
            <w:tcW w:w="2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2011</w:t>
            </w:r>
          </w:p>
        </w:tc>
      </w:tr>
    </w:tbl>
    <w:p>
      <w:pPr>
        <w:spacing w:after="0" w:line="29" w:lineRule="exact"/>
        <w:rPr>
          <w:sz w:val="20"/>
          <w:szCs w:val="20"/>
          <w:color w:val="auto"/>
        </w:rPr>
      </w:pPr>
    </w:p>
    <w:p>
      <w:pPr>
        <w:sectPr>
          <w:pgSz w:w="11900" w:h="16881"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color w:val="auto"/>
        </w:rPr>
        <w:t>EQUITY EARNINGS (LOSSES)</w:t>
      </w:r>
    </w:p>
    <w:p>
      <w:pPr>
        <w:sectPr>
          <w:pgSz w:w="11900" w:h="16881" w:orient="portrait"/>
          <w:cols w:equalWidth="0" w:num="1">
            <w:col w:w="11420"/>
          </w:cols>
          <w:pgMar w:left="240" w:top="125" w:right="239" w:bottom="0" w:gutter="0" w:footer="0" w:header="0"/>
          <w:type w:val="continuous"/>
        </w:sectPr>
      </w:pPr>
    </w:p>
    <w:bookmarkStart w:id="48" w:name="page49"/>
    <w:bookmarkEnd w:id="48"/>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ind w:left="60"/>
              <w:spacing w:after="0"/>
              <w:rPr>
                <w:sz w:val="20"/>
                <w:szCs w:val="20"/>
                <w:color w:val="auto"/>
              </w:rPr>
            </w:pPr>
            <w:r>
              <w:rPr>
                <w:rFonts w:ascii="Arial" w:cs="Arial" w:eastAsia="Arial" w:hAnsi="Arial"/>
                <w:sz w:val="16"/>
                <w:szCs w:val="16"/>
                <w:color w:val="auto"/>
              </w:rPr>
              <w:t>Earnings (losses) recorded before tax:</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860" w:type="dxa"/>
            <w:vAlign w:val="bottom"/>
            <w:gridSpan w:val="2"/>
          </w:tcPr>
          <w:p>
            <w:pPr>
              <w:jc w:val="right"/>
              <w:ind w:right="54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(87)</w:t>
            </w:r>
          </w:p>
        </w:tc>
        <w:tc>
          <w:tcPr>
            <w:tcW w:w="116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2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(94)</w:t>
            </w: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60"/>
              <w:spacing w:after="0"/>
              <w:rPr>
                <w:sz w:val="20"/>
                <w:szCs w:val="20"/>
                <w:color w:val="auto"/>
              </w:rPr>
            </w:pPr>
            <w:r>
              <w:rPr>
                <w:rFonts w:ascii="Arial" w:cs="Arial" w:eastAsia="Arial" w:hAnsi="Arial"/>
                <w:sz w:val="16"/>
                <w:szCs w:val="16"/>
                <w:color w:val="auto"/>
              </w:rPr>
              <w:t>Earnings recorded net of tax:</w:t>
            </w: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860" w:type="dxa"/>
            <w:vAlign w:val="bottom"/>
            <w:gridSpan w:val="2"/>
          </w:tcPr>
          <w:p>
            <w:pPr>
              <w:jc w:val="right"/>
              <w:ind w:right="54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10</w:t>
            </w: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320"/>
              <w:spacing w:after="0"/>
              <w:rPr>
                <w:sz w:val="20"/>
                <w:szCs w:val="20"/>
                <w:color w:val="auto"/>
              </w:rPr>
            </w:pPr>
            <w:r>
              <w:rPr>
                <w:rFonts w:ascii="Arial" w:cs="Arial" w:eastAsia="Arial" w:hAnsi="Arial"/>
                <w:sz w:val="16"/>
                <w:szCs w:val="16"/>
                <w:color w:val="auto"/>
              </w:rPr>
              <w:t>Total</w:t>
            </w:r>
          </w:p>
        </w:tc>
        <w:tc>
          <w:tcPr>
            <w:tcW w:w="860" w:type="dxa"/>
            <w:vAlign w:val="bottom"/>
            <w:gridSpan w:val="2"/>
          </w:tcPr>
          <w:p>
            <w:pPr>
              <w:jc w:val="right"/>
              <w:ind w:right="54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10</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60" w:type="dxa"/>
            <w:vAlign w:val="bottom"/>
          </w:tcPr>
          <w:p>
            <w:pPr>
              <w:spacing w:after="0"/>
              <w:rPr>
                <w:sz w:val="20"/>
                <w:szCs w:val="20"/>
                <w:color w:val="auto"/>
              </w:rPr>
            </w:pPr>
            <w:r>
              <w:rPr>
                <w:rFonts w:ascii="Arial" w:cs="Arial" w:eastAsia="Arial" w:hAnsi="Arial"/>
                <w:sz w:val="16"/>
                <w:szCs w:val="16"/>
                <w:color w:val="auto"/>
              </w:rPr>
              <w:t>EARNINGS (LOSSES)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140"/>
              <w:spacing w:after="0"/>
              <w:rPr>
                <w:sz w:val="20"/>
                <w:szCs w:val="20"/>
                <w:color w:val="auto"/>
              </w:rPr>
            </w:pPr>
            <w:r>
              <w:rPr>
                <w:rFonts w:ascii="Arial" w:cs="Arial" w:eastAsia="Arial" w:hAnsi="Arial"/>
                <w:sz w:val="16"/>
                <w:szCs w:val="16"/>
                <w:color w:val="auto"/>
              </w:rPr>
              <w:t>SDG&amp;E(2)</w:t>
            </w:r>
          </w:p>
        </w:tc>
        <w:tc>
          <w:tcPr>
            <w:tcW w:w="860" w:type="dxa"/>
            <w:vAlign w:val="bottom"/>
            <w:gridSpan w:val="2"/>
          </w:tcPr>
          <w:p>
            <w:pPr>
              <w:jc w:val="right"/>
              <w:ind w:right="54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174</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65 % $</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113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39 % $</w:t>
            </w:r>
          </w:p>
        </w:tc>
        <w:tc>
          <w:tcPr>
            <w:tcW w:w="900" w:type="dxa"/>
            <w:vAlign w:val="bottom"/>
          </w:tcPr>
          <w:p>
            <w:pPr>
              <w:jc w:val="right"/>
              <w:spacing w:after="0"/>
              <w:rPr>
                <w:sz w:val="20"/>
                <w:szCs w:val="20"/>
                <w:color w:val="auto"/>
              </w:rPr>
            </w:pPr>
            <w:r>
              <w:rPr>
                <w:rFonts w:ascii="Arial" w:cs="Arial" w:eastAsia="Arial" w:hAnsi="Arial"/>
                <w:sz w:val="16"/>
                <w:szCs w:val="16"/>
                <w:color w:val="auto"/>
              </w:rPr>
              <w:t>374</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273</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SoCalGas(2)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71</w:t>
            </w:r>
          </w:p>
        </w:tc>
        <w:tc>
          <w:tcPr>
            <w:tcW w:w="1160" w:type="dxa"/>
            <w:vAlign w:val="bottom"/>
          </w:tcPr>
          <w:p>
            <w:pPr>
              <w:jc w:val="right"/>
              <w:ind w:right="639"/>
              <w:spacing w:after="0"/>
              <w:rPr>
                <w:sz w:val="20"/>
                <w:szCs w:val="20"/>
                <w:color w:val="auto"/>
              </w:rPr>
            </w:pPr>
            <w:r>
              <w:rPr>
                <w:rFonts w:ascii="Arial" w:cs="Arial" w:eastAsia="Arial" w:hAnsi="Arial"/>
                <w:sz w:val="16"/>
                <w:szCs w:val="16"/>
                <w:color w:val="auto"/>
              </w:rPr>
              <w:t>26</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81</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208</w:t>
            </w: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40</w:t>
            </w:r>
          </w:p>
        </w:tc>
        <w:tc>
          <w:tcPr>
            <w:tcW w:w="1160" w:type="dxa"/>
            <w:vAlign w:val="bottom"/>
          </w:tcPr>
          <w:p>
            <w:pPr>
              <w:jc w:val="right"/>
              <w:ind w:right="639"/>
              <w:spacing w:after="0"/>
              <w:rPr>
                <w:sz w:val="20"/>
                <w:szCs w:val="20"/>
                <w:color w:val="auto"/>
              </w:rPr>
            </w:pPr>
            <w:r>
              <w:rPr>
                <w:rFonts w:ascii="Arial" w:cs="Arial" w:eastAsia="Arial" w:hAnsi="Arial"/>
                <w:sz w:val="16"/>
                <w:szCs w:val="16"/>
                <w:color w:val="auto"/>
              </w:rPr>
              <w:t>15</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386</w:t>
            </w: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54</w:t>
            </w:r>
          </w:p>
        </w:tc>
        <w:tc>
          <w:tcPr>
            <w:tcW w:w="1160" w:type="dxa"/>
            <w:vAlign w:val="bottom"/>
          </w:tcPr>
          <w:p>
            <w:pPr>
              <w:jc w:val="right"/>
              <w:ind w:right="639"/>
              <w:spacing w:after="0"/>
              <w:rPr>
                <w:sz w:val="20"/>
                <w:szCs w:val="20"/>
                <w:color w:val="auto"/>
              </w:rPr>
            </w:pPr>
            <w:r>
              <w:rPr>
                <w:rFonts w:ascii="Arial" w:cs="Arial" w:eastAsia="Arial" w:hAnsi="Arial"/>
                <w:sz w:val="16"/>
                <w:szCs w:val="16"/>
                <w:color w:val="auto"/>
              </w:rPr>
              <w:t>20</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47</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121</w:t>
            </w: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13</w:t>
            </w:r>
          </w:p>
        </w:tc>
        <w:tc>
          <w:tcPr>
            <w:tcW w:w="1160" w:type="dxa"/>
            <w:vAlign w:val="bottom"/>
          </w:tcPr>
          <w:p>
            <w:pPr>
              <w:jc w:val="right"/>
              <w:ind w:right="639"/>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(68)</w:t>
            </w:r>
          </w:p>
        </w:tc>
        <w:tc>
          <w:tcPr>
            <w:tcW w:w="1160" w:type="dxa"/>
            <w:vAlign w:val="bottom"/>
          </w:tcPr>
          <w:p>
            <w:pPr>
              <w:jc w:val="right"/>
              <w:ind w:right="599"/>
              <w:spacing w:after="0"/>
              <w:rPr>
                <w:sz w:val="20"/>
                <w:szCs w:val="20"/>
                <w:color w:val="auto"/>
              </w:rPr>
            </w:pPr>
            <w:r>
              <w:rPr>
                <w:rFonts w:ascii="Arial" w:cs="Arial" w:eastAsia="Arial" w:hAnsi="Arial"/>
                <w:sz w:val="16"/>
                <w:szCs w:val="16"/>
                <w:color w:val="auto"/>
              </w:rPr>
              <w:t>(25)</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41</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151</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(44)</w:t>
            </w: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60" w:type="dxa"/>
            <w:vAlign w:val="bottom"/>
            <w:tcBorders>
              <w:bottom w:val="single" w:sz="8" w:color="auto"/>
            </w:tcBorders>
          </w:tcPr>
          <w:p>
            <w:pPr>
              <w:ind w:left="320"/>
              <w:spacing w:after="0" w:line="176" w:lineRule="exact"/>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268</w:t>
            </w:r>
          </w:p>
        </w:tc>
        <w:tc>
          <w:tcPr>
            <w:tcW w:w="1160" w:type="dxa"/>
            <w:vAlign w:val="bottom"/>
            <w:tcBorders>
              <w:bottom w:val="single" w:sz="8" w:color="auto"/>
            </w:tcBorders>
          </w:tcPr>
          <w:p>
            <w:pPr>
              <w:jc w:val="right"/>
              <w:ind w:right="279"/>
              <w:spacing w:after="0" w:line="176" w:lineRule="exact"/>
              <w:rPr>
                <w:sz w:val="20"/>
                <w:szCs w:val="20"/>
                <w:color w:val="auto"/>
              </w:rPr>
            </w:pPr>
            <w:r>
              <w:rPr>
                <w:rFonts w:ascii="Arial" w:cs="Arial" w:eastAsia="Arial" w:hAnsi="Arial"/>
                <w:sz w:val="16"/>
                <w:szCs w:val="16"/>
                <w:color w:val="auto"/>
              </w:rPr>
              <w:t>100 % $</w:t>
            </w:r>
          </w:p>
        </w:tc>
        <w:tc>
          <w:tcPr>
            <w:tcW w:w="9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289</w:t>
            </w:r>
          </w:p>
        </w:tc>
        <w:tc>
          <w:tcPr>
            <w:tcW w:w="1040" w:type="dxa"/>
            <w:vAlign w:val="bottom"/>
            <w:tcBorders>
              <w:bottom w:val="single" w:sz="8" w:color="auto"/>
            </w:tcBorders>
            <w:gridSpan w:val="2"/>
          </w:tcPr>
          <w:p>
            <w:pPr>
              <w:jc w:val="right"/>
              <w:ind w:right="120"/>
              <w:spacing w:after="0" w:line="176" w:lineRule="exact"/>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566</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59"/>
              <w:spacing w:after="0" w:line="176" w:lineRule="exact"/>
              <w:rPr>
                <w:sz w:val="20"/>
                <w:szCs w:val="20"/>
                <w:color w:val="auto"/>
              </w:rPr>
            </w:pPr>
            <w:r>
              <w:rPr>
                <w:rFonts w:ascii="Arial" w:cs="Arial" w:eastAsia="Arial" w:hAnsi="Arial"/>
                <w:sz w:val="16"/>
                <w:szCs w:val="16"/>
                <w:color w:val="auto"/>
              </w:rPr>
              <w:t>100 % $</w:t>
            </w:r>
          </w:p>
        </w:tc>
        <w:tc>
          <w:tcPr>
            <w:tcW w:w="106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1,046</w:t>
            </w:r>
          </w:p>
        </w:tc>
        <w:tc>
          <w:tcPr>
            <w:tcW w:w="720" w:type="dxa"/>
            <w:vAlign w:val="bottom"/>
            <w:tcBorders>
              <w:bottom w:val="single" w:sz="8" w:color="auto"/>
            </w:tcBorders>
            <w:gridSpan w:val="2"/>
          </w:tcPr>
          <w:p>
            <w:pPr>
              <w:jc w:val="right"/>
              <w:ind w:right="19"/>
              <w:spacing w:after="0" w:line="176"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gridSpan w:val="5"/>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color w:val="auto"/>
              </w:rPr>
              <w:t>Nine months ended September 30,</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gridSpan w:val="4"/>
          </w:tcPr>
          <w:p>
            <w:pPr>
              <w:spacing w:after="0"/>
              <w:rPr>
                <w:sz w:val="20"/>
                <w:szCs w:val="20"/>
                <w:color w:val="auto"/>
              </w:rPr>
            </w:pPr>
            <w:r>
              <w:rPr>
                <w:rFonts w:ascii="Arial" w:cs="Arial" w:eastAsia="Arial" w:hAnsi="Arial"/>
                <w:sz w:val="16"/>
                <w:szCs w:val="16"/>
                <w:color w:val="auto"/>
              </w:rPr>
              <w:t>EXPENDITURES FOR PROPERTY PLANT &amp; EQUIPMENT</w:t>
            </w: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SDG&amp;E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998</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1,162</w:t>
            </w:r>
          </w:p>
        </w:tc>
        <w:tc>
          <w:tcPr>
            <w:tcW w:w="50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SoCalGas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499</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124</w:t>
            </w: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171</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2,031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rPr>
              <w:t>September 30, 2012</w:t>
            </w: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color w:val="auto"/>
              </w:rPr>
              <w:t>December 31, 2011</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tcPr>
          <w:p>
            <w:pPr>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SDG&amp;E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14,589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13,555</w:t>
            </w: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SoCalGas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8,784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8,475</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3,241</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2,981</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3,042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2,914</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1,210</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5,910</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5,738</w:t>
            </w: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520</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538</w:t>
            </w: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Intersegment receivables(3)</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(3,108)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(2,162)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35,390</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33,249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82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820" w:type="dxa"/>
            <w:vAlign w:val="bottom"/>
            <w:gridSpan w:val="3"/>
          </w:tcPr>
          <w:p>
            <w:pPr>
              <w:spacing w:after="0"/>
              <w:rPr>
                <w:sz w:val="20"/>
                <w:szCs w:val="20"/>
                <w:color w:val="auto"/>
              </w:rPr>
            </w:pPr>
            <w:r>
              <w:rPr>
                <w:rFonts w:ascii="Arial" w:cs="Arial" w:eastAsia="Arial" w:hAnsi="Arial"/>
                <w:sz w:val="16"/>
                <w:szCs w:val="16"/>
                <w:color w:val="auto"/>
              </w:rPr>
              <w:t>INVESTMENTS IN EQUITY METHOD INVESTEES</w:t>
            </w: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302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390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800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137</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1,629</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5" w:lineRule="exact"/>
        <w:rPr>
          <w:rFonts w:ascii="Arial" w:cs="Arial" w:eastAsia="Arial" w:hAnsi="Arial"/>
          <w:sz w:val="14"/>
          <w:szCs w:val="14"/>
          <w:i w:val="1"/>
          <w:iCs w:val="1"/>
          <w:color w:val="auto"/>
        </w:rPr>
      </w:pPr>
    </w:p>
    <w:p>
      <w:pPr>
        <w:ind w:left="500" w:right="180"/>
        <w:spacing w:after="0" w:line="241" w:lineRule="auto"/>
        <w:rPr>
          <w:rFonts w:ascii="Arial" w:cs="Arial" w:eastAsia="Arial" w:hAnsi="Arial"/>
          <w:sz w:val="14"/>
          <w:szCs w:val="14"/>
          <w:i w:val="1"/>
          <w:iCs w:val="1"/>
          <w:color w:val="auto"/>
        </w:rPr>
      </w:pPr>
      <w:r>
        <w:rPr>
          <w:rFonts w:ascii="Arial" w:cs="Arial" w:eastAsia="Arial" w:hAnsi="Arial"/>
          <w:sz w:val="14"/>
          <w:szCs w:val="14"/>
          <w:i w:val="1"/>
          <w:iCs w:val="1"/>
          <w:color w:val="auto"/>
        </w:rPr>
        <w:t>$3 million, $17 million, $78 million and $73 million for the three months ended September 30, 2012; $6 million, $48 million, $161 million and $144 million for the nine months ended September 30, 2012; $2 million, $13 million, $48 million and $62 million for the three months ended September 30, 2011; and $5 million, $38 million, $157 million and $172 million for the nine months ended September 30, 2011 for SDG&amp;E, SoCalGas, Sempra Mexico and Sempra Natural Gas, respectively.</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41" w:lineRule="exact"/>
        <w:rPr>
          <w:rFonts w:ascii="Arial" w:cs="Arial" w:eastAsia="Arial" w:hAnsi="Arial"/>
          <w:sz w:val="14"/>
          <w:szCs w:val="14"/>
          <w:i w:val="1"/>
          <w:iCs w:val="1"/>
          <w:color w:val="auto"/>
        </w:rPr>
      </w:pPr>
    </w:p>
    <w:p>
      <w:pPr>
        <w:ind w:left="500" w:hanging="492"/>
        <w:spacing w:after="0"/>
        <w:tabs>
          <w:tab w:leader="none" w:pos="50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Assets for reportable segments include intersegment receivables of:</w:t>
      </w:r>
    </w:p>
    <w:p>
      <w:pPr>
        <w:spacing w:after="0" w:line="15" w:lineRule="exact"/>
        <w:rPr>
          <w:rFonts w:ascii="Arial" w:cs="Arial" w:eastAsia="Arial" w:hAnsi="Arial"/>
          <w:sz w:val="14"/>
          <w:szCs w:val="14"/>
          <w:i w:val="1"/>
          <w:iCs w:val="1"/>
          <w:color w:val="auto"/>
        </w:rPr>
      </w:pPr>
    </w:p>
    <w:p>
      <w:pPr>
        <w:ind w:left="500" w:right="60"/>
        <w:spacing w:after="0" w:line="253" w:lineRule="auto"/>
        <w:rPr>
          <w:rFonts w:ascii="Arial" w:cs="Arial" w:eastAsia="Arial" w:hAnsi="Arial"/>
          <w:sz w:val="14"/>
          <w:szCs w:val="14"/>
          <w:i w:val="1"/>
          <w:iCs w:val="1"/>
          <w:color w:val="auto"/>
        </w:rPr>
      </w:pPr>
      <w:r>
        <w:rPr>
          <w:rFonts w:ascii="Arial" w:cs="Arial" w:eastAsia="Arial" w:hAnsi="Arial"/>
          <w:sz w:val="14"/>
          <w:szCs w:val="14"/>
          <w:i w:val="1"/>
          <w:iCs w:val="1"/>
          <w:color w:val="auto"/>
        </w:rPr>
        <w:t>$17 million, $280 million, $54 million, $643 million, $521 million, and $1.6 billion at September 30, 2012; and $67 million, $40 million, $52 million, $543 million, $263 million, and $1.2 billion at December 31, 2011 for SDG&amp;E, SoCalGas, Sempra South American Utilities, Sempra Mexico, Sempra Renewables and Sempra Natural Gas,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spacing w:after="0" w:line="260"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1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You should read the following discussion in conjunction with the financial statements contained in this Form 10-Q; “Management’s Discussion and Analysis of Financial Condition and Results of Operations” contained in Exhibit 99.4 to Sempra Energy’s Current Report on Form 8-K dated May 11, 2012 (Form 8-K); the Notes to Consolidated Financial Statements contained in Exhibit 99.5 to the Form 8-K; and “Risk Factors” contained in our 2011 Annual Report on Form 10-K (Form 10-K). We refer to the Form 8-K throughout this Form 10-Q as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2012 Business Segment Realignment</w:t>
      </w:r>
    </w:p>
    <w:p>
      <w:pPr>
        <w:sectPr>
          <w:pgSz w:w="11900" w:h="16962" w:orient="portrait"/>
          <w:cols w:equalWidth="0" w:num="1">
            <w:col w:w="11420"/>
          </w:cols>
          <w:pgMar w:left="240" w:top="128" w:right="239" w:bottom="0" w:gutter="0" w:footer="0" w:header="0"/>
        </w:sectPr>
      </w:pPr>
    </w:p>
    <w:p>
      <w:pPr>
        <w:spacing w:after="0" w:line="2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Effective January 1, 2012, management realigned some of the company’s major subsidiaries to better fit its strategic direction and to enhance the management and integration of our assets. This realignment resulted in a change in reportable segments in 2012. In accordance with accounting principles generally</w:t>
      </w:r>
    </w:p>
    <w:p>
      <w:pPr>
        <w:sectPr>
          <w:pgSz w:w="11900" w:h="16962" w:orient="portrait"/>
          <w:cols w:equalWidth="0" w:num="1">
            <w:col w:w="11420"/>
          </w:cols>
          <w:pgMar w:left="240" w:top="128" w:right="239" w:bottom="0" w:gutter="0" w:footer="0" w:header="0"/>
          <w:type w:val="continuous"/>
        </w:sectPr>
      </w:pPr>
    </w:p>
    <w:bookmarkStart w:id="49" w:name="page50"/>
    <w:bookmarkEnd w:id="49"/>
    <w:p>
      <w:pPr>
        <w:ind w:right="300"/>
        <w:spacing w:after="0" w:line="277" w:lineRule="auto"/>
        <w:rPr>
          <w:sz w:val="20"/>
          <w:szCs w:val="20"/>
          <w:color w:val="auto"/>
        </w:rPr>
      </w:pPr>
      <w:r>
        <w:rPr>
          <w:rFonts w:ascii="Arial" w:cs="Arial" w:eastAsia="Arial" w:hAnsi="Arial"/>
          <w:sz w:val="18"/>
          <w:szCs w:val="18"/>
          <w:color w:val="auto"/>
        </w:rPr>
        <w:t>accepted in the United States (GAAP), we have restated historical information in this Form 10-Q to reflect the effect of this change. All discussions of our operating units and reportable segments in this report reflect the new segments and operating structure.</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25" w:lineRule="exact"/>
        <w:rPr>
          <w:sz w:val="20"/>
          <w:szCs w:val="20"/>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References in this report to “we,” “our” and “Sempra Energy Consolidated” are to Sempra Energy and its consolidated entities, collectively, unless otherwise indicated by the context. All references in this report to “Sempra International” and “Sempra U.S. Gas &amp; Power,” and to their respective principal segments, are not intended to refer to any legal entity with the same or similar name.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units and their reportable segments.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MARKET</w:t>
            </w:r>
          </w:p>
        </w:tc>
        <w:tc>
          <w:tcPr>
            <w:tcW w:w="38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SAN DIEGO GAS &amp; ELECTRIC COMPANY</w:t>
            </w:r>
          </w:p>
        </w:tc>
        <w:tc>
          <w:tcPr>
            <w:tcW w:w="500" w:type="dxa"/>
            <w:vAlign w:val="bottom"/>
          </w:tcPr>
          <w:p>
            <w:pPr>
              <w:ind w:left="320"/>
              <w:spacing w:after="0" w:line="162" w:lineRule="exact"/>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Provides electricity to 3.4 million</w:t>
            </w:r>
          </w:p>
        </w:tc>
        <w:tc>
          <w:tcPr>
            <w:tcW w:w="3800" w:type="dxa"/>
            <w:vAlign w:val="bottom"/>
          </w:tcPr>
          <w:p>
            <w:pPr>
              <w:spacing w:after="0" w:line="162"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177"/>
        </w:trPr>
        <w:tc>
          <w:tcPr>
            <w:tcW w:w="384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(SDG&amp;E)</w:t>
            </w:r>
          </w:p>
        </w:tc>
        <w:tc>
          <w:tcPr>
            <w:tcW w:w="378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consumers (1.4 million meters)</w:t>
            </w:r>
          </w:p>
        </w:tc>
        <w:tc>
          <w:tcPr>
            <w:tcW w:w="3800" w:type="dxa"/>
            <w:vAlign w:val="bottom"/>
          </w:tcPr>
          <w:p>
            <w:pPr>
              <w:spacing w:after="0" w:line="178" w:lineRule="exact"/>
              <w:rPr>
                <w:sz w:val="20"/>
                <w:szCs w:val="20"/>
                <w:color w:val="auto"/>
              </w:rPr>
            </w:pPr>
            <w:r>
              <w:rPr>
                <w:rFonts w:ascii="Arial" w:cs="Arial" w:eastAsia="Arial" w:hAnsi="Arial"/>
                <w:sz w:val="16"/>
                <w:szCs w:val="16"/>
                <w:color w:val="auto"/>
              </w:rPr>
              <w:t>adjacent portion of southern Orange County</w:t>
            </w:r>
          </w:p>
        </w:tc>
        <w:tc>
          <w:tcPr>
            <w:tcW w:w="0" w:type="dxa"/>
            <w:vAlign w:val="bottom"/>
          </w:tcPr>
          <w:p>
            <w:pPr>
              <w:spacing w:after="0"/>
              <w:rPr>
                <w:sz w:val="1"/>
                <w:szCs w:val="1"/>
                <w:color w:val="auto"/>
              </w:rPr>
            </w:pPr>
          </w:p>
        </w:tc>
      </w:tr>
      <w:tr>
        <w:trPr>
          <w:trHeight w:val="73"/>
        </w:trPr>
        <w:tc>
          <w:tcPr>
            <w:tcW w:w="3840" w:type="dxa"/>
            <w:vAlign w:val="bottom"/>
            <w:tcBorders>
              <w:right w:val="single" w:sz="8" w:color="auto"/>
            </w:tcBorders>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780" w:type="dxa"/>
            <w:vAlign w:val="bottom"/>
            <w:tcBorders>
              <w:right w:val="single" w:sz="8" w:color="auto"/>
            </w:tcBorders>
            <w:gridSpan w:val="2"/>
            <w:vMerge w:val="continue"/>
          </w:tcPr>
          <w:p>
            <w:pPr>
              <w:spacing w:after="0"/>
              <w:rPr>
                <w:sz w:val="6"/>
                <w:szCs w:val="6"/>
                <w:color w:val="auto"/>
              </w:rPr>
            </w:pPr>
          </w:p>
        </w:tc>
        <w:tc>
          <w:tcPr>
            <w:tcW w:w="3800" w:type="dxa"/>
            <w:vAlign w:val="bottom"/>
            <w:vMerge w:val="restart"/>
          </w:tcPr>
          <w:p>
            <w:pPr>
              <w:spacing w:after="0" w:line="176" w:lineRule="exact"/>
              <w:rPr>
                <w:sz w:val="20"/>
                <w:szCs w:val="20"/>
                <w:color w:val="auto"/>
              </w:rPr>
            </w:pPr>
            <w:r>
              <w:rPr>
                <w:rFonts w:ascii="Arial" w:cs="Arial" w:eastAsia="Arial" w:hAnsi="Arial"/>
                <w:sz w:val="16"/>
                <w:szCs w:val="16"/>
                <w:color w:val="auto"/>
              </w:rPr>
              <w:t>covering 4,100 square miles</w:t>
            </w:r>
          </w:p>
        </w:tc>
        <w:tc>
          <w:tcPr>
            <w:tcW w:w="0" w:type="dxa"/>
            <w:vAlign w:val="bottom"/>
          </w:tcPr>
          <w:p>
            <w:pPr>
              <w:spacing w:after="0"/>
              <w:rPr>
                <w:sz w:val="1"/>
                <w:szCs w:val="1"/>
                <w:color w:val="auto"/>
              </w:rPr>
            </w:pPr>
          </w:p>
        </w:tc>
      </w:tr>
      <w:tr>
        <w:trPr>
          <w:trHeight w:val="102"/>
        </w:trPr>
        <w:tc>
          <w:tcPr>
            <w:tcW w:w="3840" w:type="dxa"/>
            <w:vAlign w:val="bottom"/>
            <w:tcBorders>
              <w:right w:val="single" w:sz="8" w:color="auto"/>
            </w:tcBorders>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280" w:type="dxa"/>
            <w:vAlign w:val="bottom"/>
            <w:tcBorders>
              <w:right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electric generation, transmission and distribution,</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Provides natural gas to 3.1 million</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and natural gas distribution</w:t>
            </w:r>
          </w:p>
        </w:tc>
        <w:tc>
          <w:tcPr>
            <w:tcW w:w="500" w:type="dxa"/>
            <w:vAlign w:val="bottom"/>
            <w:vMerge w:val="continue"/>
          </w:tcPr>
          <w:p>
            <w:pPr>
              <w:spacing w:after="0"/>
              <w:rPr>
                <w:sz w:val="12"/>
                <w:szCs w:val="12"/>
                <w:color w:val="auto"/>
              </w:rPr>
            </w:pPr>
          </w:p>
        </w:tc>
        <w:tc>
          <w:tcPr>
            <w:tcW w:w="3280" w:type="dxa"/>
            <w:vAlign w:val="bottom"/>
            <w:tcBorders>
              <w:right w:val="single" w:sz="8" w:color="auto"/>
            </w:tcBorders>
            <w:vMerge w:val="continue"/>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40" w:type="dxa"/>
            <w:vAlign w:val="bottom"/>
            <w:tcBorders>
              <w:right w:val="single" w:sz="8" w:color="auto"/>
            </w:tcBorders>
            <w:gridSpan w:val="2"/>
            <w:vMerge w:val="continue"/>
          </w:tcPr>
          <w:p>
            <w:pPr>
              <w:spacing w:after="0"/>
              <w:rPr>
                <w:sz w:val="4"/>
                <w:szCs w:val="4"/>
                <w:color w:val="auto"/>
              </w:rPr>
            </w:pPr>
          </w:p>
        </w:tc>
        <w:tc>
          <w:tcPr>
            <w:tcW w:w="378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consumers (855,000 meters)</w:t>
            </w:r>
          </w:p>
        </w:tc>
        <w:tc>
          <w:tcPr>
            <w:tcW w:w="3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right w:val="single" w:sz="8" w:color="auto"/>
            </w:tcBorders>
          </w:tcPr>
          <w:p>
            <w:pPr>
              <w:spacing w:after="0"/>
              <w:rPr>
                <w:sz w:val="12"/>
                <w:szCs w:val="12"/>
                <w:color w:val="auto"/>
              </w:rPr>
            </w:pPr>
          </w:p>
        </w:tc>
        <w:tc>
          <w:tcPr>
            <w:tcW w:w="3780" w:type="dxa"/>
            <w:vAlign w:val="bottom"/>
            <w:tcBorders>
              <w:right w:val="single" w:sz="8" w:color="auto"/>
            </w:tcBorders>
            <w:gridSpan w:val="2"/>
            <w:vMerge w:val="continue"/>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SOUTHERN CALIFORNIA GAS COMPANY</w:t>
            </w:r>
          </w:p>
        </w:tc>
        <w:tc>
          <w:tcPr>
            <w:tcW w:w="500" w:type="dxa"/>
            <w:vAlign w:val="bottom"/>
          </w:tcPr>
          <w:p>
            <w:pPr>
              <w:ind w:left="320"/>
              <w:spacing w:after="0" w:line="162" w:lineRule="exact"/>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Residential, commercial, industrial, utility</w:t>
            </w:r>
          </w:p>
        </w:tc>
        <w:tc>
          <w:tcPr>
            <w:tcW w:w="3800" w:type="dxa"/>
            <w:vAlign w:val="bottom"/>
          </w:tcPr>
          <w:p>
            <w:pPr>
              <w:spacing w:after="0" w:line="162"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177"/>
        </w:trPr>
        <w:tc>
          <w:tcPr>
            <w:tcW w:w="384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(SOCALGAS)</w:t>
            </w:r>
          </w:p>
        </w:tc>
        <w:tc>
          <w:tcPr>
            <w:tcW w:w="378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electric generation and wholesale customers</w:t>
            </w:r>
          </w:p>
        </w:tc>
        <w:tc>
          <w:tcPr>
            <w:tcW w:w="3800" w:type="dxa"/>
            <w:vAlign w:val="bottom"/>
          </w:tcPr>
          <w:p>
            <w:pPr>
              <w:spacing w:after="0" w:line="178" w:lineRule="exact"/>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73"/>
        </w:trPr>
        <w:tc>
          <w:tcPr>
            <w:tcW w:w="3840" w:type="dxa"/>
            <w:vAlign w:val="bottom"/>
            <w:tcBorders>
              <w:right w:val="single" w:sz="8" w:color="auto"/>
            </w:tcBorders>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780" w:type="dxa"/>
            <w:vAlign w:val="bottom"/>
            <w:tcBorders>
              <w:right w:val="single" w:sz="8" w:color="auto"/>
            </w:tcBorders>
            <w:gridSpan w:val="2"/>
            <w:vMerge w:val="continue"/>
          </w:tcPr>
          <w:p>
            <w:pPr>
              <w:spacing w:after="0"/>
              <w:rPr>
                <w:sz w:val="6"/>
                <w:szCs w:val="6"/>
                <w:color w:val="auto"/>
              </w:rPr>
            </w:pPr>
          </w:p>
        </w:tc>
        <w:tc>
          <w:tcPr>
            <w:tcW w:w="3800" w:type="dxa"/>
            <w:vAlign w:val="bottom"/>
            <w:vMerge w:val="restart"/>
          </w:tcPr>
          <w:p>
            <w:pPr>
              <w:spacing w:after="0" w:line="176" w:lineRule="exact"/>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02"/>
        </w:trPr>
        <w:tc>
          <w:tcPr>
            <w:tcW w:w="3840" w:type="dxa"/>
            <w:vAlign w:val="bottom"/>
            <w:tcBorders>
              <w:right w:val="single" w:sz="8" w:color="auto"/>
            </w:tcBorders>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280" w:type="dxa"/>
            <w:vAlign w:val="bottom"/>
            <w:tcBorders>
              <w:right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natural gas distribution, transmission and storage</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Covers a population of 21 million (5.8</w:t>
            </w:r>
          </w:p>
        </w:tc>
        <w:tc>
          <w:tcPr>
            <w:tcW w:w="3800" w:type="dxa"/>
            <w:vAlign w:val="bottom"/>
          </w:tcPr>
          <w:p>
            <w:pPr>
              <w:spacing w:after="0"/>
              <w:rPr>
                <w:sz w:val="20"/>
                <w:szCs w:val="20"/>
                <w:color w:val="auto"/>
              </w:rPr>
            </w:pPr>
            <w:r>
              <w:rPr>
                <w:rFonts w:ascii="Arial" w:cs="Arial" w:eastAsia="Arial" w:hAnsi="Arial"/>
                <w:sz w:val="16"/>
                <w:szCs w:val="16"/>
                <w:color w:val="auto"/>
              </w:rPr>
              <w:t>covering 20,000 square miles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500" w:type="dxa"/>
            <w:vAlign w:val="bottom"/>
            <w:vMerge w:val="continue"/>
          </w:tcPr>
          <w:p>
            <w:pPr>
              <w:spacing w:after="0"/>
              <w:rPr>
                <w:sz w:val="10"/>
                <w:szCs w:val="10"/>
                <w:color w:val="auto"/>
              </w:rPr>
            </w:pPr>
          </w:p>
        </w:tc>
        <w:tc>
          <w:tcPr>
            <w:tcW w:w="3280" w:type="dxa"/>
            <w:vAlign w:val="bottom"/>
            <w:tcBorders>
              <w:right w:val="single" w:sz="8" w:color="auto"/>
            </w:tcBorders>
            <w:vMerge w:val="continue"/>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spacing w:after="0"/>
              <w:rPr>
                <w:sz w:val="17"/>
                <w:szCs w:val="17"/>
                <w:color w:val="auto"/>
              </w:rPr>
            </w:pPr>
          </w:p>
        </w:tc>
        <w:tc>
          <w:tcPr>
            <w:tcW w:w="378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million meters)</w:t>
            </w: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refer to SDG&amp;E and SoCalGas collectively as the California Utilities, which do not include the utilities in our Sempra International and Sempra U.S. Gas &amp; Power operating units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our reorganized businesses, Sempra International and Sempra U.S. Gas &amp; Power,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MARKET</w:t>
            </w:r>
          </w:p>
        </w:tc>
        <w:tc>
          <w:tcPr>
            <w:tcW w:w="38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SOUTH AMERICAN UTILITIES</w:t>
            </w:r>
          </w:p>
        </w:tc>
        <w:tc>
          <w:tcPr>
            <w:tcW w:w="500" w:type="dxa"/>
            <w:vAlign w:val="bottom"/>
          </w:tcPr>
          <w:p>
            <w:pPr>
              <w:ind w:left="320"/>
              <w:spacing w:after="0" w:line="164" w:lineRule="exact"/>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Provides electricity to more than 600,000</w:t>
            </w:r>
          </w:p>
        </w:tc>
        <w:tc>
          <w:tcPr>
            <w:tcW w:w="3800" w:type="dxa"/>
            <w:vAlign w:val="bottom"/>
          </w:tcPr>
          <w:p>
            <w:pPr>
              <w:ind w:left="320"/>
              <w:spacing w:after="0" w:line="164" w:lineRule="exact"/>
              <w:rPr>
                <w:sz w:val="20"/>
                <w:szCs w:val="20"/>
                <w:color w:val="auto"/>
              </w:rPr>
            </w:pPr>
            <w:r>
              <w:rPr>
                <w:rFonts w:ascii="Arial" w:cs="Arial" w:eastAsia="Arial" w:hAnsi="Arial"/>
                <w:sz w:val="16"/>
                <w:szCs w:val="16"/>
                <w:color w:val="auto"/>
              </w:rPr>
              <w:t>§   Serves the cities of Valparaiso and Viña del</w:t>
            </w: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Infrastructure supports electric transmission and</w:t>
            </w:r>
          </w:p>
        </w:tc>
        <w:tc>
          <w:tcPr>
            <w:tcW w:w="378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customers in Chile and more than 900,000</w:t>
            </w:r>
          </w:p>
        </w:tc>
        <w:tc>
          <w:tcPr>
            <w:tcW w:w="3800" w:type="dxa"/>
            <w:vAlign w:val="bottom"/>
            <w:vMerge w:val="restart"/>
          </w:tcPr>
          <w:p>
            <w:pPr>
              <w:ind w:left="320"/>
              <w:spacing w:after="0"/>
              <w:rPr>
                <w:sz w:val="20"/>
                <w:szCs w:val="20"/>
                <w:color w:val="auto"/>
              </w:rPr>
            </w:pPr>
            <w:r>
              <w:rPr>
                <w:rFonts w:ascii="Arial" w:cs="Arial" w:eastAsia="Arial" w:hAnsi="Arial"/>
                <w:sz w:val="16"/>
                <w:szCs w:val="16"/>
                <w:color w:val="auto"/>
              </w:rPr>
              <w:t>Mar in central Chile</w:t>
            </w:r>
          </w:p>
        </w:tc>
        <w:tc>
          <w:tcPr>
            <w:tcW w:w="0" w:type="dxa"/>
            <w:vAlign w:val="bottom"/>
          </w:tcPr>
          <w:p>
            <w:pPr>
              <w:spacing w:after="0"/>
              <w:rPr>
                <w:sz w:val="1"/>
                <w:szCs w:val="1"/>
                <w:color w:val="auto"/>
              </w:rPr>
            </w:pPr>
          </w:p>
        </w:tc>
      </w:tr>
      <w:tr>
        <w:trPr>
          <w:trHeight w:val="68"/>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distribution</w:t>
            </w:r>
          </w:p>
        </w:tc>
        <w:tc>
          <w:tcPr>
            <w:tcW w:w="3780" w:type="dxa"/>
            <w:vAlign w:val="bottom"/>
            <w:tcBorders>
              <w:right w:val="single" w:sz="8" w:color="auto"/>
            </w:tcBorders>
            <w:gridSpan w:val="2"/>
            <w:vMerge w:val="continue"/>
          </w:tcPr>
          <w:p>
            <w:pPr>
              <w:spacing w:after="0"/>
              <w:rPr>
                <w:sz w:val="5"/>
                <w:szCs w:val="5"/>
                <w:color w:val="auto"/>
              </w:rPr>
            </w:pPr>
          </w:p>
        </w:tc>
        <w:tc>
          <w:tcPr>
            <w:tcW w:w="3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3840" w:type="dxa"/>
            <w:vAlign w:val="bottom"/>
            <w:tcBorders>
              <w:right w:val="single" w:sz="8" w:color="auto"/>
            </w:tcBorders>
            <w:gridSpan w:val="2"/>
            <w:vMerge w:val="continue"/>
          </w:tcPr>
          <w:p>
            <w:pPr>
              <w:spacing w:after="0"/>
              <w:rPr>
                <w:sz w:val="11"/>
                <w:szCs w:val="11"/>
                <w:color w:val="auto"/>
              </w:rPr>
            </w:pPr>
          </w:p>
        </w:tc>
        <w:tc>
          <w:tcPr>
            <w:tcW w:w="378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customers in Peru</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20" w:type="dxa"/>
            <w:vAlign w:val="bottom"/>
            <w:tcBorders>
              <w:right w:val="single" w:sz="8" w:color="auto"/>
            </w:tcBorders>
          </w:tcPr>
          <w:p>
            <w:pPr>
              <w:spacing w:after="0"/>
              <w:rPr>
                <w:sz w:val="5"/>
                <w:szCs w:val="5"/>
                <w:color w:val="auto"/>
              </w:rPr>
            </w:pPr>
          </w:p>
        </w:tc>
        <w:tc>
          <w:tcPr>
            <w:tcW w:w="3780" w:type="dxa"/>
            <w:vAlign w:val="bottom"/>
            <w:tcBorders>
              <w:right w:val="single" w:sz="8" w:color="auto"/>
            </w:tcBorders>
            <w:gridSpan w:val="2"/>
            <w:vMerge w:val="continue"/>
          </w:tcPr>
          <w:p>
            <w:pPr>
              <w:spacing w:after="0"/>
              <w:rPr>
                <w:sz w:val="5"/>
                <w:szCs w:val="5"/>
                <w:color w:val="auto"/>
              </w:rPr>
            </w:pPr>
          </w:p>
        </w:tc>
        <w:tc>
          <w:tcPr>
            <w:tcW w:w="3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280" w:type="dxa"/>
            <w:vAlign w:val="bottom"/>
            <w:tcBorders>
              <w:right w:val="single" w:sz="8" w:color="auto"/>
            </w:tcBorders>
          </w:tcPr>
          <w:p>
            <w:pPr>
              <w:spacing w:after="0"/>
              <w:rPr>
                <w:sz w:val="19"/>
                <w:szCs w:val="19"/>
                <w:color w:val="auto"/>
              </w:rPr>
            </w:pPr>
          </w:p>
        </w:tc>
        <w:tc>
          <w:tcPr>
            <w:tcW w:w="3800" w:type="dxa"/>
            <w:vAlign w:val="bottom"/>
          </w:tcPr>
          <w:p>
            <w:pPr>
              <w:ind w:left="320"/>
              <w:spacing w:after="0"/>
              <w:rPr>
                <w:sz w:val="20"/>
                <w:szCs w:val="20"/>
                <w:color w:val="auto"/>
              </w:rPr>
            </w:pPr>
            <w:r>
              <w:rPr>
                <w:rFonts w:ascii="Arial" w:cs="Arial" w:eastAsia="Arial" w:hAnsi="Arial"/>
                <w:sz w:val="16"/>
                <w:szCs w:val="16"/>
                <w:color w:val="auto"/>
              </w:rPr>
              <w:t>§   Serves the southern zone of metropolitan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280" w:type="dxa"/>
            <w:vAlign w:val="bottom"/>
            <w:tcBorders>
              <w:right w:val="single" w:sz="8" w:color="auto"/>
            </w:tcBorders>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6"/>
                <w:szCs w:val="16"/>
                <w:color w:val="auto"/>
              </w:rPr>
              <w:t>Lima, Peru</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8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MEXICO</w:t>
            </w:r>
          </w:p>
        </w:tc>
        <w:tc>
          <w:tcPr>
            <w:tcW w:w="500" w:type="dxa"/>
            <w:vAlign w:val="bottom"/>
          </w:tcPr>
          <w:p>
            <w:pPr>
              <w:ind w:left="320"/>
              <w:spacing w:after="0" w:line="164" w:lineRule="exact"/>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Natural gas</w:t>
            </w:r>
          </w:p>
        </w:tc>
        <w:tc>
          <w:tcPr>
            <w:tcW w:w="3800" w:type="dxa"/>
            <w:vAlign w:val="bottom"/>
          </w:tcPr>
          <w:p>
            <w:pPr>
              <w:ind w:left="320"/>
              <w:spacing w:after="0" w:line="164" w:lineRule="exact"/>
              <w:rPr>
                <w:sz w:val="20"/>
                <w:szCs w:val="20"/>
                <w:color w:val="auto"/>
              </w:rPr>
            </w:pPr>
            <w:r>
              <w:rPr>
                <w:rFonts w:ascii="Arial" w:cs="Arial" w:eastAsia="Arial" w:hAnsi="Arial"/>
                <w:sz w:val="16"/>
                <w:szCs w:val="16"/>
                <w:color w:val="auto"/>
              </w:rPr>
              <w:t>§   Mexico</w:t>
            </w: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 interests in:</w:t>
            </w:r>
          </w:p>
        </w:tc>
        <w:tc>
          <w:tcPr>
            <w:tcW w:w="500" w:type="dxa"/>
            <w:vAlign w:val="bottom"/>
          </w:tcPr>
          <w:p>
            <w:pPr>
              <w:spacing w:after="0"/>
              <w:rPr>
                <w:sz w:val="16"/>
                <w:szCs w:val="16"/>
                <w:color w:val="auto"/>
              </w:rPr>
            </w:pPr>
          </w:p>
        </w:tc>
        <w:tc>
          <w:tcPr>
            <w:tcW w:w="32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transmission pipelines and</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Wholesale electricity</w:t>
            </w: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propane systems</w:t>
            </w:r>
          </w:p>
        </w:tc>
        <w:tc>
          <w:tcPr>
            <w:tcW w:w="500" w:type="dxa"/>
            <w:vAlign w:val="bottom"/>
            <w:vMerge w:val="continue"/>
          </w:tcPr>
          <w:p>
            <w:pPr>
              <w:spacing w:after="0"/>
              <w:rPr>
                <w:sz w:val="7"/>
                <w:szCs w:val="7"/>
                <w:color w:val="auto"/>
              </w:rPr>
            </w:pPr>
          </w:p>
        </w:tc>
        <w:tc>
          <w:tcPr>
            <w:tcW w:w="3280" w:type="dxa"/>
            <w:vAlign w:val="bottom"/>
            <w:tcBorders>
              <w:right w:val="single" w:sz="8" w:color="auto"/>
            </w:tcBorders>
            <w:vMerge w:val="continue"/>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   a natural gas distribution utility</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Liquefied natural gas</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tcBorders>
              <w:right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electric generation facilities, including wind</w:t>
            </w:r>
          </w:p>
        </w:tc>
        <w:tc>
          <w:tcPr>
            <w:tcW w:w="500" w:type="dxa"/>
            <w:vAlign w:val="bottom"/>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terminal in Mexico for the importation of</w:t>
            </w:r>
          </w:p>
        </w:tc>
        <w:tc>
          <w:tcPr>
            <w:tcW w:w="500" w:type="dxa"/>
            <w:vAlign w:val="bottom"/>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liquefied natural gas (LNG) and purchase and</w:t>
            </w:r>
          </w:p>
        </w:tc>
        <w:tc>
          <w:tcPr>
            <w:tcW w:w="500" w:type="dxa"/>
            <w:vAlign w:val="bottom"/>
          </w:tcPr>
          <w:p>
            <w:pPr>
              <w:spacing w:after="0"/>
              <w:rPr>
                <w:sz w:val="17"/>
                <w:szCs w:val="17"/>
                <w:color w:val="auto"/>
              </w:rPr>
            </w:pPr>
          </w:p>
        </w:tc>
        <w:tc>
          <w:tcPr>
            <w:tcW w:w="328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sale of natural gas</w:t>
            </w:r>
          </w:p>
        </w:tc>
        <w:tc>
          <w:tcPr>
            <w:tcW w:w="500" w:type="dxa"/>
            <w:vAlign w:val="bottom"/>
          </w:tcPr>
          <w:p>
            <w:pPr>
              <w:spacing w:after="0"/>
              <w:rPr>
                <w:sz w:val="16"/>
                <w:szCs w:val="16"/>
                <w:color w:val="auto"/>
              </w:rPr>
            </w:pPr>
          </w:p>
        </w:tc>
        <w:tc>
          <w:tcPr>
            <w:tcW w:w="328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International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South American Utilities</w:t>
      </w:r>
    </w:p>
    <w:p>
      <w:pPr>
        <w:sectPr>
          <w:pgSz w:w="11900" w:h="16838" w:orient="portrait"/>
          <w:cols w:equalWidth="0" w:num="1">
            <w:col w:w="11420"/>
          </w:cols>
          <w:pgMar w:left="240" w:top="125" w:right="239" w:bottom="0" w:gutter="0" w:footer="0" w:header="0"/>
        </w:sectPr>
      </w:pPr>
    </w:p>
    <w:bookmarkStart w:id="50" w:name="page51"/>
    <w:bookmarkEnd w:id="50"/>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Sempra South American Utilities operates electric transmission and distribution utilities in Chile and Peru, and owns interests in utilities in Argentina.</w:t>
      </w:r>
    </w:p>
    <w:p>
      <w:pPr>
        <w:spacing w:after="0" w:line="23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6, 2011, Sempra South American Utilities completed the acquisition of AEI’s interests in Chilquinta Energía S.A. (Chilquinta Energía) in Chile and Luz del Sur S.A.A. (Luz del Sur) in Peru. Upon completion of the transaction, Sempra South American Utilities owned 100 percent of Chilquinta Energía and approximately 76 percent of Luz del Sur, and the companies are now consolidated. Pursuant to a tender offer that was completed in September 2011, Sempra South American Utilities now owns 79.82 percent of Luz del Sur, as we discuss in Note 3 of the Notes to Consolidated Financial Statements in the Updated Annual Report. The remaining shares of Luz del Sur are held by institutional investors and the general public.</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additional information about the acquisition and Sempra South American Utilities’ investments in Chilquinta Energía and Luz del Sur in Note 3 of the Notes to Condensed Consolidated Financial Statements herein.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Sempra South American Utilities also is currently pursuing the sale of its interests in the Argentine utilities, which we discuss further in Note 4 of the Notes to Consolidated Financial Statements in the Updated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Business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Pipelines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Sempra Mexico owns and operates natural gas transmission pipelines and propane systems in Mexico. These facilities are contracted under long-term, U.S. dollar-based agreements with PEMEX (the Mexican state-owned oil company), the Federal Electricity Commission (Comisión Federal de Electricidad, or CFE), Shell México Gas Natural (Shell), Gazprom Marketing &amp; Trading Mexico (Gazprom) and other similar counterparties. Sempra Mexico also owns a 50-percent interest in Gasoductos de Chihuahua, a joint venture with PEMEX which operates two natural gas pipelines and a propane system in northern Mexico.</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LNG</w:t>
      </w:r>
      <w:r>
        <w:rPr>
          <w:rFonts w:ascii="Arial" w:cs="Arial" w:eastAsia="Arial" w:hAnsi="Arial"/>
          <w:sz w:val="18"/>
          <w:szCs w:val="18"/>
          <w:color w:val="auto"/>
        </w:rPr>
        <w:t>. Sempra Mexico’s Energía Costa Azul LNG terminal in Baja California, Mexico is capable of processing 1 billion cubic feet (Bcf) of natural gas per</w:t>
      </w:r>
      <w:r>
        <w:rPr>
          <w:rFonts w:ascii="Arial" w:cs="Arial" w:eastAsia="Arial" w:hAnsi="Arial"/>
          <w:sz w:val="16"/>
          <w:szCs w:val="16"/>
          <w:b w:val="1"/>
          <w:bCs w:val="1"/>
          <w:color w:val="auto"/>
        </w:rPr>
        <w:t xml:space="preserve"> </w:t>
      </w:r>
      <w:r>
        <w:rPr>
          <w:rFonts w:ascii="Arial" w:cs="Arial" w:eastAsia="Arial" w:hAnsi="Arial"/>
          <w:sz w:val="18"/>
          <w:szCs w:val="18"/>
          <w:color w:val="auto"/>
        </w:rPr>
        <w:t>day. The Energía Costa Azul facility generates revenue under a capacity services agreement with Shell, expiring in 2028, that originally permitted Shell to use one-half of the terminal’s capacity. In April 2009, Shell assigned a portion of its terminal capacity at Energía Costa Azul to Gazprom, transferring all further rights and obligations with respect to the assigned capacity, and a separate capacity services agreement between Energía Costa Azul and Gazprom was put into place.</w:t>
      </w:r>
    </w:p>
    <w:p>
      <w:pPr>
        <w:spacing w:after="0" w:line="18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 nitrogen-injection facility at Energía Costa Azul allows the terminal to process LNG cargoes from a wider variety of sources and provides additional revenue from payments for capacity reservation and usage fees for nitrogen injection services for Shell and Gazprom.</w:t>
      </w:r>
    </w:p>
    <w:p>
      <w:pPr>
        <w:spacing w:after="0" w:line="1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Sempra Natural Gas’ LNG purchase agreement with Tangguh PSC Contractors (Tangguh PSC), which we discuss below, Sempra Mexico purchases from Sempra Natural Gas the LNG delivered to Energía Costa Azul by Tangguh PSC. Sempra Mexico uses the natural gas produced from this LNG to supply a contract through 2022 for the sale of an average of approximately 150 million cubic feet per day of natural gas to Mexico’s national electric company, the CFE, at prices that are based on the Southern California border index. If LNG volumes received from Tangguh PSC are not sufficient to satisfy the commitment to the CFE, Sempra Mexico may purchase natural gas from Sempra Natural Gas’ natural gas marketing operations. Under an agreement which expires in the third quarter of 2014 among Sempra Natural Gas, Sempra Mexico, J.P. Morgan Mexico and J.P. Morgan Ventures, Sempra Natural Gas and Sempra Mexico sell to J.P. Morgan Ventures and J.P. Morgan Mexico any volumes received from Tangguh PSC that are not sold to the CFE. The agreement was previously with RBS Sempra Commodities LLP (RBS Sempra Commodities). In connection with the 2010 sale of businesses within RBS Sempra Commodities, substantially all contracts with RBS Sempra Commodities were assigned to J.P. Morgan Ventures by May 1, 2011, as we discuss under “Transactions with RBS Sempra Commodities” in Note 5 of the Notes to Condensed Consolidated Financial Statements herein.</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6"/>
          <w:szCs w:val="16"/>
          <w:b w:val="1"/>
          <w:bCs w:val="1"/>
          <w:color w:val="auto"/>
        </w:rPr>
        <w:t>Natural Gas Distribution</w:t>
      </w:r>
      <w:r>
        <w:rPr>
          <w:rFonts w:ascii="Arial" w:cs="Arial" w:eastAsia="Arial" w:hAnsi="Arial"/>
          <w:sz w:val="18"/>
          <w:szCs w:val="18"/>
          <w:color w:val="auto"/>
        </w:rPr>
        <w:t>. Sempra Mexico’s natural gas distribution utility, Ecogas Mexico, S de RL de CV (Ecogas), operates in three separate areas in</w:t>
      </w:r>
      <w:r>
        <w:rPr>
          <w:rFonts w:ascii="Arial" w:cs="Arial" w:eastAsia="Arial" w:hAnsi="Arial"/>
          <w:sz w:val="16"/>
          <w:szCs w:val="16"/>
          <w:b w:val="1"/>
          <w:bCs w:val="1"/>
          <w:color w:val="auto"/>
        </w:rPr>
        <w:t xml:space="preserve"> </w:t>
      </w:r>
      <w:r>
        <w:rPr>
          <w:rFonts w:ascii="Arial" w:cs="Arial" w:eastAsia="Arial" w:hAnsi="Arial"/>
          <w:sz w:val="18"/>
          <w:szCs w:val="18"/>
          <w:color w:val="auto"/>
        </w:rPr>
        <w:t>Mexico, and had approximately 90,000 customers and sales volume of 60 million cubic feet per day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Business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5"/>
          <w:szCs w:val="15"/>
          <w:b w:val="1"/>
          <w:bCs w:val="1"/>
          <w:color w:val="auto"/>
        </w:rPr>
        <w:t>Natural Gas-Fired Generation</w:t>
      </w:r>
      <w:r>
        <w:rPr>
          <w:rFonts w:ascii="Arial" w:cs="Arial" w:eastAsia="Arial" w:hAnsi="Arial"/>
          <w:sz w:val="17"/>
          <w:szCs w:val="17"/>
          <w:color w:val="auto"/>
        </w:rPr>
        <w:t>. Sempra Mexico’s Termoeléctrica de Mexicali, a 625-megawatt (MW) natural gas-fired power plant, is located in Mexicali,</w:t>
      </w:r>
      <w:r>
        <w:rPr>
          <w:rFonts w:ascii="Arial" w:cs="Arial" w:eastAsia="Arial" w:hAnsi="Arial"/>
          <w:sz w:val="15"/>
          <w:szCs w:val="15"/>
          <w:b w:val="1"/>
          <w:bCs w:val="1"/>
          <w:color w:val="auto"/>
        </w:rPr>
        <w:t xml:space="preserve"> </w:t>
      </w:r>
      <w:r>
        <w:rPr>
          <w:rFonts w:ascii="Arial" w:cs="Arial" w:eastAsia="Arial" w:hAnsi="Arial"/>
          <w:sz w:val="17"/>
          <w:szCs w:val="17"/>
          <w:color w:val="auto"/>
        </w:rPr>
        <w:t>Baja California, Mexico. Under an agreement with Sempra Natural Gas, Sempra Mexico records revenue for the sale of power generated by Termoeléctrica de Mexicali to Sempra Natural Gas, and records cost of sales for purchases from Sempra Natural Gas of natural gas to fuel the facility. J.P. Morgan Ventures Energy Corporation (J.P. Morgan Ventures) facilitates the natural gas transactions between the segments.</w:t>
      </w:r>
    </w:p>
    <w:p>
      <w:pPr>
        <w:spacing w:after="0" w:line="171" w:lineRule="exact"/>
        <w:rPr>
          <w:sz w:val="20"/>
          <w:szCs w:val="20"/>
          <w:color w:val="auto"/>
        </w:rPr>
      </w:pPr>
    </w:p>
    <w:p>
      <w:pPr>
        <w:ind w:right="720"/>
        <w:spacing w:after="0" w:line="256" w:lineRule="auto"/>
        <w:rPr>
          <w:sz w:val="20"/>
          <w:szCs w:val="20"/>
          <w:color w:val="auto"/>
        </w:rPr>
      </w:pPr>
      <w:r>
        <w:rPr>
          <w:rFonts w:ascii="Arial" w:cs="Arial" w:eastAsia="Arial" w:hAnsi="Arial"/>
          <w:sz w:val="16"/>
          <w:szCs w:val="16"/>
          <w:b w:val="1"/>
          <w:bCs w:val="1"/>
          <w:color w:val="auto"/>
        </w:rPr>
        <w:t>Wind Power Generation</w:t>
      </w:r>
      <w:r>
        <w:rPr>
          <w:rFonts w:ascii="Arial" w:cs="Arial" w:eastAsia="Arial" w:hAnsi="Arial"/>
          <w:sz w:val="18"/>
          <w:szCs w:val="18"/>
          <w:color w:val="auto"/>
        </w:rPr>
        <w:t>. Sempra Mexico is developing a wind power generation project, Energía Sierra Juárez, in Baja California, Mexico. The</w:t>
      </w:r>
      <w:r>
        <w:rPr>
          <w:rFonts w:ascii="Arial" w:cs="Arial" w:eastAsia="Arial" w:hAnsi="Arial"/>
          <w:sz w:val="16"/>
          <w:szCs w:val="16"/>
          <w:b w:val="1"/>
          <w:bCs w:val="1"/>
          <w:color w:val="auto"/>
        </w:rPr>
        <w:t xml:space="preserve"> </w:t>
      </w:r>
      <w:r>
        <w:rPr>
          <w:rFonts w:ascii="Arial" w:cs="Arial" w:eastAsia="Arial" w:hAnsi="Arial"/>
          <w:sz w:val="18"/>
          <w:szCs w:val="18"/>
          <w:color w:val="auto"/>
        </w:rPr>
        <w:t>project will be developed in phases. In April 2011, SDG&amp;E entered into a 20-year contract for up to 156 MW of renewable power supplied from the first phase of the project, which we expect to be fully operational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MARKET</w:t>
            </w:r>
          </w:p>
        </w:tc>
        <w:tc>
          <w:tcPr>
            <w:tcW w:w="5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RENEWABLES</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Wholesale electricity</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64"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Develops, owns, operates, or holds interests in</w:t>
            </w:r>
          </w:p>
        </w:tc>
        <w:tc>
          <w:tcPr>
            <w:tcW w:w="500" w:type="dxa"/>
            <w:vAlign w:val="bottom"/>
          </w:tcPr>
          <w:p>
            <w:pPr>
              <w:spacing w:after="0"/>
              <w:rPr>
                <w:sz w:val="15"/>
                <w:szCs w:val="15"/>
                <w:color w:val="auto"/>
              </w:rPr>
            </w:pPr>
          </w:p>
        </w:tc>
        <w:tc>
          <w:tcPr>
            <w:tcW w:w="32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renewable energy generation projects</w:t>
            </w:r>
          </w:p>
        </w:tc>
        <w:tc>
          <w:tcPr>
            <w:tcW w:w="500" w:type="dxa"/>
            <w:vAlign w:val="bottom"/>
          </w:tcPr>
          <w:p>
            <w:pPr>
              <w:spacing w:after="0"/>
              <w:rPr>
                <w:sz w:val="16"/>
                <w:szCs w:val="16"/>
                <w:color w:val="auto"/>
              </w:rPr>
            </w:pPr>
          </w:p>
        </w:tc>
        <w:tc>
          <w:tcPr>
            <w:tcW w:w="328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40" w:type="dxa"/>
            <w:vAlign w:val="bottom"/>
            <w:tcBorders>
              <w:bottom w:val="single" w:sz="8" w:color="auto"/>
              <w:right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8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840" w:type="dxa"/>
            <w:vAlign w:val="bottom"/>
            <w:tcBorders>
              <w:right w:val="single" w:sz="8" w:color="auto"/>
            </w:tcBorders>
            <w:gridSpan w:val="2"/>
          </w:tcPr>
          <w:p>
            <w:pPr>
              <w:spacing w:after="0" w:line="164" w:lineRule="exact"/>
              <w:rPr>
                <w:sz w:val="20"/>
                <w:szCs w:val="20"/>
                <w:color w:val="auto"/>
              </w:rPr>
            </w:pPr>
            <w:r>
              <w:rPr>
                <w:rFonts w:ascii="Arial" w:cs="Arial" w:eastAsia="Arial" w:hAnsi="Arial"/>
                <w:sz w:val="16"/>
                <w:szCs w:val="16"/>
                <w:b w:val="1"/>
                <w:bCs w:val="1"/>
                <w:color w:val="auto"/>
              </w:rPr>
              <w:t>SEMPRA NATURAL GAS</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Wholesale electricity</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64"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 interests in:</w:t>
            </w:r>
          </w:p>
        </w:tc>
        <w:tc>
          <w:tcPr>
            <w:tcW w:w="500" w:type="dxa"/>
            <w:vAlign w:val="bottom"/>
          </w:tcPr>
          <w:p>
            <w:pPr>
              <w:spacing w:after="0"/>
              <w:rPr>
                <w:sz w:val="16"/>
                <w:szCs w:val="16"/>
                <w:color w:val="auto"/>
              </w:rPr>
            </w:pPr>
          </w:p>
        </w:tc>
        <w:tc>
          <w:tcPr>
            <w:tcW w:w="328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natural gas-fired electric generation plant</w:t>
            </w:r>
          </w:p>
        </w:tc>
        <w:tc>
          <w:tcPr>
            <w:tcW w:w="5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Natural gas</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3280" w:type="dxa"/>
            <w:vAlign w:val="bottom"/>
            <w:tcBorders>
              <w:right w:val="single" w:sz="8" w:color="auto"/>
            </w:tcBorders>
            <w:vMerge w:val="continue"/>
          </w:tcPr>
          <w:p>
            <w:pPr>
              <w:spacing w:after="0"/>
              <w:rPr>
                <w:sz w:val="7"/>
                <w:szCs w:val="7"/>
                <w:color w:val="auto"/>
              </w:rPr>
            </w:pPr>
          </w:p>
        </w:tc>
        <w:tc>
          <w:tcPr>
            <w:tcW w:w="5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pipelines and storage facilities</w:t>
            </w:r>
          </w:p>
        </w:tc>
        <w:tc>
          <w:tcPr>
            <w:tcW w:w="5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3280" w:type="dxa"/>
            <w:vAlign w:val="bottom"/>
            <w:tcBorders>
              <w:right w:val="single" w:sz="8" w:color="auto"/>
            </w:tcBorders>
            <w:vMerge w:val="continue"/>
          </w:tcPr>
          <w:p>
            <w:pPr>
              <w:spacing w:after="0"/>
              <w:rPr>
                <w:sz w:val="7"/>
                <w:szCs w:val="7"/>
                <w:color w:val="auto"/>
              </w:rPr>
            </w:pPr>
          </w:p>
        </w:tc>
        <w:tc>
          <w:tcPr>
            <w:tcW w:w="5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distribution utilities</w:t>
            </w:r>
          </w:p>
        </w:tc>
        <w:tc>
          <w:tcPr>
            <w:tcW w:w="500" w:type="dxa"/>
            <w:vAlign w:val="bottom"/>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terminal in the U.S. for the importation and</w:t>
            </w:r>
          </w:p>
        </w:tc>
        <w:tc>
          <w:tcPr>
            <w:tcW w:w="500" w:type="dxa"/>
            <w:vAlign w:val="bottom"/>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export of LNG and sale of natural gas</w:t>
            </w:r>
          </w:p>
        </w:tc>
        <w:tc>
          <w:tcPr>
            <w:tcW w:w="500" w:type="dxa"/>
            <w:vAlign w:val="bottom"/>
          </w:tcPr>
          <w:p>
            <w:pPr>
              <w:spacing w:after="0"/>
              <w:rPr>
                <w:sz w:val="17"/>
                <w:szCs w:val="17"/>
                <w:color w:val="auto"/>
              </w:rPr>
            </w:pPr>
          </w:p>
        </w:tc>
        <w:tc>
          <w:tcPr>
            <w:tcW w:w="32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marketing operations</w:t>
            </w:r>
          </w:p>
        </w:tc>
        <w:tc>
          <w:tcPr>
            <w:tcW w:w="500" w:type="dxa"/>
            <w:vAlign w:val="bottom"/>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51" w:name="page52"/>
    <w:bookmarkEnd w:id="51"/>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U.S. Gas &amp; Power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Renewables</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information about the Sempra Renewables facilities that were operational as of September 30, 2012. The generating capacity of these facilities is fully contracted under long-term contracts, as we discuss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RENEWABLES OPERATING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20"/>
                <w:szCs w:val="20"/>
                <w:color w:val="auto"/>
              </w:rPr>
            </w:pPr>
            <w:r>
              <w:rPr>
                <w:rFonts w:ascii="Arial" w:cs="Arial" w:eastAsia="Arial" w:hAnsi="Arial"/>
                <w:sz w:val="14"/>
                <w:szCs w:val="14"/>
                <w:i w:val="1"/>
                <w:iCs w:val="1"/>
                <w:color w:val="auto"/>
              </w:rPr>
              <w:t>Capacity in Megawatts (MW) at September 30, 2012</w:t>
            </w:r>
          </w:p>
        </w:tc>
        <w:tc>
          <w:tcPr>
            <w:tcW w:w="1880" w:type="dxa"/>
            <w:vAlign w:val="bottom"/>
            <w:vMerge w:val="restart"/>
          </w:tcPr>
          <w:p>
            <w:pPr>
              <w:jc w:val="right"/>
              <w:spacing w:after="0"/>
              <w:rPr>
                <w:sz w:val="20"/>
                <w:szCs w:val="20"/>
                <w:color w:val="auto"/>
              </w:rPr>
            </w:pPr>
            <w:r>
              <w:rPr>
                <w:rFonts w:ascii="Arial" w:cs="Arial" w:eastAsia="Arial" w:hAnsi="Arial"/>
                <w:sz w:val="14"/>
                <w:szCs w:val="14"/>
                <w:color w:val="auto"/>
              </w:rPr>
              <w:t>Installed Generating</w:t>
            </w:r>
          </w:p>
        </w:tc>
        <w:tc>
          <w:tcPr>
            <w:tcW w:w="500" w:type="dxa"/>
            <w:vAlign w:val="bottom"/>
          </w:tcPr>
          <w:p>
            <w:pPr>
              <w:spacing w:after="0"/>
              <w:rPr>
                <w:sz w:val="16"/>
                <w:szCs w:val="16"/>
                <w:color w:val="auto"/>
              </w:rPr>
            </w:pPr>
          </w:p>
        </w:tc>
        <w:tc>
          <w:tcPr>
            <w:tcW w:w="1280" w:type="dxa"/>
            <w:vAlign w:val="bottom"/>
            <w:vMerge w:val="restart"/>
          </w:tcPr>
          <w:p>
            <w:pPr>
              <w:jc w:val="right"/>
              <w:ind w:right="362"/>
              <w:spacing w:after="0"/>
              <w:rPr>
                <w:sz w:val="20"/>
                <w:szCs w:val="20"/>
                <w:color w:val="auto"/>
              </w:rPr>
            </w:pPr>
            <w:r>
              <w:rPr>
                <w:rFonts w:ascii="Arial" w:cs="Arial" w:eastAsia="Arial" w:hAnsi="Arial"/>
                <w:sz w:val="14"/>
                <w:szCs w:val="14"/>
                <w:color w:val="auto"/>
              </w:rPr>
              <w:t>First</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0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1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Capacity</w:t>
            </w: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42"/>
              <w:spacing w:after="0" w:line="157" w:lineRule="exact"/>
              <w:rPr>
                <w:sz w:val="20"/>
                <w:szCs w:val="20"/>
                <w:color w:val="auto"/>
              </w:rPr>
            </w:pPr>
            <w:r>
              <w:rPr>
                <w:rFonts w:ascii="Arial" w:cs="Arial" w:eastAsia="Arial" w:hAnsi="Arial"/>
                <w:sz w:val="14"/>
                <w:szCs w:val="14"/>
                <w:color w:val="auto"/>
              </w:rPr>
              <w:t>In Service</w:t>
            </w:r>
          </w:p>
        </w:tc>
        <w:tc>
          <w:tcPr>
            <w:tcW w:w="37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Arial" w:cs="Arial" w:eastAsia="Arial" w:hAnsi="Arial"/>
                <w:sz w:val="16"/>
                <w:szCs w:val="16"/>
                <w:color w:val="auto"/>
              </w:rPr>
              <w:t>Cedar Creek 2 Wind Farm (50% owned)</w:t>
            </w:r>
          </w:p>
        </w:tc>
        <w:tc>
          <w:tcPr>
            <w:tcW w:w="1880" w:type="dxa"/>
            <w:vAlign w:val="bottom"/>
          </w:tcPr>
          <w:p>
            <w:pPr>
              <w:jc w:val="right"/>
              <w:spacing w:after="0"/>
              <w:rPr>
                <w:sz w:val="20"/>
                <w:szCs w:val="20"/>
                <w:color w:val="auto"/>
              </w:rPr>
            </w:pPr>
            <w:r>
              <w:rPr>
                <w:rFonts w:ascii="Arial" w:cs="Arial" w:eastAsia="Arial" w:hAnsi="Arial"/>
                <w:sz w:val="16"/>
                <w:szCs w:val="16"/>
                <w:color w:val="auto"/>
              </w:rPr>
              <w:t>125</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2011</w:t>
            </w:r>
          </w:p>
        </w:tc>
        <w:tc>
          <w:tcPr>
            <w:tcW w:w="3740" w:type="dxa"/>
            <w:vAlign w:val="bottom"/>
          </w:tcPr>
          <w:p>
            <w:pPr>
              <w:ind w:left="60"/>
              <w:spacing w:after="0"/>
              <w:rPr>
                <w:sz w:val="20"/>
                <w:szCs w:val="20"/>
                <w:color w:val="auto"/>
              </w:rPr>
            </w:pPr>
            <w:r>
              <w:rPr>
                <w:rFonts w:ascii="Arial" w:cs="Arial" w:eastAsia="Arial" w:hAnsi="Arial"/>
                <w:sz w:val="16"/>
                <w:szCs w:val="16"/>
                <w:color w:val="auto"/>
              </w:rPr>
              <w:t>New Raymer, Colorado</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Fowler Ridge 2 Wind Farm (50% owned)</w:t>
            </w:r>
          </w:p>
        </w:tc>
        <w:tc>
          <w:tcPr>
            <w:tcW w:w="188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2009</w:t>
            </w:r>
          </w:p>
        </w:tc>
        <w:tc>
          <w:tcPr>
            <w:tcW w:w="3740" w:type="dxa"/>
            <w:vAlign w:val="bottom"/>
          </w:tcPr>
          <w:p>
            <w:pPr>
              <w:ind w:left="60"/>
              <w:spacing w:after="0"/>
              <w:rPr>
                <w:sz w:val="20"/>
                <w:szCs w:val="20"/>
                <w:color w:val="auto"/>
              </w:rPr>
            </w:pPr>
            <w:r>
              <w:rPr>
                <w:rFonts w:ascii="Arial" w:cs="Arial" w:eastAsia="Arial" w:hAnsi="Arial"/>
                <w:sz w:val="16"/>
                <w:szCs w:val="16"/>
                <w:color w:val="auto"/>
              </w:rPr>
              <w:t>Benton County, Indiana</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Copper Mountain Solar 1</w:t>
            </w:r>
          </w:p>
        </w:tc>
        <w:tc>
          <w:tcPr>
            <w:tcW w:w="1880" w:type="dxa"/>
            <w:vAlign w:val="bottom"/>
          </w:tcPr>
          <w:p>
            <w:pPr>
              <w:jc w:val="right"/>
              <w:spacing w:after="0"/>
              <w:rPr>
                <w:sz w:val="20"/>
                <w:szCs w:val="20"/>
                <w:color w:val="auto"/>
              </w:rPr>
            </w:pPr>
            <w:r>
              <w:rPr>
                <w:rFonts w:ascii="Arial" w:cs="Arial" w:eastAsia="Arial" w:hAnsi="Arial"/>
                <w:sz w:val="16"/>
                <w:szCs w:val="16"/>
                <w:color w:val="auto"/>
              </w:rPr>
              <w:t>58</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280" w:type="dxa"/>
            <w:vAlign w:val="bottom"/>
          </w:tcPr>
          <w:p>
            <w:pPr>
              <w:jc w:val="right"/>
              <w:spacing w:after="0"/>
              <w:rPr>
                <w:sz w:val="20"/>
                <w:szCs w:val="20"/>
                <w:color w:val="auto"/>
              </w:rPr>
            </w:pPr>
            <w:r>
              <w:rPr>
                <w:rFonts w:ascii="Arial" w:cs="Arial" w:eastAsia="Arial" w:hAnsi="Arial"/>
                <w:sz w:val="16"/>
                <w:szCs w:val="16"/>
                <w:color w:val="auto"/>
              </w:rPr>
              <w:t>2010</w:t>
            </w:r>
          </w:p>
        </w:tc>
        <w:tc>
          <w:tcPr>
            <w:tcW w:w="3740" w:type="dxa"/>
            <w:vAlign w:val="bottom"/>
          </w:tcPr>
          <w:p>
            <w:pPr>
              <w:ind w:left="60"/>
              <w:spacing w:after="0"/>
              <w:rPr>
                <w:sz w:val="20"/>
                <w:szCs w:val="20"/>
                <w:color w:val="auto"/>
              </w:rPr>
            </w:pPr>
            <w:r>
              <w:rPr>
                <w:rFonts w:ascii="Arial" w:cs="Arial" w:eastAsia="Arial" w:hAnsi="Arial"/>
                <w:sz w:val="16"/>
                <w:szCs w:val="16"/>
                <w:color w:val="auto"/>
              </w:rPr>
              <w:t>Boulder City, Nevada</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Copper Mountain Solar 2</w:t>
            </w:r>
          </w:p>
        </w:tc>
        <w:tc>
          <w:tcPr>
            <w:tcW w:w="1880" w:type="dxa"/>
            <w:vAlign w:val="bottom"/>
          </w:tcPr>
          <w:p>
            <w:pPr>
              <w:jc w:val="right"/>
              <w:spacing w:after="0"/>
              <w:rPr>
                <w:sz w:val="20"/>
                <w:szCs w:val="20"/>
                <w:color w:val="auto"/>
              </w:rPr>
            </w:pPr>
            <w:r>
              <w:rPr>
                <w:rFonts w:ascii="Arial" w:cs="Arial" w:eastAsia="Arial" w:hAnsi="Arial"/>
                <w:sz w:val="16"/>
                <w:szCs w:val="16"/>
                <w:color w:val="auto"/>
              </w:rPr>
              <w:t>64</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280" w:type="dxa"/>
            <w:vAlign w:val="bottom"/>
          </w:tcPr>
          <w:p>
            <w:pPr>
              <w:jc w:val="right"/>
              <w:spacing w:after="0"/>
              <w:rPr>
                <w:sz w:val="20"/>
                <w:szCs w:val="20"/>
                <w:color w:val="auto"/>
              </w:rPr>
            </w:pPr>
            <w:r>
              <w:rPr>
                <w:rFonts w:ascii="Arial" w:cs="Arial" w:eastAsia="Arial" w:hAnsi="Arial"/>
                <w:sz w:val="16"/>
                <w:szCs w:val="16"/>
                <w:color w:val="auto"/>
              </w:rPr>
              <w:t>2012</w:t>
            </w:r>
          </w:p>
        </w:tc>
        <w:tc>
          <w:tcPr>
            <w:tcW w:w="3740" w:type="dxa"/>
            <w:vAlign w:val="bottom"/>
          </w:tcPr>
          <w:p>
            <w:pPr>
              <w:ind w:left="60"/>
              <w:spacing w:after="0"/>
              <w:rPr>
                <w:sz w:val="20"/>
                <w:szCs w:val="20"/>
                <w:color w:val="auto"/>
              </w:rPr>
            </w:pPr>
            <w:r>
              <w:rPr>
                <w:rFonts w:ascii="Arial" w:cs="Arial" w:eastAsia="Arial" w:hAnsi="Arial"/>
                <w:sz w:val="16"/>
                <w:szCs w:val="16"/>
                <w:color w:val="auto"/>
              </w:rPr>
              <w:t>Boulder City, Nevada</w:t>
            </w:r>
          </w:p>
        </w:tc>
        <w:tc>
          <w:tcPr>
            <w:tcW w:w="0" w:type="dxa"/>
            <w:vAlign w:val="bottom"/>
          </w:tcPr>
          <w:p>
            <w:pPr>
              <w:spacing w:after="0"/>
              <w:rPr>
                <w:sz w:val="1"/>
                <w:szCs w:val="1"/>
                <w:color w:val="auto"/>
              </w:rPr>
            </w:pPr>
          </w:p>
        </w:tc>
      </w:tr>
      <w:tr>
        <w:trPr>
          <w:trHeight w:val="194"/>
        </w:trPr>
        <w:tc>
          <w:tcPr>
            <w:tcW w:w="4020" w:type="dxa"/>
            <w:vAlign w:val="bottom"/>
          </w:tcPr>
          <w:p>
            <w:pPr>
              <w:spacing w:after="0"/>
              <w:rPr>
                <w:sz w:val="20"/>
                <w:szCs w:val="20"/>
                <w:color w:val="auto"/>
              </w:rPr>
            </w:pPr>
            <w:r>
              <w:rPr>
                <w:rFonts w:ascii="Arial" w:cs="Arial" w:eastAsia="Arial" w:hAnsi="Arial"/>
                <w:sz w:val="16"/>
                <w:szCs w:val="16"/>
                <w:color w:val="auto"/>
              </w:rPr>
              <w:t>Mesquite Solar 1</w:t>
            </w:r>
          </w:p>
        </w:tc>
        <w:tc>
          <w:tcPr>
            <w:tcW w:w="2380" w:type="dxa"/>
            <w:vAlign w:val="bottom"/>
            <w:gridSpan w:val="2"/>
          </w:tcPr>
          <w:p>
            <w:pPr>
              <w:jc w:val="right"/>
              <w:ind w:right="139"/>
              <w:spacing w:after="0"/>
              <w:rPr>
                <w:sz w:val="20"/>
                <w:szCs w:val="20"/>
                <w:color w:val="auto"/>
              </w:rPr>
            </w:pPr>
            <w:r>
              <w:rPr>
                <w:rFonts w:ascii="Arial" w:cs="Arial" w:eastAsia="Arial" w:hAnsi="Arial"/>
                <w:sz w:val="16"/>
                <w:szCs w:val="16"/>
                <w:color w:val="auto"/>
              </w:rPr>
              <w:t>42/84 (4)</w:t>
            </w:r>
          </w:p>
        </w:tc>
        <w:tc>
          <w:tcPr>
            <w:tcW w:w="1280" w:type="dxa"/>
            <w:vAlign w:val="bottom"/>
          </w:tcPr>
          <w:p>
            <w:pPr>
              <w:jc w:val="right"/>
              <w:spacing w:after="0"/>
              <w:rPr>
                <w:sz w:val="20"/>
                <w:szCs w:val="20"/>
                <w:color w:val="auto"/>
              </w:rPr>
            </w:pPr>
            <w:r>
              <w:rPr>
                <w:rFonts w:ascii="Arial" w:cs="Arial" w:eastAsia="Arial" w:hAnsi="Arial"/>
                <w:sz w:val="16"/>
                <w:szCs w:val="16"/>
                <w:color w:val="auto"/>
              </w:rPr>
              <w:t>2011/2012</w:t>
            </w:r>
          </w:p>
        </w:tc>
        <w:tc>
          <w:tcPr>
            <w:tcW w:w="3740" w:type="dxa"/>
            <w:vAlign w:val="bottom"/>
          </w:tcPr>
          <w:p>
            <w:pPr>
              <w:ind w:left="60"/>
              <w:spacing w:after="0"/>
              <w:rPr>
                <w:sz w:val="20"/>
                <w:szCs w:val="20"/>
                <w:color w:val="auto"/>
              </w:rPr>
            </w:pPr>
            <w:r>
              <w:rPr>
                <w:rFonts w:ascii="Arial" w:cs="Arial" w:eastAsia="Arial" w:hAnsi="Arial"/>
                <w:sz w:val="16"/>
                <w:szCs w:val="16"/>
                <w:color w:val="auto"/>
              </w:rPr>
              <w:t>Arlington, Arizona</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Total MW in operation</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Sempra Renewables’ share.</w:t>
      </w:r>
    </w:p>
    <w:p>
      <w:pPr>
        <w:spacing w:after="0" w:line="16" w:lineRule="exact"/>
        <w:rPr>
          <w:rFonts w:ascii="Arial" w:cs="Arial" w:eastAsia="Arial" w:hAnsi="Arial"/>
          <w:sz w:val="14"/>
          <w:szCs w:val="14"/>
          <w:i w:val="1"/>
          <w:iCs w:val="1"/>
          <w:color w:val="auto"/>
        </w:rPr>
      </w:pPr>
    </w:p>
    <w:p>
      <w:pPr>
        <w:ind w:left="380" w:hanging="372"/>
        <w:spacing w:after="0"/>
        <w:tabs>
          <w:tab w:leader="none" w:pos="38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10-MW facility previously referred to as El Dorado Solar, which was first placed in service in 2008.</w:t>
      </w:r>
    </w:p>
    <w:p>
      <w:pPr>
        <w:spacing w:after="0" w:line="14" w:lineRule="exact"/>
        <w:rPr>
          <w:rFonts w:ascii="Arial" w:cs="Arial" w:eastAsia="Arial" w:hAnsi="Arial"/>
          <w:sz w:val="14"/>
          <w:szCs w:val="14"/>
          <w:i w:val="1"/>
          <w:iCs w:val="1"/>
          <w:color w:val="auto"/>
        </w:rPr>
      </w:pPr>
    </w:p>
    <w:p>
      <w:pPr>
        <w:ind w:left="380" w:right="120" w:hanging="372"/>
        <w:spacing w:after="0" w:line="261" w:lineRule="auto"/>
        <w:tabs>
          <w:tab w:leader="none" w:pos="38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only the portion of the project that was completed as of September 30, 2012. The entire 92-MW first phase of Copper Mountain Solar 2 is expected to be placed in service by the end of 2012.</w:t>
      </w:r>
    </w:p>
    <w:p>
      <w:pPr>
        <w:ind w:left="380" w:hanging="372"/>
        <w:spacing w:after="0"/>
        <w:tabs>
          <w:tab w:leader="none" w:pos="38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only the portion of the project that was completed in the year indicated. The entire 150-MW project is expected to be placed in service by December 2012.</w:t>
      </w:r>
    </w:p>
    <w:p>
      <w:pPr>
        <w:spacing w:after="0" w:line="200" w:lineRule="exact"/>
        <w:rPr>
          <w:sz w:val="20"/>
          <w:szCs w:val="20"/>
          <w:color w:val="auto"/>
        </w:rPr>
      </w:pPr>
    </w:p>
    <w:p>
      <w:pPr>
        <w:spacing w:after="0" w:line="2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discuss these facilities in more detail in “Management’s Discussion and Analysis of Financial Condition and Results of Operations” in our Updated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Natural Gas</w:t>
      </w:r>
    </w:p>
    <w:p>
      <w:pPr>
        <w:spacing w:after="0" w:line="20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Generation</w:t>
      </w:r>
      <w:r>
        <w:rPr>
          <w:rFonts w:ascii="Arial" w:cs="Arial" w:eastAsia="Arial" w:hAnsi="Arial"/>
          <w:sz w:val="18"/>
          <w:szCs w:val="18"/>
          <w:color w:val="auto"/>
        </w:rPr>
        <w:t>. Sempra Natural Gas sells electricity under short-term and long-term contracts and into the spot market and other competitive markets. While it</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purchase electricity in the open market to satisfy its contractual obligations, Sempra Natural Gas generally purchases natural gas to fuel its Mesquite Power natural gas-fired power plant, and, as we discuss above, Sempra Mexico’s Termoeléctrica de Mexicali plant. The Mesquite Power plant is a 1,250-MW facility located in Arlington, Arizona.</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Sempra Natural Gas’ El Dorado natural gas-fired generation plant (excluding the solar facility) was sold to SDG&amp;E on October 1, 2011 and was renamed Desert Star. This sale, pursuant to an option to acquire the plant that was exercised by SDG&amp;E in 2007, coincided with the end of a contract with the California Department of Water Resources (DWR). During the first three quarters of 2011, the Mesquite Power plant and the El Dorado generation plant, along with Sempra Mexico’s Termoeléctrica de Mexicali power plant, sold the majority of their output under this long-term purchased-power contract with the DWR, which provided for 1,200 MW to be supplied during all hours and an additional 400 MW during on-peak hours and ended on September 30, 2011.</w:t>
      </w:r>
    </w:p>
    <w:p>
      <w:pPr>
        <w:spacing w:after="0" w:line="14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Sempra Natural Gas also has various power sale transactions intended to hedge its generation capacity. Power has been sold to J.P. Morgan Ventures, generally through 2012. These contracts were initially with RBS Sempra Commodities. In connection with the 2010 sale of businesses within RBS Sempra Commodities, substantially all of these transactions with RBS Sempra Commodities were assigned to J.P. Morgan Ventures by May 1, 2011. In addition, Sempra Natural Gas has power sale transactions for various quantities of power for delivery in 2013 and 2014. Finally, Sempra Natural Gas has sold certain quantities of expected future generation output under long-term contracts. The remaining output of our natural gas-fired generation facilities, including that of Sempra Mexico’s Termoeléctrica de Mexicali power plant, is available to be sold into energy markets on a day-to-day basis.</w:t>
      </w:r>
    </w:p>
    <w:p>
      <w:pPr>
        <w:spacing w:after="0" w:line="145" w:lineRule="exact"/>
        <w:rPr>
          <w:sz w:val="20"/>
          <w:szCs w:val="20"/>
          <w:color w:val="auto"/>
        </w:rPr>
      </w:pPr>
    </w:p>
    <w:p>
      <w:pPr>
        <w:jc w:val="both"/>
        <w:ind w:right="140"/>
        <w:spacing w:after="0" w:line="314" w:lineRule="auto"/>
        <w:rPr>
          <w:sz w:val="20"/>
          <w:szCs w:val="20"/>
          <w:color w:val="auto"/>
        </w:rPr>
      </w:pPr>
      <w:r>
        <w:rPr>
          <w:rFonts w:ascii="Arial" w:cs="Arial" w:eastAsia="Arial" w:hAnsi="Arial"/>
          <w:sz w:val="16"/>
          <w:szCs w:val="16"/>
          <w:b w:val="1"/>
          <w:bCs w:val="1"/>
          <w:color w:val="auto"/>
        </w:rPr>
        <w:t>Transportation and Storage</w:t>
      </w:r>
      <w:r>
        <w:rPr>
          <w:rFonts w:ascii="Arial" w:cs="Arial" w:eastAsia="Arial" w:hAnsi="Arial"/>
          <w:sz w:val="16"/>
          <w:szCs w:val="16"/>
          <w:color w:val="auto"/>
        </w:rPr>
        <w:t>. Sempra Natural Gas owns and operates, or holds interests in, natural gas underground storage and related pipeline facilities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Alabama, Louisiana and Mississippi. Sempra Natural Gas provides natural gas marketing, trading and risk management activities through the utilization and optimization of contracted natural gas supply, transportation and storage capacity, as well as optimizing its assets in the short-term services market.</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Natural Gas, Kinder Morgan Energy Partners, L.P. (KMP) and Phillips 66 jointly own, through Rockies Express Pipeline LLC (Rockies Express), the Rockies Express Pipeline (REX) that links producing areas in the Rocky Mountain region to the upper Midwest and the eastern United States. Our ownership interest in the pipeline is 25 percent. Sempra Rockies Marketing has an agreement through November 2019 with Rockies Express for 200 million cubic feet per day of capacity on REX, which has a total capacity of 1.8 Bcf per day. Sempra Rockies Marketing released a portion of its capacity to RBS Sempra Commodities, which capacity was assigned to J.P. Morgan Ventures effective January 1, 2011 in connection with the sale of businesses within RBS Sempra Commodities. This contract expires December 31, 2013.</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second and third quarters of 2012, we recorded noncash impairment charges of $179 million and $60 million after-tax, respectively, to write down our investment in the partnership that operates REX. We discuss our investment in Rockies Express and the impairments in Notes 4 and 8 of the Notes to Condensed Consolidated Financial Statements herein.</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Sempra Natural Gas owns and operates Mobile Gas Service Corporation (Mobile Gas) and Willmut Gas Company (Willmut Gas),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distribution utilities in southwest Alabama and in Mississippi, respectively. Sempra Natural Gas acquired Willmut Gas in May 2012, as we discuss in Note 3 of the Notes to Condensed Consolidated Financial Statements herein.</w:t>
      </w:r>
    </w:p>
    <w:p>
      <w:pPr>
        <w:spacing w:after="0" w:line="17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LNG</w:t>
      </w:r>
      <w:r>
        <w:rPr>
          <w:rFonts w:ascii="Arial" w:cs="Arial" w:eastAsia="Arial" w:hAnsi="Arial"/>
          <w:sz w:val="17"/>
          <w:szCs w:val="17"/>
          <w:color w:val="auto"/>
        </w:rPr>
        <w:t>. Sempra Natural Gas’ Cameron LNG terminal in Hackberry, Louisiana is capable of processing 1.5 Bcf of natural gas per day. Cameron LNG generates</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under a capacity services agreement for approximately 600 million cubic feet of natural gas per day through 2029. The agreement allows customers to pay Sempra Natural Gas capacity reservation and usage fees to use its facilities to receive, store and regasify the customer’s LNG. Sempra Natural Gas also may enter into short-term and/or long-term supply agreements to purchase LNG to be received, stored and regasified at its terminals for sale to other parties. Sempra Natural Gas is currently taking steps towards the development of a liquefaction and exportation facility at the Cameron LNG terminal. We discuss these activities below in “Factors Influencing Future Performance.”</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Sempra Natural Gas has an LNG purchase agreement with Tangguh PSC for the supply of the equivalent of 500 million cubic feet of natural gas per day from Tangguh PSC’s Indonesian liquefaction facility with delivery to Sempra Mexico’s Energía Costa Azul receipt terminal at a price based on the Southern California border index for natural gas. As discussed above, Sempra Natural Gas has an agreement to sell to J.P. Morgan Ventures any volumes purchased</w:t>
      </w:r>
    </w:p>
    <w:p>
      <w:pPr>
        <w:sectPr>
          <w:pgSz w:w="11900" w:h="16952" w:orient="portrait"/>
          <w:cols w:equalWidth="0" w:num="1">
            <w:col w:w="11420"/>
          </w:cols>
          <w:pgMar w:left="240" w:top="771" w:right="239" w:bottom="0" w:gutter="0" w:footer="0" w:header="0"/>
        </w:sectPr>
      </w:pPr>
    </w:p>
    <w:bookmarkStart w:id="52" w:name="page53"/>
    <w:bookmarkEnd w:id="52"/>
    <w:p>
      <w:pPr>
        <w:spacing w:after="0" w:line="6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from Tangguh PSC that are not sold to the CFE or J.P. Morgan Mexico. This agreement was previously with RBS Sempra Commodities. In connection with the 2010 sale of businesses within RBS Sempra Commodities, substantially all contracts with RBS Sempra Commodities were assigned to J.P. Morgan Ventures by May 1, 2011. Sempra Natural Gas may also record revenues from non-delivery of cargoes related to this contract.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also owns property in Port Arthur, Texas, that it is evaluating for potential development.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 LLP</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The Royal Bank of Scotland plc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Notes 4 and 10 of the Notes to Condensed Consolidated Financial Statements herein and in Note 4 of the Notes to Consolidated Financial Statements in the Updated Annual Report.</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activity in the partnership no longer meets the quantitative thresholds that require Sempra Commodities to be reported as a reportable segment under applicable accounting rules, and we do not consider the remaining wind-down activities of the partnership to be of continuing significance. As a result, since January 1, 2011, we have reported the former Sempra Commodities segment in Parent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25" w:lineRule="exact"/>
        <w:rPr>
          <w:sz w:val="20"/>
          <w:szCs w:val="20"/>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segment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earnings decreased by $21 million (7%) to $268 million in the three months ended September 30, 2012, and by $480 million (46%) to $566 million in the nine months ended September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our earnings for the three-month period was primarily due to:</w:t>
      </w:r>
    </w:p>
    <w:p>
      <w:pPr>
        <w:spacing w:after="0" w:line="225" w:lineRule="exact"/>
        <w:rPr>
          <w:sz w:val="20"/>
          <w:szCs w:val="20"/>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lower earnings at Sempra Natural Gas primarily due to the end of the DWR contract in September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 xml:space="preserve">a $60 million noncash impairment charge in 2012 to further write down our investment in Rockies Express;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improved results at SDG&amp;E, Sempra Renewables, Sempra Mexico and Parent and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our earnings for the nine-month period was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$277 million gain resulting from the remeasurement of our equity method investments at our South American Utilities segment related to its acquisition of additional interests in Chilquinta Energía and Luz del Sur in April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$239 million cumulative noncash impairment charge in 2012 to write down our investment in Rockies Express;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 xml:space="preserve">lower earnings at Sempra Natural Gas primarily due to the end of the DWR contract in September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improved results at SDG&amp;E, Sempra Renewables, Sempra Mexico and Parent and Other.</w:t>
      </w:r>
    </w:p>
    <w:p>
      <w:pPr>
        <w:spacing w:after="0" w:line="252"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Diluted earnings per share for the three-month period decreased by $0.11 per share to $1.09 per share, while diluted earnings per share for the nine-month period decreased by $2.01 per share to $2.31 per share. The decreases in our diluted earnings per share were primarily due to the factors discussed above.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34"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As we discuss in Note 1 of the Notes to Condensed Consolidated Financial Statements herein, effective January 1, 2012, we changed our method of accounting for investment tax credits (ITC) from the flow-through method to the deferral method. We applied this change in accounting principle by retrospectively adjusting the historical financial statement amounts for all periods presented. The change in accounting principle has no impact on the financial results of SDG&amp;E or SoCalGas for prior or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segment, which we discuss below in “Segment Results.”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Three months ended September 30,</w:t>
            </w:r>
          </w:p>
        </w:tc>
        <w:tc>
          <w:tcPr>
            <w:tcW w:w="9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23"/>
        </w:trPr>
        <w:tc>
          <w:tcPr>
            <w:tcW w:w="5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2011</w:t>
            </w:r>
          </w:p>
        </w:tc>
        <w:tc>
          <w:tcPr>
            <w:tcW w:w="1060" w:type="dxa"/>
            <w:vAlign w:val="bottom"/>
            <w:tcBorders>
              <w:bottom w:val="single" w:sz="8" w:color="auto"/>
            </w:tcBorders>
          </w:tcPr>
          <w:p>
            <w:pPr>
              <w:spacing w:after="0"/>
              <w:rPr>
                <w:sz w:val="19"/>
                <w:szCs w:val="19"/>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6"/>
                <w:szCs w:val="16"/>
                <w:color w:val="auto"/>
              </w:rPr>
              <w:t>California Utilities:</w:t>
            </w: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SDG&amp;E(1)</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62"/>
              <w:spacing w:after="0"/>
              <w:rPr>
                <w:sz w:val="20"/>
                <w:szCs w:val="20"/>
                <w:color w:val="auto"/>
              </w:rPr>
            </w:pPr>
            <w:r>
              <w:rPr>
                <w:rFonts w:ascii="Arial" w:cs="Arial" w:eastAsia="Arial" w:hAnsi="Arial"/>
                <w:sz w:val="16"/>
                <w:szCs w:val="16"/>
                <w:color w:val="auto"/>
              </w:rPr>
              <w:t>174</w:t>
            </w:r>
          </w:p>
        </w:tc>
        <w:tc>
          <w:tcPr>
            <w:tcW w:w="1140" w:type="dxa"/>
            <w:vAlign w:val="bottom"/>
          </w:tcPr>
          <w:p>
            <w:pPr>
              <w:ind w:left="620"/>
              <w:spacing w:after="0"/>
              <w:rPr>
                <w:sz w:val="20"/>
                <w:szCs w:val="20"/>
                <w:color w:val="auto"/>
              </w:rPr>
            </w:pPr>
            <w:r>
              <w:rPr>
                <w:rFonts w:ascii="Arial" w:cs="Arial" w:eastAsia="Arial" w:hAnsi="Arial"/>
                <w:sz w:val="16"/>
                <w:szCs w:val="16"/>
                <w:color w:val="auto"/>
              </w:rPr>
              <w:t>65 %</w:t>
            </w:r>
          </w:p>
        </w:tc>
        <w:tc>
          <w:tcPr>
            <w:tcW w:w="13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22"/>
              <w:spacing w:after="0"/>
              <w:rPr>
                <w:sz w:val="20"/>
                <w:szCs w:val="20"/>
                <w:color w:val="auto"/>
              </w:rPr>
            </w:pPr>
            <w:r>
              <w:rPr>
                <w:rFonts w:ascii="Arial" w:cs="Arial" w:eastAsia="Arial" w:hAnsi="Arial"/>
                <w:sz w:val="16"/>
                <w:szCs w:val="16"/>
                <w:color w:val="auto"/>
              </w:rPr>
              <w:t>113</w:t>
            </w:r>
          </w:p>
        </w:tc>
        <w:tc>
          <w:tcPr>
            <w:tcW w:w="1060" w:type="dxa"/>
            <w:vAlign w:val="bottom"/>
          </w:tcPr>
          <w:p>
            <w:pPr>
              <w:ind w:left="380"/>
              <w:spacing w:after="0"/>
              <w:rPr>
                <w:sz w:val="20"/>
                <w:szCs w:val="20"/>
                <w:color w:val="auto"/>
              </w:rPr>
            </w:pPr>
            <w:r>
              <w:rPr>
                <w:rFonts w:ascii="Arial" w:cs="Arial" w:eastAsia="Arial" w:hAnsi="Arial"/>
                <w:sz w:val="16"/>
                <w:szCs w:val="16"/>
                <w:color w:val="auto"/>
              </w:rPr>
              <w:t>39 %</w:t>
            </w:r>
          </w:p>
        </w:tc>
      </w:tr>
      <w:tr>
        <w:trPr>
          <w:trHeight w:val="197"/>
        </w:trPr>
        <w:tc>
          <w:tcPr>
            <w:tcW w:w="5060" w:type="dxa"/>
            <w:vAlign w:val="bottom"/>
          </w:tcPr>
          <w:p>
            <w:pPr>
              <w:ind w:left="180"/>
              <w:spacing w:after="0"/>
              <w:rPr>
                <w:sz w:val="20"/>
                <w:szCs w:val="20"/>
                <w:color w:val="auto"/>
              </w:rPr>
            </w:pPr>
            <w:r>
              <w:rPr>
                <w:rFonts w:ascii="Arial" w:cs="Arial" w:eastAsia="Arial" w:hAnsi="Arial"/>
                <w:sz w:val="16"/>
                <w:szCs w:val="16"/>
                <w:color w:val="auto"/>
              </w:rPr>
              <w:t>SoCalGas(1)</w:t>
            </w:r>
          </w:p>
        </w:tc>
        <w:tc>
          <w:tcPr>
            <w:tcW w:w="680" w:type="dxa"/>
            <w:vAlign w:val="bottom"/>
          </w:tcPr>
          <w:p>
            <w:pPr>
              <w:spacing w:after="0"/>
              <w:rPr>
                <w:sz w:val="17"/>
                <w:szCs w:val="17"/>
                <w:color w:val="auto"/>
              </w:rPr>
            </w:pPr>
          </w:p>
        </w:tc>
        <w:tc>
          <w:tcPr>
            <w:tcW w:w="1200" w:type="dxa"/>
            <w:vAlign w:val="bottom"/>
          </w:tcPr>
          <w:p>
            <w:pPr>
              <w:jc w:val="right"/>
              <w:ind w:right="262"/>
              <w:spacing w:after="0"/>
              <w:rPr>
                <w:sz w:val="20"/>
                <w:szCs w:val="20"/>
                <w:color w:val="auto"/>
              </w:rPr>
            </w:pPr>
            <w:r>
              <w:rPr>
                <w:rFonts w:ascii="Arial" w:cs="Arial" w:eastAsia="Arial" w:hAnsi="Arial"/>
                <w:sz w:val="16"/>
                <w:szCs w:val="16"/>
                <w:color w:val="auto"/>
              </w:rPr>
              <w:t>71</w:t>
            </w:r>
          </w:p>
        </w:tc>
        <w:tc>
          <w:tcPr>
            <w:tcW w:w="1140" w:type="dxa"/>
            <w:vAlign w:val="bottom"/>
          </w:tcPr>
          <w:p>
            <w:pPr>
              <w:ind w:left="620"/>
              <w:spacing w:after="0"/>
              <w:rPr>
                <w:sz w:val="20"/>
                <w:szCs w:val="20"/>
                <w:color w:val="auto"/>
              </w:rPr>
            </w:pPr>
            <w:r>
              <w:rPr>
                <w:rFonts w:ascii="Arial" w:cs="Arial" w:eastAsia="Arial" w:hAnsi="Arial"/>
                <w:sz w:val="16"/>
                <w:szCs w:val="16"/>
                <w:color w:val="auto"/>
              </w:rPr>
              <w:t>26</w:t>
            </w:r>
          </w:p>
        </w:tc>
        <w:tc>
          <w:tcPr>
            <w:tcW w:w="1360" w:type="dxa"/>
            <w:vAlign w:val="bottom"/>
          </w:tcPr>
          <w:p>
            <w:pPr>
              <w:spacing w:after="0"/>
              <w:rPr>
                <w:sz w:val="17"/>
                <w:szCs w:val="17"/>
                <w:color w:val="auto"/>
              </w:rPr>
            </w:pPr>
          </w:p>
        </w:tc>
        <w:tc>
          <w:tcPr>
            <w:tcW w:w="920" w:type="dxa"/>
            <w:vAlign w:val="bottom"/>
          </w:tcPr>
          <w:p>
            <w:pPr>
              <w:jc w:val="right"/>
              <w:ind w:right="522"/>
              <w:spacing w:after="0"/>
              <w:rPr>
                <w:sz w:val="20"/>
                <w:szCs w:val="20"/>
                <w:color w:val="auto"/>
              </w:rPr>
            </w:pPr>
            <w:r>
              <w:rPr>
                <w:rFonts w:ascii="Arial" w:cs="Arial" w:eastAsia="Arial" w:hAnsi="Arial"/>
                <w:sz w:val="16"/>
                <w:szCs w:val="16"/>
                <w:color w:val="auto"/>
              </w:rPr>
              <w:t>81</w:t>
            </w:r>
          </w:p>
        </w:tc>
        <w:tc>
          <w:tcPr>
            <w:tcW w:w="1060" w:type="dxa"/>
            <w:vAlign w:val="bottom"/>
          </w:tcPr>
          <w:p>
            <w:pPr>
              <w:ind w:left="380"/>
              <w:spacing w:after="0"/>
              <w:rPr>
                <w:sz w:val="20"/>
                <w:szCs w:val="20"/>
                <w:color w:val="auto"/>
              </w:rPr>
            </w:pPr>
            <w:r>
              <w:rPr>
                <w:rFonts w:ascii="Arial" w:cs="Arial" w:eastAsia="Arial" w:hAnsi="Arial"/>
                <w:sz w:val="16"/>
                <w:szCs w:val="16"/>
                <w:color w:val="auto"/>
              </w:rPr>
              <w:t>28</w:t>
            </w:r>
          </w:p>
        </w:tc>
      </w:tr>
      <w:tr>
        <w:trPr>
          <w:trHeight w:val="195"/>
        </w:trPr>
        <w:tc>
          <w:tcPr>
            <w:tcW w:w="5060" w:type="dxa"/>
            <w:vAlign w:val="bottom"/>
          </w:tcPr>
          <w:p>
            <w:pPr>
              <w:spacing w:after="0"/>
              <w:rPr>
                <w:sz w:val="20"/>
                <w:szCs w:val="20"/>
                <w:color w:val="auto"/>
              </w:rPr>
            </w:pPr>
            <w:r>
              <w:rPr>
                <w:rFonts w:ascii="Arial" w:cs="Arial" w:eastAsia="Arial" w:hAnsi="Arial"/>
                <w:sz w:val="16"/>
                <w:szCs w:val="16"/>
                <w:color w:val="auto"/>
              </w:rPr>
              <w:t>Sempra International:</w:t>
            </w: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ectPr>
          <w:pgSz w:w="11900" w:h="16905" w:orient="portrait"/>
          <w:cols w:equalWidth="0" w:num="1">
            <w:col w:w="11420"/>
          </w:cols>
          <w:pgMar w:left="240" w:top="125" w:right="239" w:bottom="0" w:gutter="0" w:footer="0" w:header="0"/>
        </w:sectPr>
      </w:pPr>
    </w:p>
    <w:bookmarkStart w:id="53" w:name="page54"/>
    <w:bookmarkEnd w:id="5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640" w:type="dxa"/>
            <w:vAlign w:val="bottom"/>
          </w:tcPr>
          <w:p>
            <w:pPr>
              <w:spacing w:after="0"/>
              <w:rPr>
                <w:sz w:val="16"/>
                <w:szCs w:val="16"/>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40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15</w:t>
            </w:r>
          </w:p>
        </w:tc>
        <w:tc>
          <w:tcPr>
            <w:tcW w:w="1280" w:type="dxa"/>
            <w:vAlign w:val="bottom"/>
          </w:tcPr>
          <w:p>
            <w:pPr>
              <w:spacing w:after="0"/>
              <w:rPr>
                <w:sz w:val="16"/>
                <w:szCs w:val="16"/>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50</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17</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640" w:type="dxa"/>
            <w:vAlign w:val="bottom"/>
          </w:tcPr>
          <w:p>
            <w:pPr>
              <w:spacing w:after="0"/>
              <w:rPr>
                <w:sz w:val="18"/>
                <w:szCs w:val="18"/>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54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20</w:t>
            </w:r>
          </w:p>
        </w:tc>
        <w:tc>
          <w:tcPr>
            <w:tcW w:w="128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47</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16</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Sempra U.S. Gas &amp; Power:</w:t>
            </w: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640" w:type="dxa"/>
            <w:vAlign w:val="bottom"/>
          </w:tcPr>
          <w:p>
            <w:pPr>
              <w:spacing w:after="0"/>
              <w:rPr>
                <w:sz w:val="18"/>
                <w:szCs w:val="18"/>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w:t>
            </w:r>
          </w:p>
        </w:tc>
        <w:tc>
          <w:tcPr>
            <w:tcW w:w="128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1</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64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(68)</w:t>
            </w:r>
          </w:p>
        </w:tc>
        <w:tc>
          <w:tcPr>
            <w:tcW w:w="1120" w:type="dxa"/>
            <w:vAlign w:val="bottom"/>
          </w:tcPr>
          <w:p>
            <w:pPr>
              <w:jc w:val="right"/>
              <w:ind w:right="220"/>
              <w:spacing w:after="0"/>
              <w:rPr>
                <w:sz w:val="20"/>
                <w:szCs w:val="20"/>
                <w:color w:val="auto"/>
              </w:rPr>
            </w:pPr>
            <w:r>
              <w:rPr>
                <w:rFonts w:ascii="Arial" w:cs="Arial" w:eastAsia="Arial" w:hAnsi="Arial"/>
                <w:sz w:val="16"/>
                <w:szCs w:val="16"/>
                <w:color w:val="auto"/>
              </w:rPr>
              <w:t>(25)</w:t>
            </w:r>
          </w:p>
        </w:tc>
        <w:tc>
          <w:tcPr>
            <w:tcW w:w="128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41</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14</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Parent and other(2)</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(16)</w:t>
            </w: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(6)</w:t>
            </w:r>
          </w:p>
        </w:tc>
        <w:tc>
          <w:tcPr>
            <w:tcW w:w="1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(44)</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w:t>
            </w:r>
          </w:p>
        </w:tc>
      </w:tr>
      <w:tr>
        <w:trPr>
          <w:trHeight w:val="176"/>
        </w:trPr>
        <w:tc>
          <w:tcPr>
            <w:tcW w:w="5060" w:type="dxa"/>
            <w:vAlign w:val="bottom"/>
          </w:tcPr>
          <w:p>
            <w:pPr>
              <w:spacing w:after="0" w:line="169" w:lineRule="exact"/>
              <w:rPr>
                <w:sz w:val="20"/>
                <w:szCs w:val="20"/>
                <w:color w:val="auto"/>
              </w:rPr>
            </w:pPr>
            <w:r>
              <w:rPr>
                <w:rFonts w:ascii="Arial" w:cs="Arial" w:eastAsia="Arial" w:hAnsi="Arial"/>
                <w:sz w:val="16"/>
                <w:szCs w:val="16"/>
                <w:color w:val="auto"/>
              </w:rPr>
              <w:t>Earnings</w:t>
            </w: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280"/>
              <w:spacing w:after="0" w:line="176" w:lineRule="exact"/>
              <w:rPr>
                <w:sz w:val="20"/>
                <w:szCs w:val="20"/>
                <w:color w:val="auto"/>
              </w:rPr>
            </w:pPr>
            <w:r>
              <w:rPr>
                <w:rFonts w:ascii="Arial" w:cs="Arial" w:eastAsia="Arial" w:hAnsi="Arial"/>
                <w:sz w:val="16"/>
                <w:szCs w:val="16"/>
                <w:color w:val="auto"/>
              </w:rPr>
              <w:t>268</w:t>
            </w:r>
          </w:p>
        </w:tc>
        <w:tc>
          <w:tcPr>
            <w:tcW w:w="112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100 %</w:t>
            </w:r>
          </w:p>
        </w:tc>
        <w:tc>
          <w:tcPr>
            <w:tcW w:w="1280" w:type="dxa"/>
            <w:vAlign w:val="bottom"/>
            <w:tcBorders>
              <w:bottom w:val="single" w:sz="8" w:color="auto"/>
            </w:tcBorders>
          </w:tcPr>
          <w:p>
            <w:pPr>
              <w:jc w:val="right"/>
              <w:ind w:right="97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60"/>
              <w:spacing w:after="0" w:line="176" w:lineRule="exact"/>
              <w:rPr>
                <w:sz w:val="20"/>
                <w:szCs w:val="20"/>
                <w:color w:val="auto"/>
              </w:rPr>
            </w:pPr>
            <w:r>
              <w:rPr>
                <w:rFonts w:ascii="Arial" w:cs="Arial" w:eastAsia="Arial" w:hAnsi="Arial"/>
                <w:sz w:val="16"/>
                <w:szCs w:val="16"/>
                <w:color w:val="auto"/>
              </w:rPr>
              <w:t>289</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w:t>
            </w:r>
          </w:p>
        </w:tc>
      </w:tr>
      <w:tr>
        <w:trPr>
          <w:trHeight w:val="21"/>
        </w:trPr>
        <w:tc>
          <w:tcPr>
            <w:tcW w:w="5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0"/>
        </w:trPr>
        <w:tc>
          <w:tcPr>
            <w:tcW w:w="50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 September 30,</w:t>
            </w: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3"/>
        </w:trPr>
        <w:tc>
          <w:tcPr>
            <w:tcW w:w="5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spacing w:after="0"/>
              <w:rPr>
                <w:sz w:val="19"/>
                <w:szCs w:val="19"/>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6"/>
                <w:szCs w:val="16"/>
                <w:color w:val="auto"/>
              </w:rPr>
              <w:t>California Utilities:</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SDG&amp;E(1)</w:t>
            </w: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374</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66 %</w:t>
            </w:r>
          </w:p>
        </w:tc>
        <w:tc>
          <w:tcPr>
            <w:tcW w:w="12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273</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26 %</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SoCalGas(1)</w:t>
            </w:r>
          </w:p>
        </w:tc>
        <w:tc>
          <w:tcPr>
            <w:tcW w:w="640" w:type="dxa"/>
            <w:vAlign w:val="bottom"/>
          </w:tcPr>
          <w:p>
            <w:pPr>
              <w:spacing w:after="0"/>
              <w:rPr>
                <w:sz w:val="18"/>
                <w:szCs w:val="18"/>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190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34</w:t>
            </w:r>
          </w:p>
        </w:tc>
        <w:tc>
          <w:tcPr>
            <w:tcW w:w="128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208</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20</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Sempra International:</w:t>
            </w: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640" w:type="dxa"/>
            <w:vAlign w:val="bottom"/>
          </w:tcPr>
          <w:p>
            <w:pPr>
              <w:spacing w:after="0"/>
              <w:rPr>
                <w:sz w:val="18"/>
                <w:szCs w:val="18"/>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118</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21</w:t>
            </w:r>
          </w:p>
        </w:tc>
        <w:tc>
          <w:tcPr>
            <w:tcW w:w="128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386</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37</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640" w:type="dxa"/>
            <w:vAlign w:val="bottom"/>
          </w:tcPr>
          <w:p>
            <w:pPr>
              <w:spacing w:after="0"/>
              <w:rPr>
                <w:sz w:val="18"/>
                <w:szCs w:val="18"/>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134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24</w:t>
            </w:r>
          </w:p>
        </w:tc>
        <w:tc>
          <w:tcPr>
            <w:tcW w:w="128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121</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12</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Sempra U.S. Gas &amp; Power:</w:t>
            </w: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640" w:type="dxa"/>
            <w:vAlign w:val="bottom"/>
          </w:tcPr>
          <w:p>
            <w:pPr>
              <w:spacing w:after="0"/>
              <w:rPr>
                <w:sz w:val="18"/>
                <w:szCs w:val="18"/>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47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w:t>
            </w:r>
          </w:p>
        </w:tc>
        <w:tc>
          <w:tcPr>
            <w:tcW w:w="128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9</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64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(260)</w:t>
            </w:r>
          </w:p>
        </w:tc>
        <w:tc>
          <w:tcPr>
            <w:tcW w:w="1120" w:type="dxa"/>
            <w:vAlign w:val="bottom"/>
          </w:tcPr>
          <w:p>
            <w:pPr>
              <w:jc w:val="right"/>
              <w:ind w:right="220"/>
              <w:spacing w:after="0"/>
              <w:rPr>
                <w:sz w:val="20"/>
                <w:szCs w:val="20"/>
                <w:color w:val="auto"/>
              </w:rPr>
            </w:pPr>
            <w:r>
              <w:rPr>
                <w:rFonts w:ascii="Arial" w:cs="Arial" w:eastAsia="Arial" w:hAnsi="Arial"/>
                <w:sz w:val="16"/>
                <w:szCs w:val="16"/>
                <w:color w:val="auto"/>
              </w:rPr>
              <w:t>(46)</w:t>
            </w:r>
          </w:p>
        </w:tc>
        <w:tc>
          <w:tcPr>
            <w:tcW w:w="128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151</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14</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Parent and other(2)</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(37)</w:t>
            </w: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w:t>
            </w:r>
          </w:p>
        </w:tc>
        <w:tc>
          <w:tcPr>
            <w:tcW w:w="1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(102)</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w:t>
            </w:r>
          </w:p>
        </w:tc>
      </w:tr>
      <w:tr>
        <w:trPr>
          <w:trHeight w:val="176"/>
        </w:trPr>
        <w:tc>
          <w:tcPr>
            <w:tcW w:w="50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Earnings</w:t>
            </w: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280"/>
              <w:spacing w:after="0" w:line="176" w:lineRule="exact"/>
              <w:rPr>
                <w:sz w:val="20"/>
                <w:szCs w:val="20"/>
                <w:color w:val="auto"/>
              </w:rPr>
            </w:pPr>
            <w:r>
              <w:rPr>
                <w:rFonts w:ascii="Arial" w:cs="Arial" w:eastAsia="Arial" w:hAnsi="Arial"/>
                <w:sz w:val="16"/>
                <w:szCs w:val="16"/>
                <w:color w:val="auto"/>
              </w:rPr>
              <w:t>566</w:t>
            </w:r>
          </w:p>
        </w:tc>
        <w:tc>
          <w:tcPr>
            <w:tcW w:w="112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100 %</w:t>
            </w:r>
          </w:p>
        </w:tc>
        <w:tc>
          <w:tcPr>
            <w:tcW w:w="1280" w:type="dxa"/>
            <w:vAlign w:val="bottom"/>
            <w:tcBorders>
              <w:bottom w:val="single" w:sz="8" w:color="auto"/>
            </w:tcBorders>
          </w:tcPr>
          <w:p>
            <w:pPr>
              <w:jc w:val="right"/>
              <w:ind w:right="97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60"/>
              <w:spacing w:after="0" w:line="176" w:lineRule="exact"/>
              <w:rPr>
                <w:sz w:val="20"/>
                <w:szCs w:val="20"/>
                <w:color w:val="auto"/>
              </w:rPr>
            </w:pPr>
            <w:r>
              <w:rPr>
                <w:rFonts w:ascii="Arial" w:cs="Arial" w:eastAsia="Arial" w:hAnsi="Arial"/>
                <w:sz w:val="16"/>
                <w:szCs w:val="16"/>
                <w:color w:val="auto"/>
                <w:w w:val="94"/>
              </w:rPr>
              <w:t>1,046</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580" w:hanging="572"/>
        <w:spacing w:after="0"/>
        <w:tabs>
          <w:tab w:leader="none" w:pos="58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5" w:lineRule="exact"/>
        <w:rPr>
          <w:rFonts w:ascii="Arial" w:cs="Arial" w:eastAsia="Arial" w:hAnsi="Arial"/>
          <w:sz w:val="14"/>
          <w:szCs w:val="14"/>
          <w:i w:val="1"/>
          <w:iCs w:val="1"/>
          <w:color w:val="auto"/>
        </w:rPr>
      </w:pPr>
    </w:p>
    <w:p>
      <w:pPr>
        <w:ind w:left="580" w:right="60" w:hanging="572"/>
        <w:spacing w:after="0" w:line="258" w:lineRule="auto"/>
        <w:tabs>
          <w:tab w:leader="none" w:pos="58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($37 million and $34 million for the three months ended September 30, 2012 and 2011, respectively, and $110 million and $103 million for the nine months ended September 30, 2012 and 2011, respectively), intercompany eliminations recorded in consolidation and certain corporate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section is a discussion of earnings (losses) by Sempra Energy segment, as presented in the table above. Variance amounts are the after-tax earnings impact,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6003290" cy="30016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SDG&amp;E segment recorded earnings of:</w:t>
      </w:r>
    </w:p>
    <w:p>
      <w:pPr>
        <w:spacing w:after="0" w:line="225" w:lineRule="exact"/>
        <w:rPr>
          <w:sz w:val="20"/>
          <w:szCs w:val="20"/>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$174 million in the three months ended September 30, 2012 ($176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$113 million in the three months ended September 30, 2011 ($115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$374 million for the first nine months of 2012 ($378 million before preferred dividends)</w:t>
      </w:r>
    </w:p>
    <w:p>
      <w:pPr>
        <w:sectPr>
          <w:pgSz w:w="11900" w:h="16861" w:orient="portrait"/>
          <w:cols w:equalWidth="0" w:num="1">
            <w:col w:w="11420"/>
          </w:cols>
          <w:pgMar w:left="240" w:top="385" w:right="239" w:bottom="0" w:gutter="0" w:footer="0" w:header="0"/>
        </w:sectPr>
      </w:pPr>
    </w:p>
    <w:bookmarkStart w:id="54" w:name="page55"/>
    <w:bookmarkEnd w:id="54"/>
    <w:p>
      <w:pPr>
        <w:ind w:left="160"/>
        <w:spacing w:after="0"/>
        <w:rPr>
          <w:sz w:val="20"/>
          <w:szCs w:val="20"/>
          <w:color w:val="auto"/>
        </w:rPr>
      </w:pPr>
      <w:r>
        <w:rPr>
          <w:rFonts w:ascii="Arial" w:cs="Arial" w:eastAsia="Arial" w:hAnsi="Arial"/>
          <w:sz w:val="18"/>
          <w:szCs w:val="18"/>
          <w:color w:val="auto"/>
        </w:rPr>
        <w:t>§ $273 million for the first nine months of 2011 ($277 million before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$61 million (54%) in the three months ended September 30, 2012 was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$43 million reduction in 2012 income tax expense primarily due to the impact of repairs allowance deductions for 2011 and 2012, as we discuss below in “Income Taxes;”</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$7 million favorable earnings impact due to the incremental wildfire insurance premiums in 2011 not recovered in revenues until the fourth quarter of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$7 million higher electric transmission margin (excluding Sunrise Powerlink);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$6 million lower expense associated with the settlement of 2007 wildfire claims;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$5 million higher earnings related to Sunrise Powerlink;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$5 million in earnings for Desert Star in 2012, which was acquired in October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 million higher interest expense; and</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$7 million higher depreciation and operation and maintenance expenses related to California Public Utilities Commission (CPUC)-regulated operations (excluding insurance premiums for wildfire coverage, litigation and Desert Star) with no corresponding increase in the CPUC-authorized margin in 2012 due to the delay in the 2012 General Rate Case (GRC) decision.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$37 million reduction in 2012 income tax expense primarily due to the impact of repairs allowance deductions for 2011 and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$29 million higher earnings related to Sunrise Powerlink;</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$25 million favorable earnings impact due to the incremental wildfire insurance premiums in 2011 not recovered in revenues until the fourth quarter of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$14 million in earnings for Desert Star in 2012, which was acquired in October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$6 million for the recovery in 2012 of incremental costs incurred in prior years for the long-term storage of spent nuclear fuel;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$5 million increase in allowance for funds used during construction (AFUDC) related to equity (excluding Sunrise Powerlink);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$4 million higher electric transmission margin (excluding Sunrise Powerlink);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$3 million lower expense associated with the settlement of 2007 wildfire claims;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$12 million higher depreciation and operation and maintenance expenses related to CPUC-regulated operations (excluding insurance premiums for wildfire coverage, litigation and Desert Star) with no corresponding increase in the CPUC-authorized margin in 2012 due to the delay in the 2012 GRC decision; and</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$11 million higher interest expense.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SoCalGas segment recorded earnings of:</w:t>
      </w:r>
    </w:p>
    <w:p>
      <w:pPr>
        <w:spacing w:after="0" w:line="225" w:lineRule="exact"/>
        <w:rPr>
          <w:sz w:val="20"/>
          <w:szCs w:val="20"/>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$71 million in the three months ended September 30, 2012 (both before and after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$81 million in the three months ended September 30, 2011 (both before and after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$190 million for the first nine months of 2012 ($191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$208 million for the first nine months of 2011 ($209 million before preferred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$5 million increase in depreciation with no corresponding increase in CPUC-authorized margin in 2012 due to the delay in the 2012 GRC decision;</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$3 million due to a slightly higher effective tax rate;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$2 million lower regulatory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$18 million (9%) in the first nine months of 2012 was primarily due to:</w:t>
      </w:r>
    </w:p>
    <w:p>
      <w:pPr>
        <w:sectPr>
          <w:pgSz w:w="11900" w:h="16838" w:orient="portrait"/>
          <w:cols w:equalWidth="0" w:num="1">
            <w:col w:w="11420"/>
          </w:cols>
          <w:pgMar w:left="240" w:top="368" w:right="239" w:bottom="0" w:gutter="0" w:footer="0" w:header="0"/>
        </w:sectPr>
      </w:pPr>
    </w:p>
    <w:bookmarkStart w:id="55" w:name="page56"/>
    <w:bookmarkEnd w:id="55"/>
    <w:p>
      <w:pPr>
        <w:ind w:left="340" w:hanging="188"/>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$13 million increase in depreciation with no corresponding increase in CPUC-authorized margin in 2012 due to the delay in the 2012 GRC decision; and</w:t>
      </w:r>
    </w:p>
    <w:p>
      <w:pPr>
        <w:spacing w:after="0" w:line="271" w:lineRule="exact"/>
        <w:rPr>
          <w:rFonts w:ascii="Arial" w:cs="Arial" w:eastAsia="Arial" w:hAnsi="Arial"/>
          <w:sz w:val="16"/>
          <w:szCs w:val="16"/>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$8 million higher income tax expense due to a higher effective tax rate;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$5 million from an increase in AFUDC related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489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6003290" cy="30016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South American Utilities segment recorded earnings of:</w:t>
      </w:r>
    </w:p>
    <w:p>
      <w:pPr>
        <w:spacing w:after="0" w:line="225" w:lineRule="exact"/>
        <w:rPr>
          <w:sz w:val="20"/>
          <w:szCs w:val="20"/>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$40 million in the three months ended September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$50 million in the three months ended September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$118 million for the first nine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$386 million for the first nine months of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$10 million (20%) in the three months ended September 30, 2012 was primarily due to:</w:t>
      </w:r>
    </w:p>
    <w:p>
      <w:pPr>
        <w:spacing w:after="0" w:line="221" w:lineRule="exact"/>
        <w:rPr>
          <w:sz w:val="20"/>
          <w:szCs w:val="20"/>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$19 million earnings in 2011 from foreign currency rate effect for U.S. dollar monetary position in Chile;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right="1620" w:firstLine="152"/>
        <w:spacing w:after="0" w:line="514" w:lineRule="auto"/>
        <w:tabs>
          <w:tab w:leader="none" w:pos="3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$7 million higher earnings from operations in 2012 primarily attributable to an increase in customer base and higher consumption. The decrease of $268 million in the first nine months of 2012 was primarily due to:</w:t>
      </w:r>
    </w:p>
    <w:p>
      <w:pPr>
        <w:spacing w:after="0" w:line="4"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a $277 million gain related to the remeasurement of the Chilquinta Energía and Luz del Sur equity method investments in April 2011;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$20 million earnings in 2011 from foreign currency rate effect mainly for U.S. dollar monetary position in Chile;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$21 million higher earnings in 2012 due to the acquisition of additional interests in Chilquinta Energía and Luz del Sur in April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 million higher earnings from operations in 2012 primarily attributable to an increase in customer base and higher consumption.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ectPr>
          <w:pgSz w:w="11900" w:h="16838" w:orient="portrait"/>
          <w:cols w:equalWidth="0" w:num="1">
            <w:col w:w="11340"/>
          </w:cols>
          <w:pgMar w:left="240" w:top="125" w:right="319" w:bottom="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Mexico segment recorded earnings of:</w:t>
      </w:r>
    </w:p>
    <w:p>
      <w:pPr>
        <w:spacing w:after="0" w:line="225" w:lineRule="exact"/>
        <w:rPr>
          <w:sz w:val="20"/>
          <w:szCs w:val="20"/>
          <w:color w:val="auto"/>
        </w:rPr>
      </w:pPr>
    </w:p>
    <w:p>
      <w:pPr>
        <w:ind w:left="340" w:hanging="188"/>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$54 million in the three months ended September 30, 2012</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$47 million in the three months ended September 30, 2011</w:t>
      </w:r>
    </w:p>
    <w:p>
      <w:pPr>
        <w:sectPr>
          <w:pgSz w:w="11900" w:h="16838" w:orient="portrait"/>
          <w:cols w:equalWidth="0" w:num="1">
            <w:col w:w="11340"/>
          </w:cols>
          <w:pgMar w:left="240" w:top="125" w:right="319" w:bottom="0" w:gutter="0" w:footer="0" w:header="0"/>
          <w:type w:val="continuous"/>
        </w:sectPr>
      </w:pPr>
    </w:p>
    <w:bookmarkStart w:id="56" w:name="page57"/>
    <w:bookmarkEnd w:id="56"/>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$134 million for the first nine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$121 million for the first nine months of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$17 million primarily due to a prior year outage at our Mexicali power plant and an increase in equity earnings from our joint venture with PEMEX (the Mexican state-owned oil company);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$9 million positive translation effect on Peso-denominated receivables;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$4 million income tax expense in 2012 related to Mexican currency and inflation adjustments compared to $17 million income tax benefit in 2011.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hanging="188"/>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$23 million primarily due to a prior year outage at our Mexicali power plant, an increase in equity earnings from our joint venture with PEMEX and lower operating expenses at the Energía Costa Azul receipt terminal;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$9 million positive translation effect on Peso-denominated receivables;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$3 million income tax expense in 2012 related to Mexican currency and inflation adjustments compared to $10 million income tax benefit in 2011; and</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$8 million lower natural gas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48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SEGMENT – SEMPRA U.S. GAS &amp; POWER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6003290" cy="30016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Renewables segment recorded earnings of:</w:t>
      </w:r>
    </w:p>
    <w:p>
      <w:pPr>
        <w:spacing w:after="0" w:line="225" w:lineRule="exact"/>
        <w:rPr>
          <w:sz w:val="20"/>
          <w:szCs w:val="20"/>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$13 million in the three months ended September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 million in the three months ended September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$47 million for the first nine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$9 million for the first nine months of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$7 million higher deferred income tax benefits as a result of increased investments in solar and wind generating assets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$3 million higher earnings attributable to our solar assets; and</w:t>
      </w:r>
    </w:p>
    <w:p>
      <w:pPr>
        <w:sectPr>
          <w:pgSz w:w="11900" w:h="16838" w:orient="portrait"/>
          <w:cols w:equalWidth="0" w:num="1">
            <w:col w:w="11420"/>
          </w:cols>
          <w:pgMar w:left="240" w:top="368" w:right="239" w:bottom="0" w:gutter="0" w:footer="0" w:header="0"/>
        </w:sectPr>
      </w:pPr>
    </w:p>
    <w:bookmarkStart w:id="57" w:name="page58"/>
    <w:bookmarkEnd w:id="57"/>
    <w:p>
      <w:pPr>
        <w:ind w:left="160"/>
        <w:spacing w:after="0"/>
        <w:rPr>
          <w:sz w:val="20"/>
          <w:szCs w:val="20"/>
          <w:color w:val="auto"/>
        </w:rPr>
      </w:pPr>
      <w:r>
        <w:rPr>
          <w:rFonts w:ascii="Arial" w:cs="Arial" w:eastAsia="Arial" w:hAnsi="Arial"/>
          <w:sz w:val="18"/>
          <w:szCs w:val="18"/>
          <w:color w:val="auto"/>
        </w:rPr>
        <w:t>§ $2 million higher earnings attributable to our wind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$38 million in the first nine months of 2012 was primarily due to:</w:t>
      </w:r>
    </w:p>
    <w:p>
      <w:pPr>
        <w:spacing w:after="0" w:line="225" w:lineRule="exact"/>
        <w:rPr>
          <w:sz w:val="20"/>
          <w:szCs w:val="20"/>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$26 million higher deferred income tax benefits as a result of increased investments in solar and wind generating assets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$8 million higher earnings attributable to our solar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$6 million higher production tax credits from our wind assets.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Natural Gas segment recorded (losses) earnings of:</w:t>
      </w:r>
    </w:p>
    <w:p>
      <w:pPr>
        <w:spacing w:after="0" w:line="225" w:lineRule="exact"/>
        <w:rPr>
          <w:sz w:val="20"/>
          <w:szCs w:val="20"/>
          <w:color w:val="auto"/>
        </w:rPr>
      </w:pPr>
    </w:p>
    <w:p>
      <w:pPr>
        <w:ind w:left="340" w:hanging="188"/>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$(68) million in the three months ended September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$41 million in the three months ended September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$(260) million for the first nine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$151 million for the first nine months of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$60 million write-down of our investment in Rockies Express in 2012;</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$47 million lower earnings from natural gas power plant operations primarily from lower natural gas and power prices, including the impact from the end of the DWR contract as of September 30, 2011;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$14 million lower earnings from LNG primarily due to lower natural gas prices in 2012 compared to the same period of the prior year; </w:t>
      </w:r>
      <w:r>
        <w:rPr>
          <w:rFonts w:ascii="Arial" w:cs="Arial" w:eastAsia="Arial" w:hAnsi="Arial"/>
          <w:sz w:val="17"/>
          <w:szCs w:val="17"/>
          <w:b w:val="1"/>
          <w:bCs w:val="1"/>
          <w:color w:val="auto"/>
        </w:rPr>
        <w:t>offset by</w:t>
      </w:r>
    </w:p>
    <w:p>
      <w:pPr>
        <w:spacing w:after="0" w:line="267" w:lineRule="exact"/>
        <w:rPr>
          <w:rFonts w:ascii="Arial" w:cs="Arial" w:eastAsia="Arial" w:hAnsi="Arial"/>
          <w:sz w:val="17"/>
          <w:szCs w:val="17"/>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$6 million operating losses in 2011 from the El Dorado power plant sold to SDG&amp;E as of October 1,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$239 million cumulative write-down of our investment in Rockies Express in 2012;</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$169 million lower earnings from natural gas power plant operations primarily from lower natural gas and power prices, including the impact from the end of the DWR contract as of September 30,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$20 million lower earnings from LNG primarily due to lower natural gas prices;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$6 million lower earnings primarily from the timing of natural gas inventory withdrawals and an increase in pipeline and storage demand charges related to an increase in natural gas inventory levels;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$23 million operating losses in 2011 from the El Dorado power plant sold to SDG&amp;E as of October 1, 2011.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Losses for Parent and Other were</w:t>
      </w:r>
    </w:p>
    <w:p>
      <w:pPr>
        <w:spacing w:after="0" w:line="225" w:lineRule="exact"/>
        <w:rPr>
          <w:sz w:val="20"/>
          <w:szCs w:val="20"/>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$16 million in the three months ended September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$44 million in the three months ended September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$37 million for the first nine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$102 million for the first nine months of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$15 million higher investment gains on dedicated assets in support of our executive retirement and deferred compensation plans, net of the increase in deferred compensation liability associated with the investments;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$10 million write-down of our investment in the RBS Sempra Commodities joint venture in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$7 million higher earnings from foreign currency exchange effects mainly related to a Chilean holding company;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$6 million lower income tax benefits, net of the effects of a Mexican peso income tax hedge.</w:t>
      </w:r>
    </w:p>
    <w:p>
      <w:pPr>
        <w:sectPr>
          <w:pgSz w:w="11900" w:h="16838" w:orient="portrait"/>
          <w:cols w:equalWidth="0" w:num="1">
            <w:col w:w="11420"/>
          </w:cols>
          <w:pgMar w:left="240" w:top="368" w:right="239" w:bottom="0" w:gutter="0" w:footer="0" w:header="0"/>
        </w:sectPr>
      </w:pPr>
    </w:p>
    <w:bookmarkStart w:id="58" w:name="page59"/>
    <w:bookmarkEnd w:id="58"/>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losses of $65 million (64%) in the first nine months of 2012 was primarily due to:</w:t>
      </w:r>
    </w:p>
    <w:p>
      <w:pPr>
        <w:spacing w:after="0" w:line="225" w:lineRule="exact"/>
        <w:rPr>
          <w:sz w:val="20"/>
          <w:szCs w:val="20"/>
          <w:color w:val="auto"/>
        </w:rPr>
      </w:pPr>
    </w:p>
    <w:p>
      <w:pPr>
        <w:ind w:left="340" w:hanging="188"/>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$54 million income tax benefit primarily associated with the decision to hold life insurance contracts to term, as we discuss below in “Income Taxes;”</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$15 million equity losses in 2011 from the RBS Sempra Commodities joint venture, including the $10 million write-down of the investment; and</w:t>
      </w:r>
    </w:p>
    <w:p>
      <w:pPr>
        <w:spacing w:after="0" w:line="263"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$12 million higher investment gains on dedicated assets in support of our executive retirement and deferred compensation plans, net of the increase in deferred compensation liability associated with the investments;</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$8 million higher earnings from foreign currency exchange effects mainly related to a Chilean holding company;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$25 million lower income tax benefits, net of the effects of a Mexican peso income tax hedge and excluding the $54 million income tax benefit discussed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specific line items of the Condensed Consolidated Statements of Operations for Sempra Energy, SDG&amp;E and SoCalGas.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 at:</w:t>
      </w:r>
    </w:p>
    <w:p>
      <w:pPr>
        <w:spacing w:after="0" w:line="205" w:lineRule="exact"/>
        <w:rPr>
          <w:sz w:val="20"/>
          <w:szCs w:val="20"/>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Sempra Natural Gas’ Mobile Gas and Willmut Gas, regulated natural gas distribution utilities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i w:val="1"/>
          <w:iCs w:val="1"/>
          <w:color w:val="auto"/>
        </w:rPr>
      </w:pPr>
      <w:r>
        <w:rPr>
          <w:rFonts w:ascii="Arial" w:cs="Arial" w:eastAsia="Arial" w:hAnsi="Arial"/>
          <w:sz w:val="18"/>
          <w:szCs w:val="18"/>
          <w:color w:val="auto"/>
        </w:rPr>
        <w:t>Sempra Mexico’s Ecogas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 at:</w:t>
      </w:r>
    </w:p>
    <w:p>
      <w:pPr>
        <w:spacing w:after="0" w:line="205" w:lineRule="exact"/>
        <w:rPr>
          <w:sz w:val="20"/>
          <w:szCs w:val="20"/>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Sempra South American Utilities’ Chilquinta Energía and Luz del Sur</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Intercompany revenues included in the separate revenues of each utility are eliminated in the Sempra Energy Condensed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California Utilities</w:t>
      </w:r>
    </w:p>
    <w:p>
      <w:pPr>
        <w:spacing w:after="0" w:line="205"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The current regulatory framework for SoCalGas and SDG&amp;E permits the cost of natural gas purchased for core customers (primarily residential and small commercial and industrial customers) to be passed on to customers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9 of the Notes to Condensed Consolidated Financial Statements herein.</w:t>
      </w:r>
    </w:p>
    <w:p>
      <w:pPr>
        <w:spacing w:after="0" w:line="178"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revenues and cost of sales for our utilities, net of intercompany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83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200" w:type="dxa"/>
            <w:vAlign w:val="bottom"/>
            <w:shd w:val="clear" w:color="auto" w:fill="C0C0C0"/>
          </w:tcPr>
          <w:p>
            <w:pPr>
              <w:spacing w:after="0"/>
              <w:rPr>
                <w:sz w:val="17"/>
                <w:szCs w:val="17"/>
                <w:color w:val="auto"/>
              </w:rPr>
            </w:pPr>
          </w:p>
        </w:tc>
      </w:tr>
      <w:tr>
        <w:trPr>
          <w:trHeight w:val="231"/>
        </w:trPr>
        <w:tc>
          <w:tcPr>
            <w:tcW w:w="3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60" w:type="dxa"/>
            <w:vAlign w:val="bottom"/>
            <w:gridSpan w:val="4"/>
          </w:tcPr>
          <w:p>
            <w:pPr>
              <w:jc w:val="right"/>
              <w:ind w:right="300"/>
              <w:spacing w:after="0"/>
              <w:rPr>
                <w:sz w:val="20"/>
                <w:szCs w:val="20"/>
                <w:color w:val="auto"/>
              </w:rPr>
            </w:pPr>
            <w:r>
              <w:rPr>
                <w:rFonts w:ascii="Arial" w:cs="Arial" w:eastAsia="Arial" w:hAnsi="Arial"/>
                <w:sz w:val="14"/>
                <w:szCs w:val="14"/>
                <w:color w:val="auto"/>
              </w:rPr>
              <w:t>Three months ended September 30,</w:t>
            </w:r>
          </w:p>
        </w:tc>
        <w:tc>
          <w:tcPr>
            <w:tcW w:w="220" w:type="dxa"/>
            <w:vAlign w:val="bottom"/>
          </w:tcPr>
          <w:p>
            <w:pPr>
              <w:spacing w:after="0"/>
              <w:rPr>
                <w:sz w:val="20"/>
                <w:szCs w:val="20"/>
                <w:color w:val="auto"/>
              </w:rPr>
            </w:pPr>
          </w:p>
        </w:tc>
        <w:tc>
          <w:tcPr>
            <w:tcW w:w="2720" w:type="dxa"/>
            <w:vAlign w:val="bottom"/>
            <w:gridSpan w:val="3"/>
          </w:tcPr>
          <w:p>
            <w:pPr>
              <w:jc w:val="right"/>
              <w:ind w:right="280"/>
              <w:spacing w:after="0"/>
              <w:rPr>
                <w:sz w:val="20"/>
                <w:szCs w:val="20"/>
                <w:color w:val="auto"/>
              </w:rPr>
            </w:pPr>
            <w:r>
              <w:rPr>
                <w:rFonts w:ascii="Arial" w:cs="Arial" w:eastAsia="Arial" w:hAnsi="Arial"/>
                <w:sz w:val="14"/>
                <w:szCs w:val="14"/>
                <w:color w:val="auto"/>
              </w:rPr>
              <w:t>Nine months ended September 30,</w:t>
            </w:r>
          </w:p>
        </w:tc>
      </w:tr>
      <w:tr>
        <w:trPr>
          <w:trHeight w:val="208"/>
        </w:trPr>
        <w:tc>
          <w:tcPr>
            <w:tcW w:w="39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2011</w:t>
            </w:r>
          </w:p>
        </w:tc>
      </w:tr>
      <w:tr>
        <w:trPr>
          <w:trHeight w:val="204"/>
        </w:trPr>
        <w:tc>
          <w:tcPr>
            <w:tcW w:w="3920" w:type="dxa"/>
            <w:vAlign w:val="bottom"/>
          </w:tcPr>
          <w:p>
            <w:pPr>
              <w:spacing w:after="0"/>
              <w:rPr>
                <w:sz w:val="20"/>
                <w:szCs w:val="20"/>
                <w:color w:val="auto"/>
              </w:rPr>
            </w:pPr>
            <w:r>
              <w:rPr>
                <w:rFonts w:ascii="Arial" w:cs="Arial" w:eastAsia="Arial" w:hAnsi="Arial"/>
                <w:sz w:val="16"/>
                <w:szCs w:val="16"/>
                <w:b w:val="1"/>
                <w:bCs w:val="1"/>
                <w:color w:val="auto"/>
              </w:rPr>
              <w:t>Electric revenues:</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5"/>
        </w:trPr>
        <w:tc>
          <w:tcPr>
            <w:tcW w:w="3920" w:type="dxa"/>
            <w:vAlign w:val="bottom"/>
          </w:tcPr>
          <w:p>
            <w:pPr>
              <w:ind w:left="100"/>
              <w:spacing w:after="0"/>
              <w:rPr>
                <w:sz w:val="20"/>
                <w:szCs w:val="20"/>
                <w:color w:val="auto"/>
              </w:rPr>
            </w:pPr>
            <w:r>
              <w:rPr>
                <w:rFonts w:ascii="Arial" w:cs="Arial" w:eastAsia="Arial" w:hAnsi="Arial"/>
                <w:sz w:val="16"/>
                <w:szCs w:val="16"/>
                <w:color w:val="auto"/>
              </w:rPr>
              <w:t>SDG&amp;E</w:t>
            </w:r>
          </w:p>
        </w:tc>
        <w:tc>
          <w:tcPr>
            <w:tcW w:w="250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2,349</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2,011</w:t>
            </w:r>
          </w:p>
        </w:tc>
      </w:tr>
      <w:tr>
        <w:trPr>
          <w:trHeight w:val="216"/>
        </w:trPr>
        <w:tc>
          <w:tcPr>
            <w:tcW w:w="392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335</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997</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659</w:t>
            </w:r>
          </w:p>
        </w:tc>
      </w:tr>
      <w:tr>
        <w:trPr>
          <w:trHeight w:val="216"/>
        </w:trPr>
        <w:tc>
          <w:tcPr>
            <w:tcW w:w="39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3920" w:type="dxa"/>
            <w:vAlign w:val="bottom"/>
          </w:tcPr>
          <w:p>
            <w:pPr>
              <w:ind w:left="30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w:t>
            </w:r>
          </w:p>
        </w:tc>
      </w:tr>
      <w:tr>
        <w:trPr>
          <w:trHeight w:val="224"/>
        </w:trPr>
        <w:tc>
          <w:tcPr>
            <w:tcW w:w="3920" w:type="dxa"/>
            <w:vAlign w:val="bottom"/>
          </w:tcPr>
          <w:p>
            <w:pPr>
              <w:spacing w:after="0"/>
              <w:rPr>
                <w:sz w:val="20"/>
                <w:szCs w:val="20"/>
                <w:color w:val="auto"/>
              </w:rPr>
            </w:pPr>
            <w:r>
              <w:rPr>
                <w:rFonts w:ascii="Arial" w:cs="Arial" w:eastAsia="Arial" w:hAnsi="Arial"/>
                <w:sz w:val="16"/>
                <w:szCs w:val="16"/>
                <w:b w:val="1"/>
                <w:bCs w:val="1"/>
                <w:color w:val="auto"/>
              </w:rPr>
              <w:t>Natural gas revenues:</w:t>
            </w: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728</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2,328</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2,776</w:t>
            </w:r>
          </w:p>
        </w:tc>
      </w:tr>
      <w:tr>
        <w:trPr>
          <w:trHeight w:val="216"/>
        </w:trPr>
        <w:tc>
          <w:tcPr>
            <w:tcW w:w="3920" w:type="dxa"/>
            <w:vAlign w:val="bottom"/>
          </w:tcPr>
          <w:p>
            <w:pPr>
              <w:ind w:left="100"/>
              <w:spacing w:after="0"/>
              <w:rPr>
                <w:sz w:val="20"/>
                <w:szCs w:val="20"/>
                <w:color w:val="auto"/>
              </w:rPr>
            </w:pPr>
            <w:r>
              <w:rPr>
                <w:rFonts w:ascii="Arial" w:cs="Arial" w:eastAsia="Arial" w:hAnsi="Arial"/>
                <w:sz w:val="16"/>
                <w:szCs w:val="16"/>
                <w:color w:val="auto"/>
              </w:rPr>
              <w:t>SDG&amp;E</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16"/>
        </w:trPr>
        <w:tc>
          <w:tcPr>
            <w:tcW w:w="392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6"/>
        </w:trPr>
        <w:tc>
          <w:tcPr>
            <w:tcW w:w="392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39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195"/>
        </w:trPr>
        <w:tc>
          <w:tcPr>
            <w:tcW w:w="3920" w:type="dxa"/>
            <w:vAlign w:val="bottom"/>
          </w:tcPr>
          <w:p>
            <w:pPr>
              <w:ind w:left="30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838</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969</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2,758</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3,268</w:t>
            </w:r>
          </w:p>
        </w:tc>
      </w:tr>
    </w:tbl>
    <w:p>
      <w:pPr>
        <w:sectPr>
          <w:pgSz w:w="11900" w:h="16890" w:orient="portrait"/>
          <w:cols w:equalWidth="0" w:num="1">
            <w:col w:w="11420"/>
          </w:cols>
          <w:pgMar w:left="240" w:top="125" w:right="2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ind w:left="180"/>
              <w:spacing w:after="0"/>
              <w:rPr>
                <w:sz w:val="20"/>
                <w:szCs w:val="20"/>
                <w:color w:val="auto"/>
              </w:rPr>
            </w:pPr>
            <w:r>
              <w:rPr>
                <w:rFonts w:ascii="Arial" w:cs="Arial" w:eastAsia="Arial" w:hAnsi="Arial"/>
                <w:sz w:val="16"/>
                <w:szCs w:val="16"/>
                <w:color w:val="auto"/>
              </w:rPr>
              <w:t>Total utilities revenues</w:t>
            </w:r>
          </w:p>
        </w:tc>
        <w:tc>
          <w:tcPr>
            <w:tcW w:w="580" w:type="dxa"/>
            <w:vAlign w:val="bottom"/>
            <w:tcBorders>
              <w:top w:val="single" w:sz="8" w:color="auto"/>
            </w:tcBorders>
            <w:gridSpan w:val="2"/>
          </w:tcPr>
          <w:p>
            <w:pPr>
              <w:jc w:val="right"/>
              <w:ind w:right="404"/>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520" w:type="dxa"/>
            <w:vAlign w:val="bottom"/>
            <w:tcBorders>
              <w:top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6,099</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5,933</w:t>
            </w:r>
          </w:p>
        </w:tc>
        <w:tc>
          <w:tcPr>
            <w:tcW w:w="0" w:type="dxa"/>
            <w:vAlign w:val="bottom"/>
          </w:tcPr>
          <w:p>
            <w:pPr>
              <w:spacing w:after="0"/>
              <w:rPr>
                <w:sz w:val="1"/>
                <w:szCs w:val="1"/>
                <w:color w:val="auto"/>
              </w:rPr>
            </w:pPr>
          </w:p>
        </w:tc>
      </w:tr>
      <w:tr>
        <w:trPr>
          <w:trHeight w:val="21"/>
        </w:trPr>
        <w:tc>
          <w:tcPr>
            <w:tcW w:w="5420" w:type="dxa"/>
            <w:vAlign w:val="bottom"/>
            <w:vMerge w:val="restart"/>
          </w:tcPr>
          <w:p>
            <w:pPr>
              <w:spacing w:after="0"/>
              <w:rPr>
                <w:sz w:val="20"/>
                <w:szCs w:val="20"/>
                <w:color w:val="auto"/>
              </w:rPr>
            </w:pPr>
            <w:r>
              <w:rPr>
                <w:rFonts w:ascii="Arial" w:cs="Arial" w:eastAsia="Arial" w:hAnsi="Arial"/>
                <w:sz w:val="16"/>
                <w:szCs w:val="16"/>
                <w:b w:val="1"/>
                <w:bCs w:val="1"/>
                <w:color w:val="auto"/>
              </w:rPr>
              <w:t>Cost of electric fuel and purchased power:</w:t>
            </w: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2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gridSpan w:val="2"/>
          </w:tcPr>
          <w:p>
            <w:pPr>
              <w:jc w:val="right"/>
              <w:ind w:right="40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301</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207</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604</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212</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647</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420" w:type="dxa"/>
            <w:vAlign w:val="bottom"/>
          </w:tcPr>
          <w:p>
            <w:pPr>
              <w:ind w:left="300"/>
              <w:spacing w:after="0" w:line="169" w:lineRule="exact"/>
              <w:rPr>
                <w:sz w:val="20"/>
                <w:szCs w:val="20"/>
                <w:color w:val="auto"/>
              </w:rPr>
            </w:pPr>
            <w:r>
              <w:rPr>
                <w:rFonts w:ascii="Arial" w:cs="Arial" w:eastAsia="Arial" w:hAnsi="Arial"/>
                <w:sz w:val="16"/>
                <w:szCs w:val="16"/>
                <w:color w:val="auto"/>
              </w:rPr>
              <w:t>Total</w:t>
            </w:r>
          </w:p>
        </w:tc>
        <w:tc>
          <w:tcPr>
            <w:tcW w:w="20" w:type="dxa"/>
            <w:vAlign w:val="bottom"/>
          </w:tcPr>
          <w:p>
            <w:pPr>
              <w:spacing w:after="0"/>
              <w:rPr>
                <w:sz w:val="15"/>
                <w:szCs w:val="15"/>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515</w:t>
            </w:r>
          </w:p>
        </w:tc>
        <w:tc>
          <w:tcPr>
            <w:tcW w:w="600" w:type="dxa"/>
            <w:vAlign w:val="bottom"/>
            <w:tcBorders>
              <w:bottom w:val="single" w:sz="8" w:color="auto"/>
            </w:tcBorders>
          </w:tcPr>
          <w:p>
            <w:pPr>
              <w:jc w:val="right"/>
              <w:ind w:right="41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408</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1,252</w:t>
            </w:r>
          </w:p>
        </w:tc>
        <w:tc>
          <w:tcPr>
            <w:tcW w:w="600" w:type="dxa"/>
            <w:vAlign w:val="bottom"/>
            <w:tcBorders>
              <w:bottom w:val="single" w:sz="8" w:color="auto"/>
            </w:tcBorders>
          </w:tcPr>
          <w:p>
            <w:pPr>
              <w:jc w:val="right"/>
              <w:ind w:right="419"/>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
        </w:trPr>
        <w:tc>
          <w:tcPr>
            <w:tcW w:w="542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w:t>
            </w: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2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80" w:type="dxa"/>
            <w:vAlign w:val="bottom"/>
            <w:gridSpan w:val="2"/>
          </w:tcPr>
          <w:p>
            <w:pPr>
              <w:jc w:val="right"/>
              <w:ind w:right="40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703</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6"/>
                <w:szCs w:val="16"/>
                <w:color w:val="auto"/>
              </w:rPr>
              <w:t>SDG&amp;E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2012, our electric revenues increased by $236 million (22%) to $1.3 billion primarily due to:</w:t>
      </w:r>
    </w:p>
    <w:p>
      <w:pPr>
        <w:spacing w:after="0" w:line="225" w:lineRule="exact"/>
        <w:rPr>
          <w:sz w:val="20"/>
          <w:szCs w:val="20"/>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$235 million increase at SDG&amp;E, which we discuss below;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xml:space="preserve">$31 million increase at Luz del Sur primarily due to higher commodity prices and volume;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$31 million decrease at Chilquinta Energía mainly due to lower commodity prices.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utilities’ cost of electric fuel and purchased power increased by $107 million (26%) to $515 million in the three months ended September 30, 2012 primarily due to:</w:t>
      </w:r>
    </w:p>
    <w:p>
      <w:pPr>
        <w:spacing w:after="0" w:line="170" w:lineRule="exact"/>
        <w:rPr>
          <w:sz w:val="20"/>
          <w:szCs w:val="20"/>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$94 million increase at SDG&amp;E, which we discuss below;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$11 million increase at our South American utilities due to higher commodity prices and volume at Luz del Sur, offset by lower commodity prices at Chilquinta Energía.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2012, our electric revenues increased by $676 million (25%) to $3.3 billion primarily due to:</w:t>
      </w:r>
    </w:p>
    <w:p>
      <w:pPr>
        <w:spacing w:after="0" w:line="225" w:lineRule="exact"/>
        <w:rPr>
          <w:sz w:val="20"/>
          <w:szCs w:val="20"/>
          <w:color w:val="auto"/>
        </w:rPr>
      </w:pPr>
    </w:p>
    <w:p>
      <w:pPr>
        <w:jc w:val="both"/>
        <w:ind w:left="340" w:hanging="188"/>
        <w:spacing w:after="0" w:line="26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$338 million increase at our South American utilities, primarily from the consolidation of Chilquinta Energía and Luz del Sur acquired in April 2011. In addition, during the second and third quarters of 2012, electric revenues increased due to higher commodity prices and volume at Luz del Sur, offset by lower commodity prices at Chilquinta Energía; and</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$338 million increase at SDG&amp;E, which we discuss below.</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utilities’ cost of electric fuel and purchased power increased by $276 million (28%) to $1.3 billion in the nine months ended September 30, 2012 primarily due to:</w:t>
      </w:r>
    </w:p>
    <w:p>
      <w:pPr>
        <w:spacing w:after="0" w:line="170" w:lineRule="exact"/>
        <w:rPr>
          <w:sz w:val="20"/>
          <w:szCs w:val="20"/>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$205 million increase at Chilquinta Energía and Luz del Sur associated with the higher revenues;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$70 million increase at SDG&amp;E, which we discuss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w:t>
      </w:r>
    </w:p>
    <w:p>
      <w:pPr>
        <w:spacing w:after="0" w:line="2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September 30, 2012, Sempra Energy’s natural gas revenues decreased by $131 million (14%) to $838 million, and the cost of natural gas decreased by $110 million (34%) to $212 million. The decrease in natural gas revenues included $116 million at SoCalGas and $11 million at SDG&amp;E, primarily due to decreases in commodity costs in 2012.</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nine months ended September 30, 2012, Sempra Energy’s natural gas revenues decreased by $510 million (16%) to $2.8 billion, and the cost of natural gas decreased by $503 million (37%) to $864 million. The decrease in natural gas revenues included $448 million at SoCalGas and $37 million at SDG&amp;E.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table below shows electric revenues for SDG&amp;E for the nine-month periods ended September 30, 2012 and 2011. Because the cost of electricity is substantially recovered in rates, changes in the cost are reflected in the changes in revenues.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420" w:type="dxa"/>
            <w:vAlign w:val="bottom"/>
            <w:gridSpan w:val="2"/>
            <w:vMerge w:val="restart"/>
          </w:tcPr>
          <w:p>
            <w:pPr>
              <w:jc w:val="center"/>
              <w:ind w:left="324"/>
              <w:spacing w:after="0"/>
              <w:rPr>
                <w:sz w:val="20"/>
                <w:szCs w:val="20"/>
                <w:color w:val="auto"/>
              </w:rPr>
            </w:pPr>
            <w:r>
              <w:rPr>
                <w:rFonts w:ascii="Arial" w:cs="Arial" w:eastAsia="Arial" w:hAnsi="Arial"/>
                <w:sz w:val="14"/>
                <w:szCs w:val="14"/>
                <w:color w:val="auto"/>
              </w:rPr>
              <w:t>Nine months ended</w:t>
            </w:r>
          </w:p>
        </w:tc>
        <w:tc>
          <w:tcPr>
            <w:tcW w:w="560" w:type="dxa"/>
            <w:vAlign w:val="bottom"/>
          </w:tcPr>
          <w:p>
            <w:pPr>
              <w:spacing w:after="0"/>
              <w:rPr>
                <w:sz w:val="16"/>
                <w:szCs w:val="16"/>
                <w:color w:val="auto"/>
              </w:rPr>
            </w:pPr>
          </w:p>
        </w:tc>
        <w:tc>
          <w:tcPr>
            <w:tcW w:w="2660" w:type="dxa"/>
            <w:vAlign w:val="bottom"/>
            <w:gridSpan w:val="2"/>
            <w:vMerge w:val="restart"/>
          </w:tcPr>
          <w:p>
            <w:pPr>
              <w:jc w:val="right"/>
              <w:ind w:right="722"/>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8"/>
        </w:trPr>
        <w:tc>
          <w:tcPr>
            <w:tcW w:w="578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780" w:type="dxa"/>
            <w:vAlign w:val="bottom"/>
          </w:tcPr>
          <w:p>
            <w:pPr>
              <w:spacing w:after="0"/>
              <w:rPr>
                <w:sz w:val="14"/>
                <w:szCs w:val="14"/>
                <w:color w:val="auto"/>
              </w:rPr>
            </w:pPr>
          </w:p>
        </w:tc>
        <w:tc>
          <w:tcPr>
            <w:tcW w:w="2420" w:type="dxa"/>
            <w:vAlign w:val="bottom"/>
            <w:tcBorders>
              <w:bottom w:val="single" w:sz="8" w:color="auto"/>
            </w:tcBorders>
            <w:gridSpan w:val="2"/>
          </w:tcPr>
          <w:p>
            <w:pPr>
              <w:jc w:val="center"/>
              <w:ind w:left="324"/>
              <w:spacing w:after="0" w:line="157" w:lineRule="exact"/>
              <w:rPr>
                <w:sz w:val="20"/>
                <w:szCs w:val="20"/>
                <w:color w:val="auto"/>
              </w:rPr>
            </w:pPr>
            <w:r>
              <w:rPr>
                <w:rFonts w:ascii="Arial" w:cs="Arial" w:eastAsia="Arial" w:hAnsi="Arial"/>
                <w:sz w:val="14"/>
                <w:szCs w:val="14"/>
                <w:color w:val="auto"/>
              </w:rPr>
              <w:t>September 30, 2012</w:t>
            </w:r>
          </w:p>
        </w:tc>
        <w:tc>
          <w:tcPr>
            <w:tcW w:w="5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2"/>
          </w:tcPr>
          <w:p>
            <w:pPr>
              <w:jc w:val="right"/>
              <w:ind w:right="682"/>
              <w:spacing w:after="0" w:line="157" w:lineRule="exact"/>
              <w:rPr>
                <w:sz w:val="20"/>
                <w:szCs w:val="20"/>
                <w:color w:val="auto"/>
              </w:rPr>
            </w:pPr>
            <w:r>
              <w:rPr>
                <w:rFonts w:ascii="Arial" w:cs="Arial" w:eastAsia="Arial" w:hAnsi="Arial"/>
                <w:sz w:val="14"/>
                <w:szCs w:val="14"/>
                <w:color w:val="auto"/>
              </w:rPr>
              <w:t>September 30, 2011</w:t>
            </w:r>
          </w:p>
        </w:tc>
        <w:tc>
          <w:tcPr>
            <w:tcW w:w="0" w:type="dxa"/>
            <w:vAlign w:val="bottom"/>
          </w:tcPr>
          <w:p>
            <w:pPr>
              <w:spacing w:after="0"/>
              <w:rPr>
                <w:sz w:val="1"/>
                <w:szCs w:val="1"/>
                <w:color w:val="auto"/>
              </w:rPr>
            </w:pPr>
          </w:p>
        </w:tc>
      </w:tr>
      <w:tr>
        <w:trPr>
          <w:trHeight w:val="169"/>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3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color w:val="auto"/>
              </w:rPr>
              <w:t>Volumes</w:t>
            </w: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Revenue</w:t>
            </w: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Volumes</w:t>
            </w: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rPr>
                <w:sz w:val="20"/>
                <w:szCs w:val="20"/>
                <w:color w:val="auto"/>
              </w:rPr>
            </w:pPr>
            <w:r>
              <w:rPr>
                <w:rFonts w:ascii="Arial" w:cs="Arial" w:eastAsia="Arial" w:hAnsi="Arial"/>
                <w:sz w:val="16"/>
                <w:szCs w:val="16"/>
                <w:color w:val="auto"/>
              </w:rPr>
              <w:t>5,650</w:t>
            </w:r>
          </w:p>
        </w:tc>
        <w:tc>
          <w:tcPr>
            <w:tcW w:w="1100" w:type="dxa"/>
            <w:vAlign w:val="bottom"/>
          </w:tcPr>
          <w:p>
            <w:pPr>
              <w:jc w:val="center"/>
              <w:ind w:right="88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907</w:t>
            </w:r>
          </w:p>
        </w:tc>
        <w:tc>
          <w:tcPr>
            <w:tcW w:w="1440" w:type="dxa"/>
            <w:vAlign w:val="bottom"/>
          </w:tcPr>
          <w:p>
            <w:pPr>
              <w:ind w:left="720"/>
              <w:spacing w:after="0"/>
              <w:rPr>
                <w:sz w:val="20"/>
                <w:szCs w:val="20"/>
                <w:color w:val="auto"/>
              </w:rPr>
            </w:pPr>
            <w:r>
              <w:rPr>
                <w:rFonts w:ascii="Arial" w:cs="Arial" w:eastAsia="Arial" w:hAnsi="Arial"/>
                <w:sz w:val="16"/>
                <w:szCs w:val="16"/>
                <w:color w:val="auto"/>
              </w:rPr>
              <w:t>5,552 $</w:t>
            </w:r>
          </w:p>
        </w:tc>
        <w:tc>
          <w:tcPr>
            <w:tcW w:w="122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4"/>
        </w:trPr>
        <w:tc>
          <w:tcPr>
            <w:tcW w:w="5780" w:type="dxa"/>
            <w:vAlign w:val="bottom"/>
          </w:tcPr>
          <w:p>
            <w:pPr>
              <w:spacing w:after="0"/>
              <w:rPr>
                <w:sz w:val="20"/>
                <w:szCs w:val="20"/>
                <w:color w:val="auto"/>
              </w:rPr>
            </w:pPr>
            <w:r>
              <w:rPr>
                <w:rFonts w:ascii="Arial" w:cs="Arial" w:eastAsia="Arial" w:hAnsi="Arial"/>
                <w:sz w:val="16"/>
                <w:szCs w:val="16"/>
                <w:color w:val="auto"/>
              </w:rPr>
              <w:t>Commercial</w:t>
            </w:r>
          </w:p>
        </w:tc>
        <w:tc>
          <w:tcPr>
            <w:tcW w:w="1320" w:type="dxa"/>
            <w:vAlign w:val="bottom"/>
          </w:tcPr>
          <w:p>
            <w:pPr>
              <w:jc w:val="right"/>
              <w:spacing w:after="0"/>
              <w:rPr>
                <w:sz w:val="20"/>
                <w:szCs w:val="20"/>
                <w:color w:val="auto"/>
              </w:rPr>
            </w:pPr>
            <w:r>
              <w:rPr>
                <w:rFonts w:ascii="Arial" w:cs="Arial" w:eastAsia="Arial" w:hAnsi="Arial"/>
                <w:sz w:val="16"/>
                <w:szCs w:val="16"/>
                <w:color w:val="auto"/>
              </w:rPr>
              <w:t>5,157</w:t>
            </w:r>
          </w:p>
        </w:tc>
        <w:tc>
          <w:tcPr>
            <w:tcW w:w="1100" w:type="dxa"/>
            <w:vAlign w:val="bottom"/>
          </w:tcPr>
          <w:p>
            <w:pPr>
              <w:spacing w:after="0"/>
              <w:rPr>
                <w:sz w:val="17"/>
                <w:szCs w:val="17"/>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753</w:t>
            </w:r>
          </w:p>
        </w:tc>
        <w:tc>
          <w:tcPr>
            <w:tcW w:w="1440" w:type="dxa"/>
            <w:vAlign w:val="bottom"/>
          </w:tcPr>
          <w:p>
            <w:pPr>
              <w:ind w:left="720"/>
              <w:spacing w:after="0"/>
              <w:rPr>
                <w:sz w:val="20"/>
                <w:szCs w:val="20"/>
                <w:color w:val="auto"/>
              </w:rPr>
            </w:pPr>
            <w:r>
              <w:rPr>
                <w:rFonts w:ascii="Arial" w:cs="Arial" w:eastAsia="Arial" w:hAnsi="Arial"/>
                <w:sz w:val="16"/>
                <w:szCs w:val="16"/>
                <w:color w:val="auto"/>
              </w:rPr>
              <w:t>5,068</w:t>
            </w:r>
          </w:p>
        </w:tc>
        <w:tc>
          <w:tcPr>
            <w:tcW w:w="1220" w:type="dxa"/>
            <w:vAlign w:val="bottom"/>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20"/>
                <w:szCs w:val="20"/>
                <w:color w:val="auto"/>
              </w:rPr>
            </w:pPr>
            <w:r>
              <w:rPr>
                <w:rFonts w:ascii="Arial" w:cs="Arial" w:eastAsia="Arial" w:hAnsi="Arial"/>
                <w:sz w:val="16"/>
                <w:szCs w:val="16"/>
                <w:color w:val="auto"/>
              </w:rPr>
              <w:t>Industrial</w:t>
            </w:r>
          </w:p>
        </w:tc>
        <w:tc>
          <w:tcPr>
            <w:tcW w:w="1320" w:type="dxa"/>
            <w:vAlign w:val="bottom"/>
          </w:tcPr>
          <w:p>
            <w:pPr>
              <w:jc w:val="right"/>
              <w:spacing w:after="0"/>
              <w:rPr>
                <w:sz w:val="20"/>
                <w:szCs w:val="20"/>
                <w:color w:val="auto"/>
              </w:rPr>
            </w:pPr>
            <w:r>
              <w:rPr>
                <w:rFonts w:ascii="Arial" w:cs="Arial" w:eastAsia="Arial" w:hAnsi="Arial"/>
                <w:sz w:val="16"/>
                <w:szCs w:val="16"/>
                <w:color w:val="auto"/>
              </w:rPr>
              <w:t>1,529</w:t>
            </w:r>
          </w:p>
        </w:tc>
        <w:tc>
          <w:tcPr>
            <w:tcW w:w="580" w:type="dxa"/>
            <w:vAlign w:val="bottom"/>
          </w:tcPr>
          <w:p>
            <w:pPr>
              <w:spacing w:after="0"/>
              <w:rPr>
                <w:sz w:val="16"/>
                <w:szCs w:val="16"/>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184</w:t>
            </w:r>
          </w:p>
        </w:tc>
        <w:tc>
          <w:tcPr>
            <w:tcW w:w="960" w:type="dxa"/>
            <w:vAlign w:val="bottom"/>
          </w:tcPr>
          <w:p>
            <w:pPr>
              <w:jc w:val="right"/>
              <w:spacing w:after="0"/>
              <w:rPr>
                <w:sz w:val="20"/>
                <w:szCs w:val="20"/>
                <w:color w:val="auto"/>
              </w:rPr>
            </w:pPr>
            <w:r>
              <w:rPr>
                <w:rFonts w:ascii="Arial" w:cs="Arial" w:eastAsia="Arial" w:hAnsi="Arial"/>
                <w:sz w:val="16"/>
                <w:szCs w:val="16"/>
                <w:color w:val="auto"/>
              </w:rPr>
              <w:t>1,525</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57"/>
        </w:trPr>
        <w:tc>
          <w:tcPr>
            <w:tcW w:w="5780" w:type="dxa"/>
            <w:vAlign w:val="bottom"/>
          </w:tcPr>
          <w:p>
            <w:pPr>
              <w:spacing w:after="0"/>
              <w:rPr>
                <w:sz w:val="20"/>
                <w:szCs w:val="20"/>
                <w:color w:val="auto"/>
              </w:rPr>
            </w:pPr>
            <w:r>
              <w:rPr>
                <w:rFonts w:ascii="Arial" w:cs="Arial" w:eastAsia="Arial" w:hAnsi="Arial"/>
                <w:sz w:val="16"/>
                <w:szCs w:val="16"/>
                <w:color w:val="auto"/>
              </w:rPr>
              <w:t>Direct access</w:t>
            </w:r>
          </w:p>
        </w:tc>
        <w:tc>
          <w:tcPr>
            <w:tcW w:w="1320" w:type="dxa"/>
            <w:vAlign w:val="bottom"/>
          </w:tcPr>
          <w:p>
            <w:pPr>
              <w:jc w:val="right"/>
              <w:spacing w:after="0"/>
              <w:rPr>
                <w:sz w:val="20"/>
                <w:szCs w:val="20"/>
                <w:color w:val="auto"/>
              </w:rPr>
            </w:pPr>
            <w:r>
              <w:rPr>
                <w:rFonts w:ascii="Arial" w:cs="Arial" w:eastAsia="Arial" w:hAnsi="Arial"/>
                <w:sz w:val="16"/>
                <w:szCs w:val="16"/>
                <w:color w:val="auto"/>
              </w:rPr>
              <w:t>2,473</w:t>
            </w:r>
          </w:p>
        </w:tc>
        <w:tc>
          <w:tcPr>
            <w:tcW w:w="580" w:type="dxa"/>
            <w:vAlign w:val="bottom"/>
          </w:tcPr>
          <w:p>
            <w:pPr>
              <w:spacing w:after="0"/>
              <w:rPr>
                <w:sz w:val="22"/>
                <w:szCs w:val="22"/>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110</w:t>
            </w:r>
          </w:p>
        </w:tc>
        <w:tc>
          <w:tcPr>
            <w:tcW w:w="960" w:type="dxa"/>
            <w:vAlign w:val="bottom"/>
          </w:tcPr>
          <w:p>
            <w:pPr>
              <w:jc w:val="right"/>
              <w:spacing w:after="0"/>
              <w:rPr>
                <w:sz w:val="20"/>
                <w:szCs w:val="20"/>
                <w:color w:val="auto"/>
              </w:rPr>
            </w:pPr>
            <w:r>
              <w:rPr>
                <w:rFonts w:ascii="Arial" w:cs="Arial" w:eastAsia="Arial" w:hAnsi="Arial"/>
                <w:sz w:val="16"/>
                <w:szCs w:val="16"/>
                <w:color w:val="auto"/>
              </w:rPr>
              <w:t>2,427</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4"/>
        </w:trPr>
        <w:tc>
          <w:tcPr>
            <w:tcW w:w="5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14,879</w:t>
            </w:r>
          </w:p>
        </w:tc>
        <w:tc>
          <w:tcPr>
            <w:tcW w:w="580" w:type="dxa"/>
            <w:vAlign w:val="bottom"/>
          </w:tcPr>
          <w:p>
            <w:pPr>
              <w:spacing w:after="0"/>
              <w:rPr>
                <w:sz w:val="19"/>
                <w:szCs w:val="19"/>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1,963</w:t>
            </w:r>
          </w:p>
        </w:tc>
        <w:tc>
          <w:tcPr>
            <w:tcW w:w="960" w:type="dxa"/>
            <w:vAlign w:val="bottom"/>
          </w:tcPr>
          <w:p>
            <w:pPr>
              <w:jc w:val="right"/>
              <w:spacing w:after="0"/>
              <w:rPr>
                <w:sz w:val="20"/>
                <w:szCs w:val="20"/>
                <w:color w:val="auto"/>
              </w:rPr>
            </w:pPr>
            <w:r>
              <w:rPr>
                <w:rFonts w:ascii="Arial" w:cs="Arial" w:eastAsia="Arial" w:hAnsi="Arial"/>
                <w:sz w:val="16"/>
                <w:szCs w:val="16"/>
                <w:color w:val="auto"/>
              </w:rPr>
              <w:t>14,648</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1,983</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125</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Balancing accounts</w:t>
            </w:r>
          </w:p>
        </w:tc>
        <w:tc>
          <w:tcPr>
            <w:tcW w:w="1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261</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5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1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2,349</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540" w:hanging="532"/>
        <w:spacing w:after="0"/>
        <w:tabs>
          <w:tab w:leader="none" w:pos="54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$5 million in both 2012 and 2011.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2012, electric revenues increased by $235 million (31%) to $998 million at SDG&amp;E, primarily due to:</w:t>
      </w:r>
    </w:p>
    <w:p>
      <w:pPr>
        <w:spacing w:after="0" w:line="237" w:lineRule="exact"/>
        <w:rPr>
          <w:sz w:val="20"/>
          <w:szCs w:val="20"/>
          <w:color w:val="auto"/>
        </w:rPr>
      </w:pPr>
    </w:p>
    <w:p>
      <w:pPr>
        <w:ind w:left="340" w:hanging="188"/>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an increase in cost of electric fuel and purchased power in 2012;</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$62 million higher authorized revenues from electric transmission;</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$44 million higher recoverable expenses that are fully offset in operation and maintenance expenses;</w:t>
      </w:r>
    </w:p>
    <w:p>
      <w:pPr>
        <w:spacing w:after="0" w:line="252"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$35 million higher authorized revenues from electric generation, primarily due to the acquisition of the Desert Star generation facility in October 2011;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$15 million revenues associated with incremental wildfire insurance premiums.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SDG&amp;E’s cost of electric fuel and purchased power increased by $94 million (45%) to $301 million in the three months ended September 30, 2012 primarily due to the cost of power generated and purchased to replace the loss of SONGS-produced power.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2012, electric revenues increased by $338 million (17%) to $2.3 billion at SDG&amp;E, primarily due to:</w:t>
      </w:r>
    </w:p>
    <w:p>
      <w:pPr>
        <w:spacing w:after="0" w:line="237" w:lineRule="exact"/>
        <w:rPr>
          <w:sz w:val="20"/>
          <w:szCs w:val="20"/>
          <w:color w:val="auto"/>
        </w:rPr>
      </w:pPr>
    </w:p>
    <w:p>
      <w:pPr>
        <w:ind w:left="340" w:hanging="188"/>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an increase in cost of electric fuel and purchased power in 2012;</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$94 million higher authorized revenues from electric generation, primarily due to the acquisition of the Desert Star generation facility in October 2011;</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$69 million higher authorized revenues from electric transmission;</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$67 million higher recoverable expenses that are fully offset in operation and maintenance expenses;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$47 million revenues associated with incremental wildfire insurance premiums.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SDG&amp;E’s cost of electric fuel and purchased power increased by $70 million (13%) to $604 million in the nine months ended September 30, 2012 primarily due to the cost of power generated and purchased to replace the loss of SONGS-produced power.</w:t>
      </w:r>
    </w:p>
    <w:p>
      <w:pPr>
        <w:spacing w:after="0" w:line="17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do not include in the Condensed Consolidated Statements of Operations the commodity costs (and the revenues to recover those costs) associated with long-term contracts that are allocated to SDG&amp;E by the California DWR. However, we do include the associated volumes and distribution revenues in the table above. We provide further discussion of these contracts in Note 1 of the Notes to Consolidated Financial Statements in the Updated Annual Report.</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pacing w:after="0" w:line="2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tables below show natural gas revenues for SDG&amp;E and SoCalGas for the nine-month periods ended September 30, 2012 and 2011.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Updated Annual Report.</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26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Natural Gas Sales</w:t>
            </w:r>
          </w:p>
        </w:tc>
        <w:tc>
          <w:tcPr>
            <w:tcW w:w="2100" w:type="dxa"/>
            <w:vAlign w:val="bottom"/>
            <w:tcBorders>
              <w:bottom w:val="single" w:sz="8" w:color="auto"/>
            </w:tcBorders>
            <w:gridSpan w:val="2"/>
          </w:tcPr>
          <w:p>
            <w:pPr>
              <w:jc w:val="center"/>
              <w:ind w:left="121"/>
              <w:spacing w:after="0"/>
              <w:rPr>
                <w:sz w:val="20"/>
                <w:szCs w:val="20"/>
                <w:color w:val="auto"/>
              </w:rPr>
            </w:pPr>
            <w:r>
              <w:rPr>
                <w:rFonts w:ascii="Arial" w:cs="Arial" w:eastAsia="Arial" w:hAnsi="Arial"/>
                <w:sz w:val="14"/>
                <w:szCs w:val="14"/>
                <w:color w:val="auto"/>
              </w:rPr>
              <w:t>Transportation</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1080" w:type="dxa"/>
            <w:vAlign w:val="bottom"/>
            <w:tcBorders>
              <w:bottom w:val="single" w:sz="8" w:color="auto"/>
            </w:tcBorders>
          </w:tcPr>
          <w:p>
            <w:pPr>
              <w:spacing w:after="0"/>
              <w:rPr>
                <w:sz w:val="14"/>
                <w:szCs w:val="14"/>
                <w:color w:val="auto"/>
              </w:rPr>
            </w:pPr>
          </w:p>
        </w:tc>
      </w:t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Revenue</w:t>
            </w: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r>
      <w:tr>
        <w:trPr>
          <w:trHeight w:val="204"/>
        </w:trPr>
        <w:tc>
          <w:tcPr>
            <w:tcW w:w="3760" w:type="dxa"/>
            <w:vAlign w:val="bottom"/>
          </w:tcPr>
          <w:p>
            <w:pPr>
              <w:spacing w:after="0"/>
              <w:rPr>
                <w:sz w:val="20"/>
                <w:szCs w:val="20"/>
                <w:color w:val="auto"/>
              </w:rPr>
            </w:pPr>
            <w:r>
              <w:rPr>
                <w:rFonts w:ascii="Arial" w:cs="Arial" w:eastAsia="Arial" w:hAnsi="Arial"/>
                <w:sz w:val="16"/>
                <w:szCs w:val="16"/>
                <w:color w:val="auto"/>
              </w:rPr>
              <w:t>Nine months ended September 30, 2012:</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210</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58</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4"/>
        </w:trPr>
        <w:tc>
          <w:tcPr>
            <w:tcW w:w="37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268</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Nine months ended September 30, 2011:</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261</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4"/>
        </w:trPr>
        <w:tc>
          <w:tcPr>
            <w:tcW w:w="37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341</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8" w:right="239" w:bottom="0" w:gutter="0" w:footer="0" w:header="0"/>
        </w:sectPr>
      </w:pPr>
    </w:p>
    <w:bookmarkStart w:id="61" w:name="page62"/>
    <w:bookmarkEnd w:id="61"/>
    <w:p>
      <w:pPr>
        <w:ind w:left="480" w:hanging="472"/>
        <w:spacing w:after="0"/>
        <w:tabs>
          <w:tab w:leader="none" w:pos="48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 million in both 2012 and 2011.</w:t>
      </w:r>
    </w:p>
    <w:p>
      <w:pPr>
        <w:spacing w:after="0" w:line="19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months ended September 30, 2012, SDG&amp;E’s natural gas revenues decreased by $11 million (10%) to $94 million, and the cost of natural gas sold decreased by $11 million (28%) to $29 million. During the nine months ended September 30, 2012, SDG&amp;E’s natural gas revenues decreased by $37 million (9%) to $357 million, and the cost of natural gas decreased by $45 million (26%) to $130 million.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SDG&amp;E’s average cost of natural gas for the three months ended September 30, 2012 was $3.90 per thousand cubic feet (Mcf) compared to $5.30 per Mcf for the corresponding period in 2011, a 26-percent decrease of $1.40 per Mcf, resulting in lower revenues and cost of $10 million. For the first nine months of 2012, SDG&amp;E’s average cost of natural gas was $3.66 per Mcf compared to $4.96 per Mcf for the corresponding period in 2011, a 26-percent decrease of $1.30 per Mcf, resulting in lower revenues and cost of $46 million.</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color w:val="auto"/>
              </w:rPr>
              <w:t>Natural Gas Sales</w:t>
            </w:r>
          </w:p>
        </w:tc>
        <w:tc>
          <w:tcPr>
            <w:tcW w:w="204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4"/>
                <w:szCs w:val="14"/>
                <w:color w:val="auto"/>
              </w:rPr>
              <w:t>Transportation</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spacing w:after="0"/>
              <w:rPr>
                <w:sz w:val="14"/>
                <w:szCs w:val="14"/>
                <w:color w:val="auto"/>
              </w:rPr>
            </w:pPr>
          </w:p>
        </w:tc>
      </w:t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r>
      <w:tr>
        <w:trPr>
          <w:trHeight w:val="204"/>
        </w:trPr>
        <w:tc>
          <w:tcPr>
            <w:tcW w:w="3760" w:type="dxa"/>
            <w:vAlign w:val="bottom"/>
          </w:tcPr>
          <w:p>
            <w:pPr>
              <w:spacing w:after="0"/>
              <w:rPr>
                <w:sz w:val="20"/>
                <w:szCs w:val="20"/>
                <w:color w:val="auto"/>
              </w:rPr>
            </w:pPr>
            <w:r>
              <w:rPr>
                <w:rFonts w:ascii="Arial" w:cs="Arial" w:eastAsia="Arial" w:hAnsi="Arial"/>
                <w:sz w:val="16"/>
                <w:szCs w:val="16"/>
                <w:color w:val="auto"/>
              </w:rPr>
              <w:t>Nine months ended September 30, 2012:</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168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1,382</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960" w:type="dxa"/>
            <w:vAlign w:val="bottom"/>
          </w:tcPr>
          <w:p>
            <w:pPr>
              <w:jc w:val="right"/>
              <w:spacing w:after="0"/>
              <w:rPr>
                <w:sz w:val="20"/>
                <w:szCs w:val="20"/>
                <w:color w:val="auto"/>
              </w:rPr>
            </w:pPr>
            <w:r>
              <w:rPr>
                <w:rFonts w:ascii="Arial" w:cs="Arial" w:eastAsia="Arial" w:hAnsi="Arial"/>
                <w:sz w:val="16"/>
                <w:szCs w:val="16"/>
                <w:color w:val="auto"/>
              </w:rPr>
              <w:t>169</w:t>
            </w:r>
          </w:p>
        </w:tc>
        <w:tc>
          <w:tcPr>
            <w:tcW w:w="42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1,388</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438</w:t>
            </w:r>
          </w:p>
        </w:tc>
        <w:tc>
          <w:tcPr>
            <w:tcW w:w="960" w:type="dxa"/>
            <w:vAlign w:val="bottom"/>
          </w:tcPr>
          <w:p>
            <w:pPr>
              <w:jc w:val="right"/>
              <w:spacing w:after="0"/>
              <w:rPr>
                <w:sz w:val="20"/>
                <w:szCs w:val="20"/>
                <w:color w:val="auto"/>
              </w:rPr>
            </w:pPr>
            <w:r>
              <w:rPr>
                <w:rFonts w:ascii="Arial" w:cs="Arial" w:eastAsia="Arial" w:hAnsi="Arial"/>
                <w:sz w:val="16"/>
                <w:szCs w:val="16"/>
                <w:color w:val="auto"/>
              </w:rPr>
              <w:t>212</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181</w:t>
            </w:r>
          </w:p>
        </w:tc>
        <w:tc>
          <w:tcPr>
            <w:tcW w:w="960" w:type="dxa"/>
            <w:vAlign w:val="bottom"/>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24"/>
        </w:trPr>
        <w:tc>
          <w:tcPr>
            <w:tcW w:w="3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1,820</w:t>
            </w:r>
          </w:p>
        </w:tc>
        <w:tc>
          <w:tcPr>
            <w:tcW w:w="960" w:type="dxa"/>
            <w:vAlign w:val="bottom"/>
          </w:tcPr>
          <w:p>
            <w:pPr>
              <w:jc w:val="right"/>
              <w:spacing w:after="0"/>
              <w:rPr>
                <w:sz w:val="20"/>
                <w:szCs w:val="20"/>
                <w:color w:val="auto"/>
              </w:rPr>
            </w:pPr>
            <w:r>
              <w:rPr>
                <w:rFonts w:ascii="Arial" w:cs="Arial" w:eastAsia="Arial" w:hAnsi="Arial"/>
                <w:sz w:val="16"/>
                <w:szCs w:val="16"/>
                <w:color w:val="auto"/>
              </w:rPr>
              <w:t>522</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239</w:t>
            </w:r>
          </w:p>
        </w:tc>
        <w:tc>
          <w:tcPr>
            <w:tcW w:w="960" w:type="dxa"/>
            <w:vAlign w:val="bottom"/>
          </w:tcPr>
          <w:p>
            <w:pPr>
              <w:jc w:val="right"/>
              <w:spacing w:after="0"/>
              <w:rPr>
                <w:sz w:val="20"/>
                <w:szCs w:val="20"/>
                <w:color w:val="auto"/>
              </w:rPr>
            </w:pPr>
            <w:r>
              <w:rPr>
                <w:rFonts w:ascii="Arial" w:cs="Arial" w:eastAsia="Arial" w:hAnsi="Arial"/>
                <w:sz w:val="16"/>
                <w:szCs w:val="16"/>
                <w:color w:val="auto"/>
              </w:rPr>
              <w:t>765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Nine months ended September 30, 2011:</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175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1,678</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176</w:t>
            </w:r>
          </w:p>
        </w:tc>
        <w:tc>
          <w:tcPr>
            <w:tcW w:w="42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1,680</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566</w:t>
            </w:r>
          </w:p>
        </w:tc>
        <w:tc>
          <w:tcPr>
            <w:tcW w:w="960" w:type="dxa"/>
            <w:vAlign w:val="bottom"/>
          </w:tcPr>
          <w:p>
            <w:pPr>
              <w:jc w:val="right"/>
              <w:spacing w:after="0"/>
              <w:rPr>
                <w:sz w:val="20"/>
                <w:szCs w:val="20"/>
                <w:color w:val="auto"/>
              </w:rPr>
            </w:pPr>
            <w:r>
              <w:rPr>
                <w:rFonts w:ascii="Arial" w:cs="Arial" w:eastAsia="Arial" w:hAnsi="Arial"/>
                <w:sz w:val="16"/>
                <w:szCs w:val="16"/>
                <w:color w:val="auto"/>
              </w:rPr>
              <w:t>204</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163</w:t>
            </w:r>
          </w:p>
        </w:tc>
        <w:tc>
          <w:tcPr>
            <w:tcW w:w="960" w:type="dxa"/>
            <w:vAlign w:val="bottom"/>
          </w:tcPr>
          <w:p>
            <w:pPr>
              <w:jc w:val="right"/>
              <w:spacing w:after="0"/>
              <w:rPr>
                <w:sz w:val="20"/>
                <w:szCs w:val="20"/>
                <w:color w:val="auto"/>
              </w:rPr>
            </w:pPr>
            <w:r>
              <w:rPr>
                <w:rFonts w:ascii="Arial" w:cs="Arial" w:eastAsia="Arial" w:hAnsi="Arial"/>
                <w:sz w:val="16"/>
                <w:szCs w:val="16"/>
                <w:color w:val="auto"/>
              </w:rPr>
              <w:t>279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960" w:type="dxa"/>
            <w:vAlign w:val="bottom"/>
          </w:tcPr>
          <w:p>
            <w:pPr>
              <w:jc w:val="right"/>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24"/>
        </w:trPr>
        <w:tc>
          <w:tcPr>
            <w:tcW w:w="3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2,244</w:t>
            </w:r>
          </w:p>
        </w:tc>
        <w:tc>
          <w:tcPr>
            <w:tcW w:w="960" w:type="dxa"/>
            <w:vAlign w:val="bottom"/>
          </w:tcPr>
          <w:p>
            <w:pPr>
              <w:jc w:val="right"/>
              <w:spacing w:after="0"/>
              <w:rPr>
                <w:sz w:val="20"/>
                <w:szCs w:val="20"/>
                <w:color w:val="auto"/>
              </w:rPr>
            </w:pPr>
            <w:r>
              <w:rPr>
                <w:rFonts w:ascii="Arial" w:cs="Arial" w:eastAsia="Arial" w:hAnsi="Arial"/>
                <w:sz w:val="16"/>
                <w:szCs w:val="16"/>
                <w:color w:val="auto"/>
              </w:rPr>
              <w:t>439</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214</w:t>
            </w:r>
          </w:p>
        </w:tc>
        <w:tc>
          <w:tcPr>
            <w:tcW w:w="960" w:type="dxa"/>
            <w:vAlign w:val="bottom"/>
          </w:tcPr>
          <w:p>
            <w:pPr>
              <w:jc w:val="right"/>
              <w:spacing w:after="0"/>
              <w:rPr>
                <w:sz w:val="20"/>
                <w:szCs w:val="20"/>
                <w:color w:val="auto"/>
              </w:rPr>
            </w:pPr>
            <w:r>
              <w:rPr>
                <w:rFonts w:ascii="Arial" w:cs="Arial" w:eastAsia="Arial" w:hAnsi="Arial"/>
                <w:sz w:val="16"/>
                <w:szCs w:val="16"/>
                <w:color w:val="auto"/>
              </w:rPr>
              <w:t>689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2,458</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480" w:hanging="472"/>
        <w:spacing w:after="0"/>
        <w:tabs>
          <w:tab w:leader="none" w:pos="48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$48 million in 2012 and $38 million in 2011.</w:t>
      </w:r>
    </w:p>
    <w:p>
      <w:pPr>
        <w:spacing w:after="0" w:line="23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the three months ended September 30, 2012, SoCalGas’ natural gas revenues decreased by $116 million (14%) to $728 million, and the cost of natural gas sold decreased by $92 million (34%) to $175 million. During the nine months ended September 30, 2012, SoCalGas’ natural gas revenues decreased by $448 million (16%) to $2.3 billion, and the cost of natural gas sold decreased by $430 million (38%) to $703 million.</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SoCalGas’ average cost of natural gas for the three months ended September 30, 2012 was $3.26 per Mcf compared to $4.80 per Mcf for the corresponding period in 2011, a 32-percent decrease of $1.54 per Mcf, resulting in lower revenues and cost of $83 million.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first nine months of 2012, SoCalGas’ average cost of natural gas was $2.90 per Mcf compared to $4.53 per Mcf for the corresponding period in 2011, a 36-percent decrease of $1.63 per Mcf, resulting in lower revenues and cost of $394 million. The decrease in the cost of natural gas sold was also attributable to lower demand for natural gas from a warmer winter in 2012.</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Utilities: Revenues and Cost of Sales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GAAP for regulatory accounting. We discuss revenue recognition further for Chilquinta Energía and Luz del Sur in Note 1 of the Notes to Consolidated Financial Statements in the Updated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Operations of Mobile Gas, Willmut Gas and Ecogas qualify for regulatory accounting treatment under applicable GAAP, similar to the California Utilities.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natural gas and electric revenues for our other utilities for the nine months ended September 30, 2012 and 2011: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60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Nine months ended</w:t>
            </w:r>
          </w:p>
        </w:tc>
        <w:tc>
          <w:tcPr>
            <w:tcW w:w="2760" w:type="dxa"/>
            <w:vAlign w:val="bottom"/>
            <w:gridSpan w:val="3"/>
            <w:vMerge w:val="restart"/>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8"/>
        </w:trPr>
        <w:tc>
          <w:tcPr>
            <w:tcW w:w="5580" w:type="dxa"/>
            <w:vAlign w:val="bottom"/>
          </w:tcPr>
          <w:p>
            <w:pPr>
              <w:spacing w:after="0"/>
              <w:rPr>
                <w:sz w:val="11"/>
                <w:szCs w:val="11"/>
                <w:color w:val="auto"/>
              </w:rPr>
            </w:pPr>
          </w:p>
        </w:tc>
        <w:tc>
          <w:tcPr>
            <w:tcW w:w="3080" w:type="dxa"/>
            <w:vAlign w:val="bottom"/>
            <w:gridSpan w:val="3"/>
            <w:vMerge w:val="continue"/>
          </w:tcPr>
          <w:p>
            <w:pPr>
              <w:spacing w:after="0"/>
              <w:rPr>
                <w:sz w:val="11"/>
                <w:szCs w:val="11"/>
                <w:color w:val="auto"/>
              </w:rPr>
            </w:pPr>
          </w:p>
        </w:tc>
        <w:tc>
          <w:tcPr>
            <w:tcW w:w="2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580" w:type="dxa"/>
            <w:vAlign w:val="bottom"/>
          </w:tcPr>
          <w:p>
            <w:pPr>
              <w:spacing w:after="0"/>
              <w:rPr>
                <w:sz w:val="14"/>
                <w:szCs w:val="14"/>
                <w:color w:val="auto"/>
              </w:rPr>
            </w:pPr>
          </w:p>
        </w:tc>
        <w:tc>
          <w:tcPr>
            <w:tcW w:w="3080" w:type="dxa"/>
            <w:vAlign w:val="bottom"/>
            <w:tcBorders>
              <w:bottom w:val="single" w:sz="8" w:color="auto"/>
            </w:tcBorders>
            <w:gridSpan w:val="3"/>
          </w:tcPr>
          <w:p>
            <w:pPr>
              <w:jc w:val="center"/>
              <w:ind w:right="100"/>
              <w:spacing w:after="0" w:line="157" w:lineRule="exact"/>
              <w:rPr>
                <w:sz w:val="20"/>
                <w:szCs w:val="20"/>
                <w:color w:val="auto"/>
              </w:rPr>
            </w:pPr>
            <w:r>
              <w:rPr>
                <w:rFonts w:ascii="Arial" w:cs="Arial" w:eastAsia="Arial" w:hAnsi="Arial"/>
                <w:sz w:val="14"/>
                <w:szCs w:val="14"/>
                <w:color w:val="auto"/>
              </w:rPr>
              <w:t>September 30, 2012</w:t>
            </w:r>
          </w:p>
        </w:tc>
        <w:tc>
          <w:tcPr>
            <w:tcW w:w="2760" w:type="dxa"/>
            <w:vAlign w:val="bottom"/>
            <w:tcBorders>
              <w:bottom w:val="single" w:sz="8" w:color="auto"/>
            </w:tcBorders>
            <w:gridSpan w:val="3"/>
          </w:tcPr>
          <w:p>
            <w:pPr>
              <w:jc w:val="center"/>
              <w:ind w:right="100"/>
              <w:spacing w:after="0" w:line="157" w:lineRule="exact"/>
              <w:rPr>
                <w:sz w:val="20"/>
                <w:szCs w:val="20"/>
                <w:color w:val="auto"/>
              </w:rPr>
            </w:pPr>
            <w:r>
              <w:rPr>
                <w:rFonts w:ascii="Arial" w:cs="Arial" w:eastAsia="Arial" w:hAnsi="Arial"/>
                <w:sz w:val="14"/>
                <w:szCs w:val="14"/>
                <w:color w:val="auto"/>
              </w:rPr>
              <w:t>September 30, 2011</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Revenue</w:t>
            </w: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6"/>
                <w:szCs w:val="16"/>
                <w:b w:val="1"/>
                <w:bCs w:val="1"/>
                <w:color w:val="auto"/>
              </w:rPr>
              <w:t>Natural Gas Sales (billion cubic feet):</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6"/>
                <w:szCs w:val="16"/>
                <w:color w:val="auto"/>
              </w:rPr>
              <w:t>Sempra Natural Gas: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540"/>
              <w:spacing w:after="0"/>
              <w:rPr>
                <w:sz w:val="20"/>
                <w:szCs w:val="20"/>
                <w:color w:val="auto"/>
              </w:rPr>
            </w:pPr>
            <w:r>
              <w:rPr>
                <w:rFonts w:ascii="Arial" w:cs="Arial" w:eastAsia="Arial" w:hAnsi="Arial"/>
                <w:sz w:val="16"/>
                <w:szCs w:val="16"/>
                <w:color w:val="auto"/>
              </w:rPr>
              <w:t>Mobile Gas</w:t>
            </w:r>
          </w:p>
        </w:tc>
        <w:tc>
          <w:tcPr>
            <w:tcW w:w="1360" w:type="dxa"/>
            <w:vAlign w:val="bottom"/>
          </w:tcPr>
          <w:p>
            <w:pPr>
              <w:jc w:val="right"/>
              <w:spacing w:after="0"/>
              <w:rPr>
                <w:sz w:val="20"/>
                <w:szCs w:val="20"/>
                <w:color w:val="auto"/>
              </w:rPr>
            </w:pPr>
            <w:r>
              <w:rPr>
                <w:rFonts w:ascii="Arial" w:cs="Arial" w:eastAsia="Arial" w:hAnsi="Arial"/>
                <w:sz w:val="16"/>
                <w:szCs w:val="16"/>
                <w:color w:val="auto"/>
              </w:rPr>
              <w:t>30</w:t>
            </w:r>
          </w:p>
        </w:tc>
        <w:tc>
          <w:tcPr>
            <w:tcW w:w="300" w:type="dxa"/>
            <w:vAlign w:val="bottom"/>
          </w:tcPr>
          <w:p>
            <w:pPr>
              <w:jc w:val="center"/>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62</w:t>
            </w: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jc w:val="center"/>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5580" w:type="dxa"/>
            <w:vAlign w:val="bottom"/>
          </w:tcPr>
          <w:p>
            <w:pPr>
              <w:ind w:left="540"/>
              <w:spacing w:after="0"/>
              <w:rPr>
                <w:sz w:val="20"/>
                <w:szCs w:val="20"/>
                <w:color w:val="auto"/>
              </w:rPr>
            </w:pPr>
            <w:r>
              <w:rPr>
                <w:rFonts w:ascii="Arial" w:cs="Arial" w:eastAsia="Arial" w:hAnsi="Arial"/>
                <w:sz w:val="16"/>
                <w:szCs w:val="16"/>
                <w:color w:val="auto"/>
              </w:rPr>
              <w:t>Willmut Gas(1)</w:t>
            </w: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6"/>
                <w:szCs w:val="16"/>
                <w:color w:val="auto"/>
              </w:rPr>
              <w:t>Sempra Mexico - Ecogas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76"/>
        </w:trPr>
        <w:tc>
          <w:tcPr>
            <w:tcW w:w="5580" w:type="dxa"/>
            <w:vAlign w:val="bottom"/>
          </w:tcPr>
          <w:p>
            <w:pPr>
              <w:ind w:left="540"/>
              <w:spacing w:after="0" w:line="169" w:lineRule="exact"/>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w:t>
            </w:r>
          </w:p>
        </w:tc>
        <w:tc>
          <w:tcPr>
            <w:tcW w:w="300" w:type="dxa"/>
            <w:vAlign w:val="bottom"/>
            <w:tcBorders>
              <w:bottom w:val="single" w:sz="8" w:color="auto"/>
            </w:tcBorders>
          </w:tcPr>
          <w:p>
            <w:pPr>
              <w:jc w:val="center"/>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40"/>
              <w:spacing w:after="0" w:line="176" w:lineRule="exact"/>
              <w:rPr>
                <w:sz w:val="20"/>
                <w:szCs w:val="20"/>
                <w:color w:val="auto"/>
              </w:rPr>
            </w:pPr>
            <w:r>
              <w:rPr>
                <w:rFonts w:ascii="Arial" w:cs="Arial" w:eastAsia="Arial" w:hAnsi="Arial"/>
                <w:sz w:val="16"/>
                <w:szCs w:val="16"/>
                <w:color w:val="auto"/>
              </w:rPr>
              <w:t>122</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45</w:t>
            </w:r>
          </w:p>
        </w:tc>
        <w:tc>
          <w:tcPr>
            <w:tcW w:w="300" w:type="dxa"/>
            <w:vAlign w:val="bottom"/>
            <w:tcBorders>
              <w:bottom w:val="single" w:sz="8" w:color="auto"/>
            </w:tcBorders>
          </w:tcPr>
          <w:p>
            <w:pPr>
              <w:jc w:val="center"/>
              <w:ind w:right="7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auto"/>
              </w:rPr>
              <w:t>Electric Sales (million kilowatt hours)(2):</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5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540"/>
              <w:spacing w:after="0"/>
              <w:rPr>
                <w:sz w:val="20"/>
                <w:szCs w:val="20"/>
                <w:color w:val="auto"/>
              </w:rPr>
            </w:pPr>
            <w:r>
              <w:rPr>
                <w:rFonts w:ascii="Arial" w:cs="Arial" w:eastAsia="Arial" w:hAnsi="Arial"/>
                <w:sz w:val="16"/>
                <w:szCs w:val="16"/>
                <w:color w:val="auto"/>
              </w:rPr>
              <w:t>Luz del Sur</w:t>
            </w:r>
          </w:p>
        </w:tc>
        <w:tc>
          <w:tcPr>
            <w:tcW w:w="1360" w:type="dxa"/>
            <w:vAlign w:val="bottom"/>
          </w:tcPr>
          <w:p>
            <w:pPr>
              <w:jc w:val="right"/>
              <w:spacing w:after="0"/>
              <w:rPr>
                <w:sz w:val="20"/>
                <w:szCs w:val="20"/>
                <w:color w:val="auto"/>
              </w:rPr>
            </w:pPr>
            <w:r>
              <w:rPr>
                <w:rFonts w:ascii="Arial" w:cs="Arial" w:eastAsia="Arial" w:hAnsi="Arial"/>
                <w:sz w:val="16"/>
                <w:szCs w:val="16"/>
                <w:color w:val="auto"/>
              </w:rPr>
              <w:t>4,996</w:t>
            </w:r>
          </w:p>
        </w:tc>
        <w:tc>
          <w:tcPr>
            <w:tcW w:w="300" w:type="dxa"/>
            <w:vAlign w:val="bottom"/>
          </w:tcPr>
          <w:p>
            <w:pPr>
              <w:jc w:val="center"/>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563</w:t>
            </w:r>
          </w:p>
        </w:tc>
        <w:tc>
          <w:tcPr>
            <w:tcW w:w="1200" w:type="dxa"/>
            <w:vAlign w:val="bottom"/>
          </w:tcPr>
          <w:p>
            <w:pPr>
              <w:jc w:val="right"/>
              <w:spacing w:after="0"/>
              <w:rPr>
                <w:sz w:val="20"/>
                <w:szCs w:val="20"/>
                <w:color w:val="auto"/>
              </w:rPr>
            </w:pPr>
            <w:r>
              <w:rPr>
                <w:rFonts w:ascii="Arial" w:cs="Arial" w:eastAsia="Arial" w:hAnsi="Arial"/>
                <w:sz w:val="16"/>
                <w:szCs w:val="16"/>
                <w:color w:val="auto"/>
              </w:rPr>
              <w:t>3,118</w:t>
            </w:r>
          </w:p>
        </w:tc>
        <w:tc>
          <w:tcPr>
            <w:tcW w:w="300" w:type="dxa"/>
            <w:vAlign w:val="bottom"/>
          </w:tcPr>
          <w:p>
            <w:pPr>
              <w:jc w:val="center"/>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ind w:left="540"/>
              <w:spacing w:after="0"/>
              <w:rPr>
                <w:sz w:val="20"/>
                <w:szCs w:val="20"/>
                <w:color w:val="auto"/>
              </w:rPr>
            </w:pPr>
            <w:r>
              <w:rPr>
                <w:rFonts w:ascii="Arial" w:cs="Arial" w:eastAsia="Arial" w:hAnsi="Arial"/>
                <w:sz w:val="16"/>
                <w:szCs w:val="16"/>
                <w:color w:val="auto"/>
              </w:rPr>
              <w:t>Chilquinta Energía</w:t>
            </w:r>
          </w:p>
        </w:tc>
        <w:tc>
          <w:tcPr>
            <w:tcW w:w="1360" w:type="dxa"/>
            <w:vAlign w:val="bottom"/>
          </w:tcPr>
          <w:p>
            <w:pPr>
              <w:jc w:val="right"/>
              <w:spacing w:after="0"/>
              <w:rPr>
                <w:sz w:val="20"/>
                <w:szCs w:val="20"/>
                <w:color w:val="auto"/>
              </w:rPr>
            </w:pPr>
            <w:r>
              <w:rPr>
                <w:rFonts w:ascii="Arial" w:cs="Arial" w:eastAsia="Arial" w:hAnsi="Arial"/>
                <w:sz w:val="16"/>
                <w:szCs w:val="16"/>
                <w:color w:val="auto"/>
              </w:rPr>
              <w:t>2,015</w:t>
            </w:r>
          </w:p>
        </w:tc>
        <w:tc>
          <w:tcPr>
            <w:tcW w:w="660" w:type="dxa"/>
            <w:vAlign w:val="bottom"/>
          </w:tcPr>
          <w:p>
            <w:pPr>
              <w:spacing w:after="0"/>
              <w:rPr>
                <w:sz w:val="16"/>
                <w:szCs w:val="16"/>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393</w:t>
            </w:r>
          </w:p>
        </w:tc>
        <w:tc>
          <w:tcPr>
            <w:tcW w:w="920" w:type="dxa"/>
            <w:vAlign w:val="bottom"/>
          </w:tcPr>
          <w:p>
            <w:pPr>
              <w:jc w:val="right"/>
              <w:spacing w:after="0"/>
              <w:rPr>
                <w:sz w:val="20"/>
                <w:szCs w:val="20"/>
                <w:color w:val="auto"/>
              </w:rPr>
            </w:pPr>
            <w:r>
              <w:rPr>
                <w:rFonts w:ascii="Arial" w:cs="Arial" w:eastAsia="Arial" w:hAnsi="Arial"/>
                <w:sz w:val="16"/>
                <w:szCs w:val="16"/>
                <w:color w:val="auto"/>
              </w:rPr>
              <w:t>1,201</w:t>
            </w:r>
          </w:p>
        </w:tc>
        <w:tc>
          <w:tcPr>
            <w:tcW w:w="6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40"/>
        </w:trPr>
        <w:tc>
          <w:tcPr>
            <w:tcW w:w="55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4"/>
        </w:trPr>
        <w:tc>
          <w:tcPr>
            <w:tcW w:w="5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7,011</w:t>
            </w:r>
          </w:p>
        </w:tc>
        <w:tc>
          <w:tcPr>
            <w:tcW w:w="660" w:type="dxa"/>
            <w:vAlign w:val="bottom"/>
          </w:tcPr>
          <w:p>
            <w:pPr>
              <w:spacing w:after="0"/>
              <w:rPr>
                <w:sz w:val="19"/>
                <w:szCs w:val="19"/>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956</w:t>
            </w:r>
          </w:p>
        </w:tc>
        <w:tc>
          <w:tcPr>
            <w:tcW w:w="920" w:type="dxa"/>
            <w:vAlign w:val="bottom"/>
          </w:tcPr>
          <w:p>
            <w:pPr>
              <w:jc w:val="right"/>
              <w:spacing w:after="0"/>
              <w:rPr>
                <w:sz w:val="20"/>
                <w:szCs w:val="20"/>
                <w:color w:val="auto"/>
              </w:rPr>
            </w:pPr>
            <w:r>
              <w:rPr>
                <w:rFonts w:ascii="Arial" w:cs="Arial" w:eastAsia="Arial" w:hAnsi="Arial"/>
                <w:sz w:val="16"/>
                <w:szCs w:val="16"/>
                <w:color w:val="auto"/>
              </w:rPr>
              <w:t>4,319</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6"/>
        </w:trPr>
        <w:tc>
          <w:tcPr>
            <w:tcW w:w="5580" w:type="dxa"/>
            <w:vAlign w:val="bottom"/>
          </w:tcPr>
          <w:p>
            <w:pPr>
              <w:spacing w:after="0"/>
              <w:rPr>
                <w:sz w:val="20"/>
                <w:szCs w:val="20"/>
                <w:color w:val="auto"/>
              </w:rPr>
            </w:pPr>
            <w:r>
              <w:rPr>
                <w:rFonts w:ascii="Arial" w:cs="Arial" w:eastAsia="Arial" w:hAnsi="Arial"/>
                <w:sz w:val="16"/>
                <w:szCs w:val="16"/>
                <w:color w:val="auto"/>
              </w:rPr>
              <w:t>Other service revenues</w:t>
            </w:r>
          </w:p>
        </w:tc>
        <w:tc>
          <w:tcPr>
            <w:tcW w:w="1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41</w:t>
            </w: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55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997</w:t>
            </w: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r>
      <w:tr>
        <w:trPr>
          <w:trHeight w:val="21"/>
        </w:trPr>
        <w:tc>
          <w:tcPr>
            <w:tcW w:w="5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ind w:left="540" w:hanging="532"/>
        <w:spacing w:after="0"/>
        <w:tabs>
          <w:tab w:leader="none" w:pos="5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We acquired Willmut Gas in May 2012.</w:t>
      </w:r>
    </w:p>
    <w:p>
      <w:pPr>
        <w:spacing w:after="0" w:line="45" w:lineRule="exact"/>
        <w:rPr>
          <w:rFonts w:ascii="Arial" w:cs="Arial" w:eastAsia="Arial" w:hAnsi="Arial"/>
          <w:sz w:val="14"/>
          <w:szCs w:val="14"/>
          <w:i w:val="1"/>
          <w:iCs w:val="1"/>
          <w:color w:val="auto"/>
        </w:rPr>
      </w:pPr>
    </w:p>
    <w:p>
      <w:pPr>
        <w:ind w:left="540" w:right="600" w:hanging="532"/>
        <w:spacing w:after="0" w:line="279" w:lineRule="auto"/>
        <w:tabs>
          <w:tab w:leader="none" w:pos="5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We accounted for Luz del Sur and Chilquinta Energía under the equity method until April 6, 2011, when they became consolidated entities upon our acquisition of additional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83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0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p>
        </w:tc>
        <w:tc>
          <w:tcPr>
            <w:tcW w:w="2720" w:type="dxa"/>
            <w:vAlign w:val="bottom"/>
            <w:gridSpan w:val="4"/>
          </w:tcPr>
          <w:p>
            <w:pPr>
              <w:jc w:val="right"/>
              <w:ind w:right="120"/>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Pr>
          <w:p>
            <w:pPr>
              <w:spacing w:after="0"/>
              <w:rPr>
                <w:sz w:val="20"/>
                <w:szCs w:val="20"/>
                <w:color w:val="auto"/>
              </w:rPr>
            </w:pPr>
          </w:p>
        </w:tc>
        <w:tc>
          <w:tcPr>
            <w:tcW w:w="2480" w:type="dxa"/>
            <w:vAlign w:val="bottom"/>
            <w:gridSpan w:val="3"/>
          </w:tcPr>
          <w:p>
            <w:pPr>
              <w:jc w:val="right"/>
              <w:ind w:right="12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6"/>
                <w:szCs w:val="16"/>
                <w:b w:val="1"/>
                <w:bCs w:val="1"/>
                <w:color w:val="auto"/>
              </w:rPr>
              <w:t>Energy-related businesses revenues:</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6"/>
                <w:szCs w:val="16"/>
                <w:color w:val="auto"/>
              </w:rPr>
              <w:t>Intersegment revenues, adjustments and eliminations(1)</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76"/>
        </w:trPr>
        <w:tc>
          <w:tcPr>
            <w:tcW w:w="6080" w:type="dxa"/>
            <w:vAlign w:val="bottom"/>
          </w:tcPr>
          <w:p>
            <w:pPr>
              <w:ind w:left="320"/>
              <w:spacing w:after="0" w:line="169" w:lineRule="exact"/>
              <w:rPr>
                <w:sz w:val="20"/>
                <w:szCs w:val="20"/>
                <w:color w:val="auto"/>
              </w:rPr>
            </w:pPr>
            <w:r>
              <w:rPr>
                <w:rFonts w:ascii="Arial" w:cs="Arial" w:eastAsia="Arial" w:hAnsi="Arial"/>
                <w:sz w:val="16"/>
                <w:szCs w:val="16"/>
                <w:color w:val="auto"/>
              </w:rPr>
              <w:t>Total energy-related businesses revenues</w:t>
            </w:r>
          </w:p>
        </w:tc>
        <w:tc>
          <w:tcPr>
            <w:tcW w:w="900" w:type="dxa"/>
            <w:vAlign w:val="bottom"/>
            <w:tcBorders>
              <w:bottom w:val="single" w:sz="8" w:color="auto"/>
            </w:tcBorders>
          </w:tcPr>
          <w:p>
            <w:pPr>
              <w:jc w:val="right"/>
              <w:ind w:right="721"/>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337</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511</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880</w:t>
            </w:r>
          </w:p>
        </w:tc>
        <w:tc>
          <w:tcPr>
            <w:tcW w:w="3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 electric fuel and purchased power(2):</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0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72</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6"/>
        </w:trPr>
        <w:tc>
          <w:tcPr>
            <w:tcW w:w="608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24"/>
        </w:trPr>
        <w:tc>
          <w:tcPr>
            <w:tcW w:w="6080" w:type="dxa"/>
            <w:vAlign w:val="bottom"/>
          </w:tcPr>
          <w:p>
            <w:pPr>
              <w:ind w:left="320"/>
              <w:spacing w:after="0"/>
              <w:rPr>
                <w:sz w:val="20"/>
                <w:szCs w:val="20"/>
                <w:color w:val="auto"/>
              </w:rPr>
            </w:pPr>
            <w:r>
              <w:rPr>
                <w:rFonts w:ascii="Arial" w:cs="Arial" w:eastAsia="Arial" w:hAnsi="Arial"/>
                <w:sz w:val="16"/>
                <w:szCs w:val="16"/>
                <w:color w:val="auto"/>
              </w:rPr>
              <w:t>Total cost of natural gas, electric fuel</w:t>
            </w:r>
          </w:p>
        </w:tc>
        <w:tc>
          <w:tcPr>
            <w:tcW w:w="900" w:type="dxa"/>
            <w:vAlign w:val="bottom"/>
            <w:vMerge w:val="restart"/>
          </w:tcPr>
          <w:p>
            <w:pPr>
              <w:jc w:val="right"/>
              <w:ind w:right="721"/>
              <w:spacing w:after="0"/>
              <w:rPr>
                <w:sz w:val="20"/>
                <w:szCs w:val="20"/>
                <w:color w:val="auto"/>
              </w:rPr>
            </w:pPr>
            <w:r>
              <w:rPr>
                <w:rFonts w:ascii="Arial" w:cs="Arial" w:eastAsia="Arial" w:hAnsi="Arial"/>
                <w:sz w:val="16"/>
                <w:szCs w:val="16"/>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300" w:type="dxa"/>
            <w:vAlign w:val="bottom"/>
            <w:vMerge w:val="restart"/>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252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346</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173"/>
        </w:trPr>
        <w:tc>
          <w:tcPr>
            <w:tcW w:w="6080" w:type="dxa"/>
            <w:vAlign w:val="bottom"/>
          </w:tcPr>
          <w:p>
            <w:pPr>
              <w:ind w:left="420"/>
              <w:spacing w:after="0" w:line="161" w:lineRule="exact"/>
              <w:rPr>
                <w:sz w:val="20"/>
                <w:szCs w:val="20"/>
                <w:color w:val="auto"/>
              </w:rPr>
            </w:pPr>
            <w:r>
              <w:rPr>
                <w:rFonts w:ascii="Arial" w:cs="Arial" w:eastAsia="Arial" w:hAnsi="Arial"/>
                <w:sz w:val="16"/>
                <w:szCs w:val="16"/>
                <w:color w:val="auto"/>
              </w:rPr>
              <w:t>and purchased power</w:t>
            </w:r>
          </w:p>
        </w:tc>
        <w:tc>
          <w:tcPr>
            <w:tcW w:w="9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Other cost of sales(2):</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0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608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80" w:type="dxa"/>
            <w:vAlign w:val="bottom"/>
            <w:tcBorders>
              <w:bottom w:val="single" w:sz="8" w:color="auto"/>
            </w:tcBorders>
          </w:tcPr>
          <w:p>
            <w:pPr>
              <w:ind w:left="320"/>
              <w:spacing w:after="0" w:line="176" w:lineRule="exact"/>
              <w:rPr>
                <w:sz w:val="20"/>
                <w:szCs w:val="20"/>
                <w:color w:val="auto"/>
              </w:rPr>
            </w:pPr>
            <w:r>
              <w:rPr>
                <w:rFonts w:ascii="Arial" w:cs="Arial" w:eastAsia="Arial" w:hAnsi="Arial"/>
                <w:sz w:val="16"/>
                <w:szCs w:val="16"/>
                <w:color w:val="auto"/>
              </w:rPr>
              <w:t>Total other cost of sales</w:t>
            </w:r>
          </w:p>
        </w:tc>
        <w:tc>
          <w:tcPr>
            <w:tcW w:w="900" w:type="dxa"/>
            <w:vAlign w:val="bottom"/>
            <w:tcBorders>
              <w:bottom w:val="single" w:sz="8" w:color="auto"/>
            </w:tcBorders>
          </w:tcPr>
          <w:p>
            <w:pPr>
              <w:jc w:val="right"/>
              <w:ind w:right="721"/>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43</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68</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117</w:t>
            </w:r>
          </w:p>
        </w:tc>
        <w:tc>
          <w:tcPr>
            <w:tcW w:w="3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
        </w:trPr>
        <w:tc>
          <w:tcPr>
            <w:tcW w:w="6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700" w:hanging="692"/>
        <w:spacing w:after="0"/>
        <w:tabs>
          <w:tab w:leader="none" w:pos="700" w:val="left"/>
        </w:tabs>
        <w:numPr>
          <w:ilvl w:val="0"/>
          <w:numId w:val="10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45" w:lineRule="exact"/>
        <w:rPr>
          <w:rFonts w:ascii="Arial" w:cs="Arial" w:eastAsia="Arial" w:hAnsi="Arial"/>
          <w:sz w:val="14"/>
          <w:szCs w:val="14"/>
          <w:i w:val="1"/>
          <w:iCs w:val="1"/>
          <w:color w:val="auto"/>
        </w:rPr>
      </w:pPr>
    </w:p>
    <w:p>
      <w:pPr>
        <w:ind w:left="700" w:hanging="692"/>
        <w:spacing w:after="0"/>
        <w:tabs>
          <w:tab w:leader="none" w:pos="700" w:val="left"/>
        </w:tabs>
        <w:numPr>
          <w:ilvl w:val="0"/>
          <w:numId w:val="10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pacing w:after="0" w:line="200" w:lineRule="exact"/>
        <w:rPr>
          <w:sz w:val="20"/>
          <w:szCs w:val="20"/>
          <w:color w:val="auto"/>
        </w:rPr>
      </w:pPr>
    </w:p>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three months ended September 30, 2012, revenues from our energy-related businesses decreased by $174 million (34%) to $337 million. The decrease included</w:t>
      </w:r>
    </w:p>
    <w:p>
      <w:pPr>
        <w:spacing w:after="0" w:line="170" w:lineRule="exact"/>
        <w:rPr>
          <w:sz w:val="20"/>
          <w:szCs w:val="20"/>
          <w:color w:val="auto"/>
        </w:rPr>
      </w:pPr>
    </w:p>
    <w:p>
      <w:pPr>
        <w:ind w:left="340" w:hanging="188"/>
        <w:spacing w:after="0" w:line="277"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$164 million decrease at Sempra Natural Gas due to decreased power sales primarily from the end of the DWR contract as of September 30, 2011. Part of the decrease was offset by higher merchant sales in 2012;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$42 million higher intercompany eliminations primarily associated with sales between Sempra Mexico and Sempra Natural Gas;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$20 million increase at Sempra Renewables mainly from revenues generated by our solar assets.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September 30, 2012, the cost of natural gas, electric fuel and purchased power for our energy-related businesses decreased by $116 million (46%) to $136 million. The decrease was primarily due to:</w:t>
      </w:r>
    </w:p>
    <w:p>
      <w:pPr>
        <w:spacing w:after="0" w:line="170" w:lineRule="exact"/>
        <w:rPr>
          <w:sz w:val="20"/>
          <w:szCs w:val="20"/>
          <w:color w:val="auto"/>
        </w:rPr>
      </w:pPr>
    </w:p>
    <w:p>
      <w:pPr>
        <w:ind w:left="340" w:hanging="188"/>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$68 million decrease at Sempra Natural Gas primarily associated with the lower revenues;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$40 million higher intercompany eliminations primarily associated with sales between Sempra Mexico and Sempra Natural Gas.</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nine months ended September 30, 2012, revenues from our energy-related businesses decreased by $619 million (41%) to $880 million. The decrease included</w:t>
      </w:r>
    </w:p>
    <w:p>
      <w:pPr>
        <w:spacing w:after="0" w:line="170" w:lineRule="exact"/>
        <w:rPr>
          <w:sz w:val="20"/>
          <w:szCs w:val="20"/>
          <w:color w:val="auto"/>
        </w:rPr>
      </w:pPr>
    </w:p>
    <w:p>
      <w:pPr>
        <w:ind w:left="340" w:hanging="188"/>
        <w:spacing w:after="0" w:line="342"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$579 million decrease at Sempra Natural Gas due to decreased power sales primarily from the end of the DWR contract, and lower natural gas revenues from its LNG operations as a result of lower natural gas prices and volumes. Part of the decrease was offset by higher merchant sales in 2012; and</w:t>
      </w:r>
    </w:p>
    <w:p>
      <w:pPr>
        <w:spacing w:after="0" w:line="146" w:lineRule="exact"/>
        <w:rPr>
          <w:rFonts w:ascii="Arial" w:cs="Arial" w:eastAsia="Arial" w:hAnsi="Arial"/>
          <w:sz w:val="16"/>
          <w:szCs w:val="16"/>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$112 million decrease at Sempra Mexico mainly from lower natural gas prices and lower LNG volumes sold;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$32 million increase at Sempra Renewables mainly from revenues generated by our solar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$23 million lower intercompany eliminations primarily associated with sales between Sempra Mexico and Sempra Natural Gas.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nine months ended September 30, 2012, the cost of natural gas, electric fuel and purchased power for our energy-related businesses decreased by $348 million (50%) to $346 million. The decrease was primarily due to:</w:t>
      </w:r>
    </w:p>
    <w:p>
      <w:pPr>
        <w:sectPr>
          <w:pgSz w:w="11900" w:h="16838" w:orient="portrait"/>
          <w:cols w:equalWidth="0" w:num="1">
            <w:col w:w="11420"/>
          </w:cols>
          <w:pgMar w:left="240" w:top="128" w:right="239" w:bottom="0" w:gutter="0" w:footer="0" w:header="0"/>
        </w:sectPr>
      </w:pPr>
    </w:p>
    <w:bookmarkStart w:id="63" w:name="page64"/>
    <w:bookmarkEnd w:id="63"/>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$270 million decrease at Sempra Natural Gas primarily associated with the lower revenues;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$108 million decrease at Sempra Mexico associated with the lower revenues;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$28 million lower intercompany eliminations primarily associated with sales between Sempra Mexico and Sempra Natural Gas.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2012, our operation and maintenance expenses increased by $41 million (6%) to $732 million primarily due to:</w:t>
      </w:r>
    </w:p>
    <w:p>
      <w:pPr>
        <w:spacing w:after="0" w:line="244" w:lineRule="exact"/>
        <w:rPr>
          <w:sz w:val="20"/>
          <w:szCs w:val="20"/>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$54 million increase at SDG&amp;E, which we discuss below;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$15 million decrease at SoCalGas, primarily due to lower recoverable expenses in 2012.</w:t>
      </w:r>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nine months ended September 30, 2012, our operation and maintenance expenses increased by $120 million (6%) to $2.1 billion. The increase included</w:t>
      </w:r>
    </w:p>
    <w:p>
      <w:pPr>
        <w:spacing w:after="0" w:line="170" w:lineRule="exact"/>
        <w:rPr>
          <w:sz w:val="20"/>
          <w:szCs w:val="20"/>
          <w:color w:val="auto"/>
        </w:rPr>
      </w:pPr>
    </w:p>
    <w:p>
      <w:pPr>
        <w:ind w:left="340" w:hanging="188"/>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$96 million increase at SDG&amp;E, which we discuss below;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$57 million increase at Sempra South American Utilities primarily from the consolidation of expenses in Chile and Peru;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$15 million decrease at Parent and Other, mainly due to lower general and administrative costs, including amounts in 2011 related to the dissolution of our former commodities-marketing businesses;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$13 million decrease at SoCalGas, primarily due to $34 million lower recoverable expenses, offset by $20 million higher other operation and maintenance costs.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three months ended September 30, 2012, SDG&amp;E’s operation and maintenance expenses increased by $54 million (21%) to $309 million. The increase was primarily due to:</w:t>
      </w:r>
    </w:p>
    <w:p>
      <w:pPr>
        <w:spacing w:after="0" w:line="170" w:lineRule="exact"/>
        <w:rPr>
          <w:sz w:val="20"/>
          <w:szCs w:val="20"/>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$43 million higher recoverable expenses primarily due to an increase in transmission-related operating expenses;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$18 million higher other operation and maintenance costs, including</w:t>
      </w:r>
    </w:p>
    <w:p>
      <w:pPr>
        <w:spacing w:after="0" w:line="252" w:lineRule="exact"/>
        <w:rPr>
          <w:rFonts w:ascii="Arial" w:cs="Arial" w:eastAsia="Arial" w:hAnsi="Arial"/>
          <w:sz w:val="18"/>
          <w:szCs w:val="18"/>
          <w:color w:val="auto"/>
        </w:rPr>
      </w:pPr>
    </w:p>
    <w:p>
      <w:pPr>
        <w:ind w:left="340" w:right="3300"/>
        <w:spacing w:after="0" w:line="49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$5 million associated with the Desert Star generation facility acquired by SDG&amp;E in October 2011, and</w:t>
      </w:r>
      <w:r>
        <w:rPr>
          <w:rFonts w:ascii="Courier New" w:cs="Courier New" w:eastAsia="Courier New" w:hAnsi="Courier New"/>
          <w:sz w:val="18"/>
          <w:szCs w:val="18"/>
          <w:color w:val="auto"/>
        </w:rPr>
        <w:t xml:space="preserve"> o </w:t>
      </w:r>
      <w:r>
        <w:rPr>
          <w:rFonts w:ascii="Arial" w:cs="Arial" w:eastAsia="Arial" w:hAnsi="Arial"/>
          <w:sz w:val="18"/>
          <w:szCs w:val="18"/>
          <w:color w:val="auto"/>
        </w:rPr>
        <w:t>$4 million increase in liability insurance premiums for wildfire coverage; and</w:t>
      </w:r>
    </w:p>
    <w:p>
      <w:pPr>
        <w:ind w:left="340" w:hanging="188"/>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 xml:space="preserve">$3 million higher operation and maintenance expenses at Otay Mesa VIE;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$10 million lower litigation expenses from wildfire claims.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nine months ended September 30, 2012, SDG&amp;E’s operation and maintenance expenses increased by $96 million (13%) to $852 million. The increase was due to:</w:t>
      </w:r>
    </w:p>
    <w:p>
      <w:pPr>
        <w:spacing w:after="0" w:line="170" w:lineRule="exact"/>
        <w:rPr>
          <w:sz w:val="20"/>
          <w:szCs w:val="20"/>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$69 million higher recoverable expenses primarily due to an increase in transmission-related operating expenses;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$40 million higher other operation and maintenance costs, including</w:t>
      </w:r>
    </w:p>
    <w:p>
      <w:pPr>
        <w:spacing w:after="0" w:line="252" w:lineRule="exact"/>
        <w:rPr>
          <w:rFonts w:ascii="Arial" w:cs="Arial" w:eastAsia="Arial" w:hAnsi="Arial"/>
          <w:sz w:val="18"/>
          <w:szCs w:val="18"/>
          <w:color w:val="auto"/>
        </w:rPr>
      </w:pPr>
    </w:p>
    <w:p>
      <w:pPr>
        <w:ind w:left="660" w:hanging="324"/>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$21 million associated with the Desert Star generation facility acquired by SDG&amp;E in October 2011 and from increased costs from the operations of</w:t>
      </w:r>
      <w:r>
        <w:rPr>
          <w:rFonts w:ascii="Courier New" w:cs="Courier New" w:eastAsia="Courier New" w:hAnsi="Courier New"/>
          <w:sz w:val="18"/>
          <w:szCs w:val="18"/>
          <w:color w:val="auto"/>
        </w:rPr>
        <w:t xml:space="preserve"> </w:t>
      </w:r>
      <w:r>
        <w:rPr>
          <w:rFonts w:ascii="Arial" w:cs="Arial" w:eastAsia="Arial" w:hAnsi="Arial"/>
          <w:sz w:val="18"/>
          <w:szCs w:val="18"/>
          <w:color w:val="auto"/>
        </w:rPr>
        <w:t>other electric generating facilities,</w:t>
      </w:r>
    </w:p>
    <w:p>
      <w:pPr>
        <w:spacing w:after="0" w:line="229" w:lineRule="exact"/>
        <w:rPr>
          <w:rFonts w:ascii="Arial" w:cs="Arial" w:eastAsia="Arial" w:hAnsi="Arial"/>
          <w:sz w:val="18"/>
          <w:szCs w:val="18"/>
          <w:color w:val="auto"/>
        </w:rPr>
      </w:pPr>
    </w:p>
    <w:p>
      <w:pPr>
        <w:ind w:left="340" w:right="4520"/>
        <w:spacing w:after="0" w:line="553"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$10 million of costs associated with the continued roll-out of the advanced meters, and</w:t>
      </w:r>
      <w:r>
        <w:rPr>
          <w:rFonts w:ascii="Courier New" w:cs="Courier New" w:eastAsia="Courier New" w:hAnsi="Courier New"/>
          <w:sz w:val="16"/>
          <w:szCs w:val="16"/>
          <w:color w:val="auto"/>
        </w:rPr>
        <w:t xml:space="preserve"> o </w:t>
      </w:r>
      <w:r>
        <w:rPr>
          <w:rFonts w:ascii="Arial" w:cs="Arial" w:eastAsia="Arial" w:hAnsi="Arial"/>
          <w:sz w:val="16"/>
          <w:szCs w:val="16"/>
          <w:color w:val="auto"/>
        </w:rPr>
        <w:t>$5 million increase in liability insurance premiums for wildfire coverage, offset by</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$10 million recovery in 2012 of incremental costs incurred in prior years for the long-term storage of spent nuclear fuel;</w:t>
      </w:r>
      <w:r>
        <w:rPr>
          <w:rFonts w:ascii="Courier New" w:cs="Courier New" w:eastAsia="Courier New" w:hAnsi="Courier New"/>
          <w:sz w:val="18"/>
          <w:szCs w:val="18"/>
          <w:color w:val="auto"/>
        </w:rPr>
        <w:t xml:space="preserve"> </w:t>
      </w:r>
      <w:r>
        <w:rPr>
          <w:rFonts w:ascii="Arial" w:cs="Arial" w:eastAsia="Arial" w:hAnsi="Arial"/>
          <w:sz w:val="18"/>
          <w:szCs w:val="18"/>
          <w:b w:val="1"/>
          <w:bCs w:val="1"/>
          <w:color w:val="auto"/>
        </w:rPr>
        <w:t>offset by</w:t>
      </w:r>
    </w:p>
    <w:p>
      <w:pPr>
        <w:spacing w:after="0" w:line="240"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$8 million lower operation and maintenance expenses at Otay Mesa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$5 million lower litigation expenses from wildfire claims.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(Losses) Earnings, Before Income Tax</w:t>
      </w:r>
    </w:p>
    <w:p>
      <w:pPr>
        <w:spacing w:after="0" w:line="2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Equity losses from our investment in Rockies Express were $87 million and $366 million in the three months and nine months ended September 30, 2012, respectively, compared to equity earnings of $10 million and $29 million in the three months and nine months ended September 30, 2011, respectively. Equity</w:t>
      </w:r>
    </w:p>
    <w:p>
      <w:pPr>
        <w:sectPr>
          <w:pgSz w:w="11900" w:h="16838" w:orient="portrait"/>
          <w:cols w:equalWidth="0" w:num="1">
            <w:col w:w="11420"/>
          </w:cols>
          <w:pgMar w:left="240" w:top="341" w:right="239" w:bottom="0" w:gutter="0" w:footer="0" w:header="0"/>
        </w:sectPr>
      </w:pPr>
    </w:p>
    <w:bookmarkStart w:id="64" w:name="page65"/>
    <w:bookmarkEnd w:id="64"/>
    <w:p>
      <w:pPr>
        <w:spacing w:after="0" w:line="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losses in the three months and nine months ended September 30, 2012 included write-downs of our investment in Rockies Express of $100 million and $400 million, respectively.</w:t>
      </w:r>
    </w:p>
    <w:p>
      <w:pPr>
        <w:spacing w:after="0" w:line="170"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Equity losses before income taxes from our other investments decreased by $15 million and $24 million in the three months and nine months ended September 30, 2012, respectively, primarily due to a $16 million pretax write-down in the third quarter of 2011 of our investment in RBS Sempra Commodities.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2012, other income, net, increased by $32 million to $44 million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$17 million gains from investment activity related to our executive retirement and deferred compensation plans in 2012 compared to $6 million losses in 2011;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 xml:space="preserve">$26 million losses on interest rate and foreign exchange instruments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$13 million decrease in AFUDC primarily due to completion of construction on the Sunrise Powerlink project in June 2012 at SDG&amp;E.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2012, other income, net, increased by $51 million (59%) to $137 million primarily due to:</w:t>
      </w:r>
    </w:p>
    <w:p>
      <w:pPr>
        <w:spacing w:after="0" w:line="225" w:lineRule="exact"/>
        <w:rPr>
          <w:sz w:val="20"/>
          <w:szCs w:val="20"/>
          <w:color w:val="auto"/>
        </w:rPr>
      </w:pPr>
    </w:p>
    <w:p>
      <w:pPr>
        <w:ind w:left="340" w:hanging="188"/>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$11 million gains on interest rate and foreign exchange instruments in 2012 compared to $14 million losses in 2011;</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$14 million higher gains from investment activity related to our executive retirement and deferred compensation plans in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$13 million increase in AFUDC at the California Utilities, including $7 million increase at SDG&amp;E due to construction on the Sunrise Powerlink project.</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three months ended September 30, 2012, other income, net, decreased by $21 million (81%) to $5 million mainly due to a decrease in AFUDC related to equity primarily due to completion of construction on the Sunrise Powerlink project in June 2012. In the nine months ended September 30, 2012, other income, net, increased by $4 million (7%) to $59 million primarily due to an increase in AFUDC related to equity from construction on the Sunrise Powerlink project.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4"/>
                <w:szCs w:val="14"/>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r>
      <w:tr>
        <w:trPr>
          <w:trHeight w:val="223"/>
        </w:trPr>
        <w:tc>
          <w:tcPr>
            <w:tcW w:w="36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2011</w:t>
            </w:r>
          </w:p>
        </w:tc>
      </w:tr>
      <w:tr>
        <w:trPr>
          <w:trHeight w:val="231"/>
        </w:trPr>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40" w:type="dxa"/>
            <w:vAlign w:val="bottom"/>
          </w:tcPr>
          <w:p>
            <w:pPr>
              <w:jc w:val="center"/>
              <w:ind w:left="965"/>
              <w:spacing w:after="0"/>
              <w:rPr>
                <w:sz w:val="20"/>
                <w:szCs w:val="20"/>
                <w:color w:val="auto"/>
              </w:rPr>
            </w:pPr>
            <w:r>
              <w:rPr>
                <w:rFonts w:ascii="Arial" w:cs="Arial" w:eastAsia="Arial" w:hAnsi="Arial"/>
                <w:sz w:val="14"/>
                <w:szCs w:val="14"/>
                <w:color w:val="auto"/>
              </w:rPr>
              <w:t>Effective</w:t>
            </w: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6"/>
        </w:trPr>
        <w:tc>
          <w:tcPr>
            <w:tcW w:w="3600" w:type="dxa"/>
            <w:vAlign w:val="bottom"/>
          </w:tcPr>
          <w:p>
            <w:pPr>
              <w:spacing w:after="0"/>
              <w:rPr>
                <w:sz w:val="18"/>
                <w:szCs w:val="18"/>
                <w:color w:val="auto"/>
              </w:rPr>
            </w:pPr>
          </w:p>
        </w:tc>
        <w:tc>
          <w:tcPr>
            <w:tcW w:w="1560" w:type="dxa"/>
            <w:vAlign w:val="bottom"/>
          </w:tcPr>
          <w:p>
            <w:pPr>
              <w:jc w:val="center"/>
              <w:ind w:left="625"/>
              <w:spacing w:after="0"/>
              <w:rPr>
                <w:sz w:val="20"/>
                <w:szCs w:val="20"/>
                <w:color w:val="auto"/>
              </w:rPr>
            </w:pPr>
            <w:r>
              <w:rPr>
                <w:rFonts w:ascii="Arial" w:cs="Arial" w:eastAsia="Arial" w:hAnsi="Arial"/>
                <w:sz w:val="14"/>
                <w:szCs w:val="14"/>
                <w:color w:val="auto"/>
              </w:rPr>
              <w:t>Income Tax</w:t>
            </w:r>
          </w:p>
        </w:tc>
        <w:tc>
          <w:tcPr>
            <w:tcW w:w="1840" w:type="dxa"/>
            <w:vAlign w:val="bottom"/>
          </w:tcPr>
          <w:p>
            <w:pPr>
              <w:jc w:val="center"/>
              <w:ind w:left="965"/>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8"/>
                <w:szCs w:val="18"/>
                <w:color w:val="auto"/>
              </w:rPr>
            </w:pPr>
          </w:p>
        </w:tc>
        <w:tc>
          <w:tcPr>
            <w:tcW w:w="142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6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840" w:type="dxa"/>
            <w:vAlign w:val="bottom"/>
            <w:tcBorders>
              <w:bottom w:val="single" w:sz="8" w:color="auto"/>
            </w:tcBorders>
          </w:tcPr>
          <w:p>
            <w:pPr>
              <w:jc w:val="center"/>
              <w:ind w:left="965"/>
              <w:spacing w:after="0"/>
              <w:rPr>
                <w:sz w:val="20"/>
                <w:szCs w:val="20"/>
                <w:color w:val="auto"/>
              </w:rPr>
            </w:pPr>
            <w:r>
              <w:rPr>
                <w:rFonts w:ascii="Arial" w:cs="Arial" w:eastAsia="Arial" w:hAnsi="Arial"/>
                <w:sz w:val="14"/>
                <w:szCs w:val="14"/>
                <w:color w:val="auto"/>
                <w:w w:val="98"/>
              </w:rPr>
              <w:t>Tax Rate</w:t>
            </w:r>
          </w:p>
        </w:tc>
        <w:tc>
          <w:tcPr>
            <w:tcW w:w="6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545"/>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224"/>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165"/>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425"/>
              <w:spacing w:after="0"/>
              <w:rPr>
                <w:sz w:val="20"/>
                <w:szCs w:val="20"/>
                <w:color w:val="auto"/>
              </w:rPr>
            </w:pPr>
            <w:r>
              <w:rPr>
                <w:rFonts w:ascii="Arial" w:cs="Arial" w:eastAsia="Arial" w:hAnsi="Arial"/>
                <w:sz w:val="16"/>
                <w:szCs w:val="16"/>
                <w:color w:val="auto"/>
              </w:rPr>
              <w:t>49</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15 %</w:t>
            </w:r>
          </w:p>
        </w:tc>
        <w:tc>
          <w:tcPr>
            <w:tcW w:w="1420" w:type="dxa"/>
            <w:vAlign w:val="bottom"/>
          </w:tcPr>
          <w:p>
            <w:pPr>
              <w:jc w:val="right"/>
              <w:ind w:right="106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75</w:t>
            </w:r>
          </w:p>
        </w:tc>
        <w:tc>
          <w:tcPr>
            <w:tcW w:w="1960" w:type="dxa"/>
            <w:vAlign w:val="bottom"/>
          </w:tcPr>
          <w:p>
            <w:pPr>
              <w:ind w:left="1420"/>
              <w:spacing w:after="0"/>
              <w:rPr>
                <w:sz w:val="20"/>
                <w:szCs w:val="20"/>
                <w:color w:val="auto"/>
              </w:rPr>
            </w:pPr>
            <w:r>
              <w:rPr>
                <w:rFonts w:ascii="Arial" w:cs="Arial" w:eastAsia="Arial" w:hAnsi="Arial"/>
                <w:sz w:val="16"/>
                <w:szCs w:val="16"/>
                <w:color w:val="auto"/>
              </w:rPr>
              <w:t>19 %</w:t>
            </w:r>
          </w:p>
        </w:tc>
      </w:tr>
      <w:tr>
        <w:trPr>
          <w:trHeight w:val="216"/>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1840" w:type="dxa"/>
            <w:vAlign w:val="bottom"/>
          </w:tcPr>
          <w:p>
            <w:pPr>
              <w:jc w:val="right"/>
              <w:ind w:right="1425"/>
              <w:spacing w:after="0"/>
              <w:rPr>
                <w:sz w:val="20"/>
                <w:szCs w:val="20"/>
                <w:color w:val="auto"/>
              </w:rPr>
            </w:pPr>
            <w:r>
              <w:rPr>
                <w:rFonts w:ascii="Arial" w:cs="Arial" w:eastAsia="Arial" w:hAnsi="Arial"/>
                <w:sz w:val="16"/>
                <w:szCs w:val="16"/>
                <w:color w:val="auto"/>
              </w:rPr>
              <w:t>38</w:t>
            </w:r>
          </w:p>
        </w:tc>
        <w:tc>
          <w:tcPr>
            <w:tcW w:w="680" w:type="dxa"/>
            <w:vAlign w:val="bottom"/>
          </w:tcPr>
          <w:p>
            <w:pPr>
              <w:jc w:val="right"/>
              <w:ind w:right="299"/>
              <w:spacing w:after="0"/>
              <w:rPr>
                <w:sz w:val="20"/>
                <w:szCs w:val="20"/>
                <w:color w:val="auto"/>
              </w:rPr>
            </w:pPr>
            <w:r>
              <w:rPr>
                <w:rFonts w:ascii="Arial" w:cs="Arial" w:eastAsia="Arial" w:hAnsi="Arial"/>
                <w:sz w:val="16"/>
                <w:szCs w:val="16"/>
                <w:color w:val="auto"/>
              </w:rPr>
              <w:t>17</w:t>
            </w:r>
          </w:p>
        </w:tc>
        <w:tc>
          <w:tcPr>
            <w:tcW w:w="1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63</w:t>
            </w:r>
          </w:p>
        </w:tc>
        <w:tc>
          <w:tcPr>
            <w:tcW w:w="1960" w:type="dxa"/>
            <w:vAlign w:val="bottom"/>
          </w:tcPr>
          <w:p>
            <w:pPr>
              <w:ind w:left="1420"/>
              <w:spacing w:after="0"/>
              <w:rPr>
                <w:sz w:val="20"/>
                <w:szCs w:val="20"/>
                <w:color w:val="auto"/>
              </w:rPr>
            </w:pPr>
            <w:r>
              <w:rPr>
                <w:rFonts w:ascii="Arial" w:cs="Arial" w:eastAsia="Arial" w:hAnsi="Arial"/>
                <w:sz w:val="16"/>
                <w:szCs w:val="16"/>
                <w:color w:val="auto"/>
              </w:rPr>
              <w:t>32</w:t>
            </w:r>
          </w:p>
        </w:tc>
      </w:tr>
      <w:tr>
        <w:trPr>
          <w:trHeight w:val="209"/>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425"/>
              <w:spacing w:after="0"/>
              <w:rPr>
                <w:sz w:val="20"/>
                <w:szCs w:val="20"/>
                <w:color w:val="auto"/>
              </w:rPr>
            </w:pPr>
            <w:r>
              <w:rPr>
                <w:rFonts w:ascii="Arial" w:cs="Arial" w:eastAsia="Arial" w:hAnsi="Arial"/>
                <w:sz w:val="16"/>
                <w:szCs w:val="16"/>
                <w:color w:val="auto"/>
              </w:rPr>
              <w:t>37</w:t>
            </w: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w:t>
            </w:r>
          </w:p>
        </w:tc>
        <w:tc>
          <w:tcPr>
            <w:tcW w:w="1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96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34</w:t>
            </w: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4"/>
                <w:szCs w:val="14"/>
                <w:color w:val="auto"/>
              </w:rPr>
              <w:t>Nine months ended September 30,</w:t>
            </w: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23"/>
        </w:trPr>
        <w:tc>
          <w:tcPr>
            <w:tcW w:w="36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2011</w:t>
            </w:r>
          </w:p>
        </w:tc>
      </w:tr>
      <w:tr>
        <w:trPr>
          <w:trHeight w:val="231"/>
        </w:trPr>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40" w:type="dxa"/>
            <w:vAlign w:val="bottom"/>
          </w:tcPr>
          <w:p>
            <w:pPr>
              <w:jc w:val="center"/>
              <w:ind w:left="965"/>
              <w:spacing w:after="0"/>
              <w:rPr>
                <w:sz w:val="20"/>
                <w:szCs w:val="20"/>
                <w:color w:val="auto"/>
              </w:rPr>
            </w:pPr>
            <w:r>
              <w:rPr>
                <w:rFonts w:ascii="Arial" w:cs="Arial" w:eastAsia="Arial" w:hAnsi="Arial"/>
                <w:sz w:val="14"/>
                <w:szCs w:val="14"/>
                <w:color w:val="auto"/>
              </w:rPr>
              <w:t>Effective</w:t>
            </w: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6"/>
        </w:trPr>
        <w:tc>
          <w:tcPr>
            <w:tcW w:w="3600" w:type="dxa"/>
            <w:vAlign w:val="bottom"/>
          </w:tcPr>
          <w:p>
            <w:pPr>
              <w:spacing w:after="0"/>
              <w:rPr>
                <w:sz w:val="18"/>
                <w:szCs w:val="18"/>
                <w:color w:val="auto"/>
              </w:rPr>
            </w:pPr>
          </w:p>
        </w:tc>
        <w:tc>
          <w:tcPr>
            <w:tcW w:w="1560" w:type="dxa"/>
            <w:vAlign w:val="bottom"/>
          </w:tcPr>
          <w:p>
            <w:pPr>
              <w:jc w:val="center"/>
              <w:ind w:left="625"/>
              <w:spacing w:after="0"/>
              <w:rPr>
                <w:sz w:val="20"/>
                <w:szCs w:val="20"/>
                <w:color w:val="auto"/>
              </w:rPr>
            </w:pPr>
            <w:r>
              <w:rPr>
                <w:rFonts w:ascii="Arial" w:cs="Arial" w:eastAsia="Arial" w:hAnsi="Arial"/>
                <w:sz w:val="14"/>
                <w:szCs w:val="14"/>
                <w:color w:val="auto"/>
              </w:rPr>
              <w:t>Income Tax</w:t>
            </w:r>
          </w:p>
        </w:tc>
        <w:tc>
          <w:tcPr>
            <w:tcW w:w="1840" w:type="dxa"/>
            <w:vAlign w:val="bottom"/>
          </w:tcPr>
          <w:p>
            <w:pPr>
              <w:jc w:val="center"/>
              <w:ind w:left="965"/>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8"/>
                <w:szCs w:val="18"/>
                <w:color w:val="auto"/>
              </w:rPr>
            </w:pPr>
          </w:p>
        </w:tc>
        <w:tc>
          <w:tcPr>
            <w:tcW w:w="142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6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840" w:type="dxa"/>
            <w:vAlign w:val="bottom"/>
            <w:tcBorders>
              <w:bottom w:val="single" w:sz="8" w:color="auto"/>
            </w:tcBorders>
          </w:tcPr>
          <w:p>
            <w:pPr>
              <w:jc w:val="center"/>
              <w:ind w:left="965"/>
              <w:spacing w:after="0"/>
              <w:rPr>
                <w:sz w:val="20"/>
                <w:szCs w:val="20"/>
                <w:color w:val="auto"/>
              </w:rPr>
            </w:pPr>
            <w:r>
              <w:rPr>
                <w:rFonts w:ascii="Arial" w:cs="Arial" w:eastAsia="Arial" w:hAnsi="Arial"/>
                <w:sz w:val="14"/>
                <w:szCs w:val="14"/>
                <w:color w:val="auto"/>
                <w:w w:val="98"/>
              </w:rPr>
              <w:t>Tax Rate</w:t>
            </w:r>
          </w:p>
        </w:tc>
        <w:tc>
          <w:tcPr>
            <w:tcW w:w="6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545"/>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224"/>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165"/>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425"/>
              <w:spacing w:after="0"/>
              <w:rPr>
                <w:sz w:val="20"/>
                <w:szCs w:val="20"/>
                <w:color w:val="auto"/>
              </w:rPr>
            </w:pPr>
            <w:r>
              <w:rPr>
                <w:rFonts w:ascii="Arial" w:cs="Arial" w:eastAsia="Arial" w:hAnsi="Arial"/>
                <w:sz w:val="16"/>
                <w:szCs w:val="16"/>
                <w:color w:val="auto"/>
              </w:rPr>
              <w:t>48</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8 %</w:t>
            </w:r>
          </w:p>
        </w:tc>
        <w:tc>
          <w:tcPr>
            <w:tcW w:w="1420" w:type="dxa"/>
            <w:vAlign w:val="bottom"/>
          </w:tcPr>
          <w:p>
            <w:pPr>
              <w:jc w:val="right"/>
              <w:ind w:right="106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289</w:t>
            </w:r>
          </w:p>
        </w:tc>
        <w:tc>
          <w:tcPr>
            <w:tcW w:w="1960" w:type="dxa"/>
            <w:vAlign w:val="bottom"/>
          </w:tcPr>
          <w:p>
            <w:pPr>
              <w:ind w:left="1420"/>
              <w:spacing w:after="0"/>
              <w:rPr>
                <w:sz w:val="20"/>
                <w:szCs w:val="20"/>
                <w:color w:val="auto"/>
              </w:rPr>
            </w:pPr>
            <w:r>
              <w:rPr>
                <w:rFonts w:ascii="Arial" w:cs="Arial" w:eastAsia="Arial" w:hAnsi="Arial"/>
                <w:sz w:val="16"/>
                <w:szCs w:val="16"/>
                <w:color w:val="auto"/>
              </w:rPr>
              <w:t>22 %</w:t>
            </w:r>
          </w:p>
        </w:tc>
      </w:tr>
      <w:tr>
        <w:trPr>
          <w:trHeight w:val="216"/>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1840" w:type="dxa"/>
            <w:vAlign w:val="bottom"/>
          </w:tcPr>
          <w:p>
            <w:pPr>
              <w:jc w:val="right"/>
              <w:ind w:right="1425"/>
              <w:spacing w:after="0"/>
              <w:rPr>
                <w:sz w:val="20"/>
                <w:szCs w:val="20"/>
                <w:color w:val="auto"/>
              </w:rPr>
            </w:pPr>
            <w:r>
              <w:rPr>
                <w:rFonts w:ascii="Arial" w:cs="Arial" w:eastAsia="Arial" w:hAnsi="Arial"/>
                <w:sz w:val="16"/>
                <w:szCs w:val="16"/>
                <w:color w:val="auto"/>
              </w:rPr>
              <w:t>151</w:t>
            </w:r>
          </w:p>
        </w:tc>
        <w:tc>
          <w:tcPr>
            <w:tcW w:w="680" w:type="dxa"/>
            <w:vAlign w:val="bottom"/>
          </w:tcPr>
          <w:p>
            <w:pPr>
              <w:jc w:val="right"/>
              <w:ind w:right="299"/>
              <w:spacing w:after="0"/>
              <w:rPr>
                <w:sz w:val="20"/>
                <w:szCs w:val="20"/>
                <w:color w:val="auto"/>
              </w:rPr>
            </w:pPr>
            <w:r>
              <w:rPr>
                <w:rFonts w:ascii="Arial" w:cs="Arial" w:eastAsia="Arial" w:hAnsi="Arial"/>
                <w:sz w:val="16"/>
                <w:szCs w:val="16"/>
                <w:color w:val="auto"/>
              </w:rPr>
              <w:t>27</w:t>
            </w:r>
          </w:p>
        </w:tc>
        <w:tc>
          <w:tcPr>
            <w:tcW w:w="1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154</w:t>
            </w:r>
          </w:p>
        </w:tc>
        <w:tc>
          <w:tcPr>
            <w:tcW w:w="1960" w:type="dxa"/>
            <w:vAlign w:val="bottom"/>
          </w:tcPr>
          <w:p>
            <w:pPr>
              <w:ind w:left="1420"/>
              <w:spacing w:after="0"/>
              <w:rPr>
                <w:sz w:val="20"/>
                <w:szCs w:val="20"/>
                <w:color w:val="auto"/>
              </w:rPr>
            </w:pPr>
            <w:r>
              <w:rPr>
                <w:rFonts w:ascii="Arial" w:cs="Arial" w:eastAsia="Arial" w:hAnsi="Arial"/>
                <w:sz w:val="16"/>
                <w:szCs w:val="16"/>
                <w:color w:val="auto"/>
              </w:rPr>
              <w:t>35</w:t>
            </w:r>
          </w:p>
        </w:tc>
      </w:tr>
      <w:tr>
        <w:trPr>
          <w:trHeight w:val="209"/>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425"/>
              <w:spacing w:after="0"/>
              <w:rPr>
                <w:sz w:val="20"/>
                <w:szCs w:val="20"/>
                <w:color w:val="auto"/>
              </w:rPr>
            </w:pPr>
            <w:r>
              <w:rPr>
                <w:rFonts w:ascii="Arial" w:cs="Arial" w:eastAsia="Arial" w:hAnsi="Arial"/>
                <w:sz w:val="16"/>
                <w:szCs w:val="16"/>
                <w:color w:val="auto"/>
              </w:rPr>
              <w:t>105</w:t>
            </w: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w:t>
            </w:r>
          </w:p>
        </w:tc>
        <w:tc>
          <w:tcPr>
            <w:tcW w:w="1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96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34</w:t>
            </w: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income tax expense in the three months ended September 30, 2012 was due to lower pretax income and a lower effective income tax rate. The lower effective income tax rate in the three months ended September 30, 2012 was primarily due to:</w:t>
      </w:r>
    </w:p>
    <w:p>
      <w:pPr>
        <w:spacing w:after="0" w:line="170" w:lineRule="exact"/>
        <w:rPr>
          <w:sz w:val="20"/>
          <w:szCs w:val="20"/>
          <w:color w:val="auto"/>
        </w:rPr>
      </w:pPr>
    </w:p>
    <w:p>
      <w:pPr>
        <w:jc w:val="both"/>
        <w:ind w:left="340" w:hanging="188"/>
        <w:spacing w:after="0" w:line="279" w:lineRule="auto"/>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$38 million income tax benefit in 2012 due to a change in the income tax treatment of certain repairs that are capitalized for book purposes, including $22 million benefit related to the 2011 U.S. federal income tax return filed in the third quarter of 2012. The change in income tax treatment was made pursuant to an Internal Revenue Service Revenue Procedure allowing certain capitalized repair costs for electric transmission and distribution assets to be deducted from taxable income when incurred for tax years beginning on or after January 1, 2011; and</w:t>
      </w:r>
    </w:p>
    <w:p>
      <w:pPr>
        <w:spacing w:after="0" w:line="194" w:lineRule="exact"/>
        <w:rPr>
          <w:rFonts w:ascii="Arial" w:cs="Arial" w:eastAsia="Arial" w:hAnsi="Arial"/>
          <w:sz w:val="17"/>
          <w:szCs w:val="17"/>
          <w:color w:val="auto"/>
        </w:rPr>
      </w:pPr>
    </w:p>
    <w:p>
      <w:pPr>
        <w:ind w:left="340" w:hanging="188"/>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higher planned renewable energy income tax credits and deferred income tax benefits related to renewable energy projects; </w:t>
      </w:r>
      <w:r>
        <w:rPr>
          <w:rFonts w:ascii="Arial" w:cs="Arial" w:eastAsia="Arial" w:hAnsi="Arial"/>
          <w:sz w:val="18"/>
          <w:szCs w:val="18"/>
          <w:b w:val="1"/>
          <w:bCs w:val="1"/>
          <w:color w:val="auto"/>
        </w:rPr>
        <w:t>offset by</w:t>
      </w:r>
    </w:p>
    <w:p>
      <w:pPr>
        <w:sectPr>
          <w:pgSz w:w="11900" w:h="16884" w:orient="portrait"/>
          <w:cols w:equalWidth="0" w:num="1">
            <w:col w:w="11420"/>
          </w:cols>
          <w:pgMar w:left="240" w:top="125" w:right="239" w:bottom="0" w:gutter="0" w:footer="0" w:header="0"/>
        </w:sectPr>
      </w:pPr>
    </w:p>
    <w:bookmarkStart w:id="65" w:name="page66"/>
    <w:bookmarkEnd w:id="65"/>
    <w:p>
      <w:pPr>
        <w:ind w:left="340" w:hanging="188"/>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higher income tax expense in 2012 due to Mexican currency translation and inflation adjustments;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higher income tax expense due to unfavorable resolution of prior years’ income tax items.</w:t>
      </w:r>
    </w:p>
    <w:p>
      <w:pPr>
        <w:spacing w:after="0" w:line="25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the nine months ended September 30, 2012, Sempra Energy’s income tax expense decreased due to significantly lower pretax income (due to the write-down of our investment in Rockies Express in 2012 and the remeasurement gain in 2011 related to our acquisition of controlling interests in Chilquinta Energía and Luz del Sur) and a lower effective income tax rate. The lower effective income tax rate was primarily due to:</w:t>
      </w:r>
    </w:p>
    <w:p>
      <w:pPr>
        <w:spacing w:after="0" w:line="166" w:lineRule="exact"/>
        <w:rPr>
          <w:sz w:val="20"/>
          <w:szCs w:val="20"/>
          <w:color w:val="auto"/>
        </w:rPr>
      </w:pPr>
    </w:p>
    <w:p>
      <w:pPr>
        <w:jc w:val="both"/>
        <w:ind w:left="340" w:hanging="188"/>
        <w:spacing w:after="0" w:line="264"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$54 million income tax benefit primarily associated with our decision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208"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$38 million income tax benefit in 2012 due to a change in the income tax treatment of certain repairs that are capitalized for book purposes, including $22 million benefit related to the 2011 U.S. federal income tax return filed in the third quarter of 2012, as discussed above;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higher planned renewable energy income tax credits and deferred income tax benefits related to renewable energy projects;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lower income in 2012 in countries with lower statutory income tax rates; such income was higher in 2011 due to the $277 million non-taxable gain discussed above;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higher income tax expense in 2012 due to Mexican currency translation and inflation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higher income tax expense due to unfavorable resolution of prior years’ income tax items;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higher U.S. income tax on non-U.S. non-operating activity due to the expiration of the look-through rule, as we discuss below.</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we discuss in Note 5 of the Notes to Condensed Consolidated Financial Statements herein, Sempra Energy, SDG&amp;E and SoCalGas record income taxes for interim periods utilizing a forecasted effective tax rate anticipated for the full year, as required by U.S. GAAP. We also discuss renewable energy income tax credits and deferred income tax benefits related to renewable energy projects in Notes 1 and 5 of the Notes to Condensed Consolidated Financial Statements herein.</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discussed above under “Change in Accounting Principle,” through December 31, 2011, Sempra Renewables used what is referred to as the flow-through method of accounting in which the investment tax credits associated with a project are recognized as a reduction of tax expense in the year in which capacity is placed in service. Starting in the first quarter of 2012, Sempra Renewables adopted the deferral method of accounting for these projects. Under this methodology, instead of recognizing the investment tax credit, Sempra Renewables reduced the book basis of the asset by the amount of the tax credit. This resulted in lower book depreciation, but higher income tax expense. Therefore, over time total earnings will be equal under the deferred method when compared to the flow-through method. This change in accounting principle was applied retrospectively in the first quarter of 2012.</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used grant accounting for certain assets placed into service in 2012, including assets that were under construction in 2011, in anticipation of applying for cash grants. Grant accounting for cash grants is very similar to the deferral method of accounting for investment tax credits, the primary difference being the recording of a grant receivable instead of an income tax receivable.</w:t>
      </w:r>
    </w:p>
    <w:p>
      <w:pPr>
        <w:spacing w:after="0" w:line="181"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2012, we anticipate that our effective income tax rate will be approximately 26% compared to 30% in 2011, excluding income tax and pretax items that cannot be reliably forecasted, as discussed in Note 5 of the Notes to Condensed Consolidated Financial Statements herein. This decrease is primarily as a result of higher planned renewable income tax credits, higher deferred income tax benefits related to renewable energy projects, and higher income tax benefits due to the change for income tax purposes allowing certain capitalized utility plant fixed asset repairs to be deducted from taxable income when incurred; offset by decreased favorable income tax deductions for self-developed software costs and higher U.S. income tax on non-U.S. non-operating activity due to the expiration of the look-through rule, as we discuss below.</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years 2013 through 2016, we are currently projecting that our effective income tax rate will be, excluding income tax items that cannot be reliably forecasted, approximately 30% to 32%. This increase in effective income tax rates is primarily due to projected increases in pretax income, decreases in favorable income tax deductions for self-developed software costs, increases in the amount by which book depreciation exceeds normalized tax depreciation, and lower exclusions from income for the equity portion of AFUDC.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projected effective tax rates above do not include any impact from a possible repatriation of future earnings from our Mexican and Peruvian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we were to repatriate future non-U.S. earnings, as we discuss below, the rates would increase accordingly.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SDG&amp;E’s income tax expense decreased in the three months ended September 30, 2012 primarily due to a lower effective income tax rate. The lower effective tax rate was primarily due to:</w:t>
      </w:r>
    </w:p>
    <w:p>
      <w:pPr>
        <w:spacing w:after="0" w:line="170" w:lineRule="exact"/>
        <w:rPr>
          <w:sz w:val="20"/>
          <w:szCs w:val="20"/>
          <w:color w:val="auto"/>
        </w:rPr>
      </w:pPr>
    </w:p>
    <w:p>
      <w:pPr>
        <w:jc w:val="both"/>
        <w:ind w:left="340" w:hanging="188"/>
        <w:spacing w:after="0" w:line="279" w:lineRule="auto"/>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$38 million income tax benefit in 2012 due to a change in the income tax treatment of certain repairs that are capitalized for book purposes, including $22 million benefit related to the 2011 U.S. federal income tax return filed in the third quarter of 2012. The change in income tax treatment was made pursuant to an Internal Revenue Service Revenue Procedure allowing certain capitalized repair costs for electric transmission and distribution assets to be deducted from taxable income when incurred for tax years beginning on or after January 1, 2011; and</w:t>
      </w:r>
    </w:p>
    <w:p>
      <w:pPr>
        <w:spacing w:after="0" w:line="194" w:lineRule="exact"/>
        <w:rPr>
          <w:rFonts w:ascii="Arial" w:cs="Arial" w:eastAsia="Arial" w:hAnsi="Arial"/>
          <w:sz w:val="17"/>
          <w:szCs w:val="17"/>
          <w:color w:val="auto"/>
        </w:rPr>
      </w:pPr>
    </w:p>
    <w:p>
      <w:pPr>
        <w:ind w:left="340" w:hanging="188"/>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higher favorable resolutions of prior years' income tax items;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impact of Otay Mesa VIE, as we discuss below;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w:t>
      </w:r>
    </w:p>
    <w:p>
      <w:pPr>
        <w:sectPr>
          <w:pgSz w:w="11900" w:h="16838" w:orient="portrait"/>
          <w:cols w:equalWidth="0" w:num="1">
            <w:col w:w="11420"/>
          </w:cols>
          <w:pgMar w:left="240" w:top="368" w:right="239" w:bottom="32"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color w:val="auto"/>
        </w:rPr>
        <w:t>SDG&amp;E’s income tax expense decreased in the nine months ended September 30, 2012 when compared to the same period in 2011 primarily due to a lower effective income tax rate. The lower effective tax rate was primarily due to:</w:t>
      </w:r>
    </w:p>
    <w:p>
      <w:pPr>
        <w:spacing w:after="0" w:line="170" w:lineRule="exact"/>
        <w:rPr>
          <w:sz w:val="20"/>
          <w:szCs w:val="20"/>
          <w:color w:val="auto"/>
        </w:rPr>
      </w:pPr>
    </w:p>
    <w:p>
      <w:pPr>
        <w:ind w:left="340" w:hanging="188"/>
        <w:spacing w:after="0" w:line="27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$38 million income tax benefit in 2012 due to a change in the income tax treatment of certain repairs that are capitalized for book purposes, including $22 million benefit related to the 2011 U.S. federal income tax return filed in the third quarter of 2012, as discussed above;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higher favorable resolutions of prior years’ income tax items;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Results for Sempra Energy Consolidated and SDG&amp;E include Otay Mesa VIE, which is consolidated, and therefore, their effective income tax rates are impacted by the VIE’s stand-alone effective income tax rate.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2012, we anticipate that SDG&amp;E’s effective income tax rate will be approximately 33% compared to 34% in 2011, excluding income tax and pretax items that cannot be reliably forecasted. This decrease is due to higher income tax benefits due to a change for income tax purposes allowing certain capitalized utility plant fixed asset repairs to be deducted from taxable income when incurred; and lower book depreciation over income tax depreciation related to a certain portion of utility plant fixed assets; offset by a projected rise in pretax income, combined with lower exclusions from income for the equity portion of AFUDC (due to the completion of construction on the Sunrise Powerlink electric transmission line). In the years 2013 through 2016, we are currently projecting that SDG&amp;E’s effective income tax rate will be approximately 37%, excluding income tax items that cannot be reliably forecasted, due to projected increases in pretax income.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SoCalGas’ income tax expense decreased in the three months ended September 30, 2012 primarily due to lower pretax income. While the effective tax rate for 2012 did not change significantly from 2011, it was impacted by:</w:t>
      </w:r>
    </w:p>
    <w:p>
      <w:pPr>
        <w:spacing w:after="0" w:line="170" w:lineRule="exact"/>
        <w:rPr>
          <w:sz w:val="20"/>
          <w:szCs w:val="20"/>
          <w:color w:val="auto"/>
        </w:rPr>
      </w:pPr>
    </w:p>
    <w:p>
      <w:pPr>
        <w:ind w:left="340" w:hanging="188"/>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higher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lower deductions for cost of removal of utility plant fixed assets.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nine months ended September 30, 2012, income tax expense decreased at SoCalGas primarily due to lower pretax income, offset by a higher effective income tax rate. The higher effective tax rate was primarily due to:</w:t>
      </w:r>
    </w:p>
    <w:p>
      <w:pPr>
        <w:spacing w:after="0" w:line="166" w:lineRule="exact"/>
        <w:rPr>
          <w:sz w:val="20"/>
          <w:szCs w:val="20"/>
          <w:color w:val="auto"/>
        </w:rPr>
      </w:pPr>
    </w:p>
    <w:p>
      <w:pPr>
        <w:ind w:left="340" w:hanging="188"/>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 xml:space="preserve">lower deductions for self-developed software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higher exclusions from taxable income of the equity portion of AFUDC.</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2012, we anticipate that SoCalGas’ effective income tax rate will be approximately 35% compared to 33% in 2011, excluding income tax and pretax items that cannot be reliably forecasted. This increase is due to a projected rise in pretax income, combined with a decrease in favorable income tax deductions for self-developed software costs, offset by lower book depreciation over income tax depreciation related to a certain portion of utility plant fixed assets. In the years 2013 through 2016, we are currently projecting that SoCalGas’ effective income tax rate, excluding income tax items that cannot be reliably forecasted, will be approximately 40% to 42%. This expected increase is primarily due to projected increases in pretax income, combined with a decrease in favorable income tax deductions for self-developed software costs, and an increase in the amount by which book depreciation exceeds normalized tax depreciation.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following items are subject to flow-through treatment at the California Utilities:</w:t>
      </w:r>
    </w:p>
    <w:p>
      <w:pPr>
        <w:spacing w:after="0" w:line="225" w:lineRule="exact"/>
        <w:rPr>
          <w:sz w:val="20"/>
          <w:szCs w:val="20"/>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repairs to a certain portion of utility plant fixed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self-developed software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fixed assets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discuss the impact of items subject to flow-through treatment on our effective income tax rates in Note 5 of the Notes to Condensed Consolidated Financial Statements herein.</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December 2010, the Tax Relief, Unemployment Insurance Reauthorization, and Job Creation Act of 2010 (2010 Tax Act) was signed into law. The 2010 Tax Act included the extension of bonus depreciation for U.S. federal income tax purposes for years 2010 through 2012 and an increase in the rate of bonus depreciation from 50 percent to 100 percent. This increased rate only applies to certain investments made after September 8, 2010 through December 31, 2012. Self-constructed property, where the construction period exceeds one year, construction starts between December 31, 2007 and January 1, 2013, and the property is placed in service by December 31, 2013, will qualify for bonus depreciation in 2013 at either the original or increased rate.</w:t>
      </w:r>
    </w:p>
    <w:p>
      <w:pPr>
        <w:sectPr>
          <w:pgSz w:w="11900" w:h="16838" w:orient="portrait"/>
          <w:cols w:equalWidth="0" w:num="1">
            <w:col w:w="11420"/>
          </w:cols>
          <w:pgMar w:left="240" w:top="125" w:right="239" w:bottom="0" w:gutter="0" w:footer="0" w:header="0"/>
        </w:sectPr>
      </w:pPr>
    </w:p>
    <w:bookmarkStart w:id="67" w:name="page68"/>
    <w:bookmarkEnd w:id="67"/>
    <w:p>
      <w:pPr>
        <w:spacing w:after="0" w:line="255" w:lineRule="auto"/>
        <w:rPr>
          <w:sz w:val="20"/>
          <w:szCs w:val="20"/>
          <w:color w:val="auto"/>
        </w:rPr>
      </w:pPr>
      <w:r>
        <w:rPr>
          <w:rFonts w:ascii="Arial" w:cs="Arial" w:eastAsia="Arial" w:hAnsi="Arial"/>
          <w:sz w:val="18"/>
          <w:szCs w:val="18"/>
          <w:color w:val="auto"/>
        </w:rPr>
        <w:t>Due to the extension of bonus depreciation, Sempra Energy generated a large U.S. federal NOL in 2011 and is currently projecting a large U.S. federal NOL in 2012. We currently project that the total NOL will not be fully utilized until approximately 2016. Because of these projected NOLs, and the carryforward of U.S. federal income tax credits discussed below, Sempra Energy expects no U.S. federal income tax payments in years 2012 through 2015. However, because bonus depreciation only creates a temporary difference, versus a permanent difference, between Sempra Energy’s U.S. federal income tax return and its U.S. GAAP financial statements, it does not impact Sempra Energy’s effective income tax rate. We expect larger U.S. federal income tax payments in the future as these temporary differences reverse.</w:t>
      </w:r>
    </w:p>
    <w:p>
      <w:pPr>
        <w:spacing w:after="0" w:line="1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SDG&amp;E and SoCalGas both generated a large U.S. federal NOL in 2011, also due to bonus depreciation. In 2012, SoCalGas will be able to, on a stand-alone basis, carry back its 2011 NOL to 2009 and 2010 to offset taxable income in those years. Therefore, SoCalGas’ 2011 NOL is recorded as current income tax receivable. SDG&amp;E will be able to, on a stand-alone basis, carry back a majority of its 2011 NOL to 2009 and 2010 to offset taxable income in those years, which portion is recorded as current income tax receivable. The remaining portion of SDG&amp;E’s 2011 NOL is recorded as a deferred income tax asset.</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SDG&amp;E is currently projecting a large U.S. federal NOL in 2012. However, SoCalGas is not projecting a U.S. federal NOL in 2012. SDG&amp;E’s 2012 NOL is currently projected to be carried forward, and is therefore recorded as a deferred income tax asset. We currently project that SDG&amp;E’s carryforward NOL, on a stand-alone basis, will be fully utilized by 2014. Because of this projected 2012 NOL, and the carryforward of U.S. federal income tax credits discussed below, SDG&amp;E expects no U.S. federal income tax payments in 2012. However, because bonus depreciation only creates a temporary difference between SDG&amp;E’s and SoCalGas’ U.S. federal income tax returns and U.S. GAAP financial statements, it does not impact SDG&amp;E’s and SoCalGas’ effective income tax rates. We expect larger U.S. federal income tax payments in the future as these temporary differences reverse.</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Bonus depreciation, in addition to impacting Sempra Energy’s and SDG&amp;E’s U.S. federal income tax payments, will also have a temporary impact on Sempra Energy’s and SDG&amp;E’s ability to utilize their U.S. federal income tax credits, which primarily are investment tax credits and production tax credits generated by Sempra Energy’s and SDG&amp;E’s current and future renewable energy investments. However, based on current projections, Sempra Energy and SDG&amp;E do not expect, based on more-likely-than-not criteria required under U.S. GAAP, any of these income tax credits to expire prior to the end of their 20-year carryforward period, as allowed under current U.S. federal income tax law. We also expect bonus depreciation to increase the deferred tax component of SDG&amp;E’s and SoCalGas’ rate base, which reduces rate base.</w:t>
      </w:r>
    </w:p>
    <w:p>
      <w:pPr>
        <w:spacing w:after="0" w:line="193"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We are currently considering the potential repatriation of future earnings beginning in 2013 from certain of our non-U.S. subsidiaries in Mexico and Peru. However, we expect to continue to indefinitely reinvest future earnings from our Chilean subsidiaries. Currently, all future repatriated earnings would be subject to U.S. income tax (with a credit for foreign income taxes), and future repatriations from Peru would be subject to local country withholding tax.</w:t>
      </w:r>
    </w:p>
    <w:p>
      <w:pPr>
        <w:ind w:right="500"/>
        <w:spacing w:after="0" w:line="254" w:lineRule="auto"/>
        <w:rPr>
          <w:sz w:val="20"/>
          <w:szCs w:val="20"/>
          <w:color w:val="auto"/>
        </w:rPr>
      </w:pPr>
      <w:r>
        <w:rPr>
          <w:rFonts w:ascii="Arial" w:cs="Arial" w:eastAsia="Arial" w:hAnsi="Arial"/>
          <w:sz w:val="18"/>
          <w:szCs w:val="18"/>
          <w:color w:val="auto"/>
        </w:rPr>
        <w:t>Because this potential repatriation would only be from future earnings, it does not change our current assertion, as we discuss in Note 7 of the Notes to Consolidated Financial Statements in the Updated Annual Report, that we intend to continue to indefinitely reinvest, for the foreseeable future, our cumulative undistributed non-U.S. earnings as of September 30, 2012. The forward-looking statements above on income tax matters do not include any impact from potential repatriation of future non-U.S. earnings.</w:t>
      </w:r>
    </w:p>
    <w:p>
      <w:pPr>
        <w:spacing w:after="0" w:line="1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Additionally, the 2010 Tax Act extended for years 2010 and 2011 the U.S. federal income tax law known as the look-through rule. This rule allows, under certain situations, for certain non-operating activity (e.g., dividend income, royalty income, interest income, rental income, etc.), of a greater than 50-percent owned non-U.S. subsidiary, to not be taxed under U.S. federal income tax law. As of September 30, 2012, this rule has not yet been extended beyond 2011, therefore, Sempra Energy’s effective income tax rate is currently unfavorably impacted for 2012 and could potentially increase, over the amounts projected above, in subsequent years. However, for years 2013-2016, we currently do not believe the lack of the extension of this rule will cause the effective income tax rate to be outside the estimated range provided above. It is generally thought that this rule will be extended beyond 2011. However, until the extension of the rule is enacted into law, U.S. GAAP accounting rules preclude us from reflecting its favorable impact in our financial results for 2012. If, starting in 2013, we were to repatriate future earnings from Mexico and Peru, as discussed above, the loss of the look-through rule will not result in additional U.S. federal income tax.</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Mexican Currency Exchange Rate and Inflation Impact on Income Taxes and Related Economic Hedging Activity</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Mexican subsidiaries have U.S. dollar denominated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expose us to significant fluctuations in our income tax expense. The income tax expense of Sempra Mexico is impacted by these factors. Parent and Other is also impacted due to a Mexican holding company. The impacts of these fluctuations may offset to some extent at the consolidated level.</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Sempra Energy Consolidated, the impacts on the three months and nine months ended September 30, 2012 and 2011 related to the factors described above are as follows: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MEXICAN CURRENCY IMPACT ON INCOME TAXES AND RELATED ECONOMIC HEDGING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6000" w:type="dxa"/>
            <w:vAlign w:val="bottom"/>
          </w:tcPr>
          <w:p>
            <w:pPr>
              <w:spacing w:after="0"/>
              <w:rPr>
                <w:sz w:val="18"/>
                <w:szCs w:val="18"/>
                <w:color w:val="auto"/>
              </w:rPr>
            </w:pPr>
          </w:p>
        </w:tc>
        <w:tc>
          <w:tcPr>
            <w:tcW w:w="2920" w:type="dxa"/>
            <w:vAlign w:val="bottom"/>
            <w:gridSpan w:val="4"/>
          </w:tcPr>
          <w:p>
            <w:pPr>
              <w:jc w:val="right"/>
              <w:ind w:right="260"/>
              <w:spacing w:after="0"/>
              <w:rPr>
                <w:sz w:val="20"/>
                <w:szCs w:val="20"/>
                <w:color w:val="auto"/>
              </w:rPr>
            </w:pPr>
            <w:r>
              <w:rPr>
                <w:rFonts w:ascii="Arial" w:cs="Arial" w:eastAsia="Arial" w:hAnsi="Arial"/>
                <w:sz w:val="14"/>
                <w:szCs w:val="14"/>
                <w:color w:val="auto"/>
              </w:rPr>
              <w:t>Three months ended September 30,</w:t>
            </w:r>
          </w:p>
        </w:tc>
        <w:tc>
          <w:tcPr>
            <w:tcW w:w="2500" w:type="dxa"/>
            <w:vAlign w:val="bottom"/>
            <w:gridSpan w:val="4"/>
          </w:tcPr>
          <w:p>
            <w:pPr>
              <w:ind w:left="100"/>
              <w:spacing w:after="0"/>
              <w:rPr>
                <w:sz w:val="20"/>
                <w:szCs w:val="20"/>
                <w:color w:val="auto"/>
              </w:rPr>
            </w:pPr>
            <w:r>
              <w:rPr>
                <w:rFonts w:ascii="Arial" w:cs="Arial" w:eastAsia="Arial" w:hAnsi="Arial"/>
                <w:sz w:val="14"/>
                <w:szCs w:val="14"/>
                <w:color w:val="auto"/>
              </w:rPr>
              <w:t>Nine months ended September 30,</w:t>
            </w:r>
          </w:p>
        </w:tc>
      </w:tr>
      <w:tr>
        <w:trPr>
          <w:trHeight w:val="208"/>
        </w:trPr>
        <w:tc>
          <w:tcPr>
            <w:tcW w:w="6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w:t>
            </w:r>
          </w:p>
        </w:tc>
      </w:tr>
      <w:tr>
        <w:trPr>
          <w:trHeight w:val="224"/>
        </w:trPr>
        <w:tc>
          <w:tcPr>
            <w:tcW w:w="6000" w:type="dxa"/>
            <w:vAlign w:val="bottom"/>
          </w:tcPr>
          <w:p>
            <w:pPr>
              <w:spacing w:after="0"/>
              <w:rPr>
                <w:sz w:val="20"/>
                <w:szCs w:val="20"/>
                <w:color w:val="auto"/>
              </w:rPr>
            </w:pPr>
            <w:r>
              <w:rPr>
                <w:rFonts w:ascii="Arial" w:cs="Arial" w:eastAsia="Arial" w:hAnsi="Arial"/>
                <w:sz w:val="16"/>
                <w:szCs w:val="16"/>
                <w:color w:val="auto"/>
              </w:rPr>
              <w:t>Income tax (expense) benefit on currency exchange</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6000" w:type="dxa"/>
            <w:vAlign w:val="bottom"/>
          </w:tcPr>
          <w:p>
            <w:pPr>
              <w:ind w:left="280"/>
              <w:spacing w:after="0"/>
              <w:rPr>
                <w:sz w:val="20"/>
                <w:szCs w:val="20"/>
                <w:color w:val="auto"/>
              </w:rPr>
            </w:pPr>
            <w:r>
              <w:rPr>
                <w:rFonts w:ascii="Arial" w:cs="Arial" w:eastAsia="Arial" w:hAnsi="Arial"/>
                <w:sz w:val="16"/>
                <w:szCs w:val="16"/>
                <w:color w:val="auto"/>
              </w:rPr>
              <w:t>rate movement of monetary assets and liabilities</w:t>
            </w:r>
          </w:p>
        </w:tc>
        <w:tc>
          <w:tcPr>
            <w:tcW w:w="100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Translation of non-U.S. deferred income tax balances</w:t>
            </w:r>
          </w:p>
        </w:tc>
        <w:tc>
          <w:tcPr>
            <w:tcW w:w="1000" w:type="dxa"/>
            <w:vAlign w:val="bottom"/>
          </w:tcPr>
          <w:p>
            <w:pPr>
              <w:spacing w:after="0"/>
              <w:rPr>
                <w:sz w:val="18"/>
                <w:szCs w:val="18"/>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Income tax expense on inflation</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6000" w:type="dxa"/>
            <w:vAlign w:val="bottom"/>
          </w:tcPr>
          <w:p>
            <w:pPr>
              <w:ind w:left="280"/>
              <w:spacing w:after="0"/>
              <w:rPr>
                <w:sz w:val="20"/>
                <w:szCs w:val="20"/>
                <w:color w:val="auto"/>
              </w:rPr>
            </w:pPr>
            <w:r>
              <w:rPr>
                <w:rFonts w:ascii="Arial" w:cs="Arial" w:eastAsia="Arial" w:hAnsi="Arial"/>
                <w:sz w:val="16"/>
                <w:szCs w:val="16"/>
                <w:color w:val="auto"/>
              </w:rPr>
              <w:t>Total impact on income taxes</w:t>
            </w: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After-tax (losses) gains on Mexican peso exchange rate</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00" w:type="dxa"/>
            <w:vAlign w:val="bottom"/>
          </w:tcPr>
          <w:p>
            <w:pPr>
              <w:ind w:left="280"/>
              <w:spacing w:after="0"/>
              <w:rPr>
                <w:sz w:val="20"/>
                <w:szCs w:val="20"/>
                <w:color w:val="auto"/>
              </w:rPr>
            </w:pPr>
            <w:r>
              <w:rPr>
                <w:rFonts w:ascii="Arial" w:cs="Arial" w:eastAsia="Arial" w:hAnsi="Arial"/>
                <w:sz w:val="16"/>
                <w:szCs w:val="16"/>
                <w:color w:val="auto"/>
              </w:rPr>
              <w:t>instruments (included in Other Income, Net)</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4"/>
        </w:trPr>
        <w:tc>
          <w:tcPr>
            <w:tcW w:w="6000" w:type="dxa"/>
            <w:vAlign w:val="bottom"/>
          </w:tcPr>
          <w:p>
            <w:pPr>
              <w:spacing w:after="0"/>
              <w:rPr>
                <w:sz w:val="20"/>
                <w:szCs w:val="20"/>
                <w:color w:val="auto"/>
              </w:rPr>
            </w:pPr>
            <w:r>
              <w:rPr>
                <w:rFonts w:ascii="Arial" w:cs="Arial" w:eastAsia="Arial" w:hAnsi="Arial"/>
                <w:sz w:val="16"/>
                <w:szCs w:val="16"/>
                <w:color w:val="auto"/>
              </w:rPr>
              <w:t>Net impacts on Sempra Energy Condensed</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9"/>
        </w:trPr>
        <w:tc>
          <w:tcPr>
            <w:tcW w:w="60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Consolidated Statements of Operations</w:t>
            </w:r>
          </w:p>
        </w:tc>
        <w:tc>
          <w:tcPr>
            <w:tcW w:w="100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Earnings, Net of Income Tax</w:t>
      </w:r>
    </w:p>
    <w:p>
      <w:pPr>
        <w:sectPr>
          <w:pgSz w:w="11900" w:h="16838" w:orient="portrait"/>
          <w:cols w:equalWidth="0" w:num="1">
            <w:col w:w="11420"/>
          </w:cols>
          <w:pgMar w:left="240" w:top="125" w:right="239" w:bottom="0" w:gutter="0" w:footer="0" w:header="0"/>
          <w:type w:val="continuous"/>
        </w:sectPr>
      </w:pPr>
    </w:p>
    <w:bookmarkStart w:id="68" w:name="page69"/>
    <w:bookmarkEnd w:id="68"/>
    <w:p>
      <w:pPr>
        <w:spacing w:after="0" w:line="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nine months ended September 30, 2012, equity earnings of unconsolidated subsidiaries, net of income tax, were $29 million compared to $45 million for the corresponding period in 2011. The change in the nine months ended September 30, 2012 was primarily due to lower earnings related to equity method investments in Chile and Peru, for entities that are now consolidated, offset by higher earnings from Sempra Mexico’s pipeline assets.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Attributable to Noncontrolling Interests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Earnings attributable to noncontrolling interests decreased by $9 million for the three months ended September 30, 2012 due to lower earnings attributable to the noncontrolling interest at Otay Mesa VIE.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Earnings attributable to noncontrolling interests increased by $23 million for the nine months ended September 30, 2012 primarily due to:</w:t>
      </w:r>
    </w:p>
    <w:p>
      <w:pPr>
        <w:spacing w:after="0" w:line="225" w:lineRule="exact"/>
        <w:rPr>
          <w:sz w:val="20"/>
          <w:szCs w:val="20"/>
          <w:color w:val="auto"/>
        </w:rPr>
      </w:pPr>
    </w:p>
    <w:p>
      <w:pPr>
        <w:ind w:left="340" w:hanging="188"/>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$17 million higher earnings attributable to noncontrolling interest in 2012 at Otay Mesa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$4 million higher earnings at Sempra South American Utilities primarily from noncontrolling interests at Luz del Sur in 2012.</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both the three months and the nine months ended September 30, 2012, the changes in earnings attributable to noncontrolling interest at Otay Mesa VIE were due to changes in operating income.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19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We expect our cash flows from operations to fund a substantial portion of our capital expenditures and dividends. In addition, we may meet our cash requirements through the issuance of short-term and long-term debt and distributions from our equity method investments.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committed lines of credit provide liquidity and support commercial paper. As we discuss in Note 6 of the Notes to Condensed Consolidated Financial Statements herein, in March 2012, Sempra Energy, Sempra Global (the holding company for our subsidiaries not subject to California utility regulation) and the California Utilities each entered into new five-year revolving credit facilities, expiring in 2017, which replaced the previous principal credit agreements that were scheduled to expire in 2014. At Sempra Energy and the California Utilities, the agreements are syndicated broadly among 24 different lenders and at Sempra Global, among 25 different lenders. No single lender has greater than a 7-percent share in any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available funds at September 30,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jc w:val="center"/>
              <w:ind w:left="1785"/>
              <w:spacing w:after="0"/>
              <w:rPr>
                <w:sz w:val="20"/>
                <w:szCs w:val="20"/>
                <w:color w:val="auto"/>
              </w:rPr>
            </w:pPr>
            <w:r>
              <w:rPr>
                <w:rFonts w:ascii="Arial" w:cs="Arial" w:eastAsia="Arial" w:hAnsi="Arial"/>
                <w:sz w:val="14"/>
                <w:szCs w:val="14"/>
                <w:color w:val="auto"/>
              </w:rPr>
              <w:t>Sempra Energy</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center"/>
              <w:ind w:left="1785"/>
              <w:spacing w:after="0"/>
              <w:rPr>
                <w:sz w:val="20"/>
                <w:szCs w:val="20"/>
                <w:color w:val="auto"/>
              </w:rPr>
            </w:pPr>
            <w:r>
              <w:rPr>
                <w:rFonts w:ascii="Arial" w:cs="Arial" w:eastAsia="Arial" w:hAnsi="Arial"/>
                <w:sz w:val="14"/>
                <w:szCs w:val="14"/>
                <w:color w:val="auto"/>
              </w:rPr>
              <w:t>Consolidated</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SDG&amp;E</w:t>
            </w: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SoCalGas</w:t>
            </w:r>
          </w:p>
        </w:tc>
      </w:tr>
      <w:tr>
        <w:trPr>
          <w:trHeight w:val="195"/>
        </w:trPr>
        <w:tc>
          <w:tcPr>
            <w:tcW w:w="2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Unrestricted cash and cash equivalents</w:t>
            </w:r>
          </w:p>
        </w:tc>
        <w:tc>
          <w:tcPr>
            <w:tcW w:w="2860" w:type="dxa"/>
            <w:vAlign w:val="bottom"/>
          </w:tcPr>
          <w:p>
            <w:pPr>
              <w:jc w:val="right"/>
              <w:ind w:right="130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530</w:t>
            </w:r>
          </w:p>
        </w:tc>
        <w:tc>
          <w:tcPr>
            <w:tcW w:w="1440" w:type="dxa"/>
            <w:vAlign w:val="bottom"/>
          </w:tcPr>
          <w:p>
            <w:pPr>
              <w:jc w:val="right"/>
              <w:ind w:right="1243"/>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197"/>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Available unused credit(1)</w:t>
            </w:r>
          </w:p>
        </w:tc>
        <w:tc>
          <w:tcPr>
            <w:tcW w:w="2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3,539</w:t>
            </w:r>
          </w:p>
        </w:tc>
        <w:tc>
          <w:tcPr>
            <w:tcW w:w="1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r>
      <w:tr>
        <w:trPr>
          <w:trHeight w:val="21"/>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ind w:left="620" w:right="120" w:hanging="389"/>
        <w:spacing w:after="0" w:line="265" w:lineRule="auto"/>
        <w:tabs>
          <w:tab w:leader="none" w:pos="62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6 of the Notes to Condensed Consolidated Financial Statements herein, are limited to $658 million for each utility and $877 million in total. SDG&amp;E’s available funds reflect commercial paper outstanding of $2 million, supported by the line.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security issuances, combined with current cash balances, will be adequate to:</w:t>
      </w:r>
    </w:p>
    <w:p>
      <w:pPr>
        <w:spacing w:after="0" w:line="170" w:lineRule="exact"/>
        <w:rPr>
          <w:sz w:val="20"/>
          <w:szCs w:val="20"/>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repay maturing long-term debt</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2012, Sempra Energy publicly offered and sold $500 million of 2.875-percent notes maturing in 2022, and SoCalGas publicly offered and sold $350 million of 3.75-percent first mortgage bonds maturing in 2042. In March 2012, Sempra Energy publicly offered and sold $600 million of 2.30-percent notes maturing in 2017, and SDG&amp;E publicly offered and sold $250 million of 4.30-percent first mortgage bonds maturing in 2042. Sempra Energy and SDG&amp;E issued long-term debt in 2011 in the aggregate principal amounts of $800 million and $600 million, respectively. Changing economic conditions could affect the availability and cost of both short-term and long-term financing. If cash flows from operations were to be significantly reduced or we were unable to borrow under acceptable terms, we would likely first reduce or postpone discretionary capital expenditures (not related to safety) and investments in new businesses. If these measures were necessary, they would primarily impact certain of our Sempra International and Sempra U.S. Gas &amp; Power businesses before we would reduce funds necessary for the ongoing needs of the California Utilities, and secondarily our South American utilities. We continuously</w:t>
      </w:r>
    </w:p>
    <w:p>
      <w:pPr>
        <w:sectPr>
          <w:pgSz w:w="11900" w:h="16852" w:orient="portrait"/>
          <w:cols w:equalWidth="0" w:num="1">
            <w:col w:w="11420"/>
          </w:cols>
          <w:pgMar w:left="240" w:top="341" w:right="239" w:bottom="0" w:gutter="0" w:footer="0" w:header="0"/>
        </w:sectPr>
      </w:pPr>
    </w:p>
    <w:bookmarkStart w:id="69" w:name="page70"/>
    <w:bookmarkEnd w:id="69"/>
    <w:p>
      <w:pPr>
        <w:ind w:right="460"/>
        <w:spacing w:after="0" w:line="277" w:lineRule="auto"/>
        <w:rPr>
          <w:sz w:val="20"/>
          <w:szCs w:val="20"/>
          <w:color w:val="auto"/>
        </w:rPr>
      </w:pPr>
      <w:r>
        <w:rPr>
          <w:rFonts w:ascii="Arial" w:cs="Arial" w:eastAsia="Arial" w:hAnsi="Arial"/>
          <w:sz w:val="18"/>
          <w:szCs w:val="18"/>
          <w:color w:val="auto"/>
        </w:rPr>
        <w:t>monitor our ability to finance the needs of our operating, investing and financing activities in a manner consistent with our intention to maintain strong, investment-grade credit ratings and capital structure.</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three separate transactions during 2010 and one in early 2011, we and RBS sold substantially all of the businesses and assets of our joint-venture partnership that comprised our commodities-marketing businesses. Distributions from the partnership in 2011 were $623 million. The investment balance of $126 million at September 30, 2012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are providing transitional back-up guarantees, a few of which may continue for a prolonged period of time. Either RBS or JP Morgan Chase &amp; Co., one of the buyers’ parties in the sales transactions, has fully indemnified us for any claims or losses in connection with the related transactions.</w:t>
      </w:r>
    </w:p>
    <w:p>
      <w:pPr>
        <w:spacing w:after="0" w:line="1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provide additional information about RBS Sempra Commodities and the sales transactions and guarantees in Notes 4, 6 and 10 of the Notes to Condensed Consolidated Financial Statements herein and in Notes 3, 4, 5 and 15 of the Notes to Consolidated Financial Statements in the Updated Annual Report.</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September 30, 2012, our cash and cash equivalents held in foreign jurisdictions that are unavailable to fund domestic operations unless repatriated were approximately $240 million. We intend for funds associated with accumulated foreign earnings through September 30, 2012 to remain indefinitely in our foreign subsidiaries to fund their operations. We are currently considering a plan to repatriate future earnings from certain foreign operations beginning in 2013.</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At the California Utilities, funding requirements are generally recoverable in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more fully in Note 6 of the Notes to Condensed Consolidated Financial Statements herein.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SDG&amp;E and SoCalGas expect that cash flows from operations and debt issuances will continue to be adequate to meet their working capital and capital expenditure requirements. In March 2011, Sempra Energy made a $200 million capital contribution to SDG&amp;E.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SoCalGas declared and paid a $100 million common dividend in the second quarter of 2012 and a $50 million common dividend in the first quarter of both 2012 and 2011. SoCalGas also declared and paid a $100 million common dividend in October 2012. However, as a result of the increase in SoCalGas’ capital investment programs over the next few years, management expects that SoCalGas’ dividends on common stock will be reduced, when compared to the dividends on common stock declared on an annual basis historically, or temporarily suspended over the next few years to maintain SoCalGas’ authorized capital structure during the periods of high capital investments.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 result of SDG&amp;E’s large capital investment program over the past few years and the level of capital investment in 2012, SDG&amp;E does not expect to pay common dividends to Sempra Energy in 2012. However, due to the completion of construction of the Sunrise Powerlink transmission power line in June 2012, SDG&amp;E expects to be able to resume the declaration and payment of dividends on its common stock in 2013.</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projects at Chilquinta Energía and Luz del Sur to be funded by external borrowings and funds internally generated by Chilquinta Energía and Luz del Sur.</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expect projects in Mexico to be funded through a combination of funds internally generated by the Mexico businesses, project financing, raising other external capital, and partnering in joint ventures.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expect Sempra Renewables to require funds for the development of and investment in electric renewable energy projects. Projects at Sempra Renewables may be financed through a combination of operating cash flow, project financing, low-cost financing from the U.S. Department of Energy (DOE), U.S. Treasury Department cash grants, funds from the parent, and partnering in joint ventures. The Sempra Renewables projects have planned in-service dates ranging from 2012 to 2016. In November 2012, Sempra Renewables received $253 million in funding from the DOE related to Mesquite Solar 1, at an interest rate of 2.262 percent.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expect Sempra Natural Gas to require funding from the parent and external sources to fund projects and investments, including development and expansion of its natural gas storage projects.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flows from operations at Sempra Natural Gas are expected to decrease substantially since its contract with the DWR expired in September 2011, due to less favorable pricing on any replacement contracts obtained, and the sale of its El Dorado natural gas generation plant to SDG&amp;E in 2011. Also, Sempra Natural Gas may not be able to replace all of the lost revenue due to decreased market demand. Sales to the DWR comprised six percent of Sempra Energy’s revenues in 2011.</w:t>
      </w:r>
    </w:p>
    <w:p>
      <w:pPr>
        <w:sectPr>
          <w:pgSz w:w="11900" w:h="16838" w:orient="portrait"/>
          <w:cols w:equalWidth="0" w:num="1">
            <w:col w:w="11380"/>
          </w:cols>
          <w:pgMar w:left="240" w:top="125" w:right="279" w:bottom="129" w:gutter="0" w:footer="0" w:header="0"/>
        </w:sectPr>
      </w:pPr>
    </w:p>
    <w:bookmarkStart w:id="70" w:name="page71"/>
    <w:bookmarkEnd w:id="70"/>
    <w:p>
      <w:pPr>
        <w:ind w:right="100"/>
        <w:spacing w:after="0" w:line="279" w:lineRule="auto"/>
        <w:rPr>
          <w:sz w:val="20"/>
          <w:szCs w:val="20"/>
          <w:color w:val="auto"/>
        </w:rPr>
      </w:pPr>
      <w:r>
        <w:rPr>
          <w:rFonts w:ascii="Arial" w:cs="Arial" w:eastAsia="Arial" w:hAnsi="Arial"/>
          <w:sz w:val="17"/>
          <w:szCs w:val="17"/>
          <w:color w:val="auto"/>
        </w:rPr>
        <w:t>Some of Sempra Natural Gas’ long-term power sale contracts contain collateral requirements which require its affiliates and/or the counterparty to post cash, guarantees or letters of credit to the other party for exposure in excess of established thresholds. Sempra Natural Gas may be required to provide collateral when market price movements adversely affect the counterparty’s cost of replacement energy supplies if Sempra Natural Gas fails to deliver the contracted amounts. We have neither collateral posted nor owed to counterparties at September 30, 2012 pursuant to these requirements.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Sempra Natural Gas plans to develop a natural gas liquefaction export facility at its Cameron LNG terminal. Sempra Natural Gas expects the majority of the project to be project-financed and the balance provided by project partners in a joint venture agreement.</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2012 Change</w:t>
            </w: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2011</w:t>
            </w:r>
          </w:p>
        </w:tc>
      </w:tr>
      <w:tr>
        <w:trPr>
          <w:trHeight w:val="195"/>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52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1,688</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641"/>
              <w:spacing w:after="0"/>
              <w:rPr>
                <w:sz w:val="20"/>
                <w:szCs w:val="20"/>
                <w:color w:val="auto"/>
              </w:rPr>
            </w:pPr>
            <w:r>
              <w:rPr>
                <w:rFonts w:ascii="Arial" w:cs="Arial" w:eastAsia="Arial" w:hAnsi="Arial"/>
                <w:sz w:val="16"/>
                <w:szCs w:val="16"/>
                <w:color w:val="auto"/>
              </w:rPr>
              <w:t>45</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1,643</w:t>
            </w:r>
          </w:p>
        </w:tc>
      </w:tr>
      <w:tr>
        <w:trPr>
          <w:trHeight w:val="204"/>
        </w:trPr>
        <w:tc>
          <w:tcPr>
            <w:tcW w:w="3640" w:type="dxa"/>
            <w:vAlign w:val="bottom"/>
            <w:gridSpan w:val="2"/>
          </w:tcPr>
          <w:p>
            <w:pPr>
              <w:spacing w:after="0"/>
              <w:rPr>
                <w:sz w:val="20"/>
                <w:szCs w:val="20"/>
                <w:color w:val="auto"/>
              </w:rPr>
            </w:pPr>
            <w:r>
              <w:rPr>
                <w:rFonts w:ascii="Arial" w:cs="Arial" w:eastAsia="Arial" w:hAnsi="Arial"/>
                <w:sz w:val="16"/>
                <w:szCs w:val="16"/>
                <w:color w:val="auto"/>
              </w:rPr>
              <w:t>SDG&amp;E</w:t>
            </w:r>
          </w:p>
        </w:tc>
        <w:tc>
          <w:tcPr>
            <w:tcW w:w="25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770</w:t>
            </w:r>
          </w:p>
        </w:tc>
        <w:tc>
          <w:tcPr>
            <w:tcW w:w="640" w:type="dxa"/>
            <w:vAlign w:val="bottom"/>
          </w:tcPr>
          <w:p>
            <w:pPr>
              <w:spacing w:after="0"/>
              <w:rPr>
                <w:sz w:val="17"/>
                <w:szCs w:val="17"/>
                <w:color w:val="auto"/>
              </w:rPr>
            </w:pPr>
          </w:p>
        </w:tc>
        <w:tc>
          <w:tcPr>
            <w:tcW w:w="1620" w:type="dxa"/>
            <w:vAlign w:val="bottom"/>
          </w:tcPr>
          <w:p>
            <w:pPr>
              <w:jc w:val="right"/>
              <w:ind w:right="601"/>
              <w:spacing w:after="0"/>
              <w:rPr>
                <w:sz w:val="20"/>
                <w:szCs w:val="20"/>
                <w:color w:val="auto"/>
              </w:rPr>
            </w:pPr>
            <w:r>
              <w:rPr>
                <w:rFonts w:ascii="Arial" w:cs="Arial" w:eastAsia="Arial" w:hAnsi="Arial"/>
                <w:sz w:val="16"/>
                <w:szCs w:val="16"/>
                <w:color w:val="auto"/>
              </w:rPr>
              <w:t>(49)</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6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819</w:t>
            </w:r>
          </w:p>
        </w:tc>
      </w:tr>
      <w:tr>
        <w:trPr>
          <w:trHeight w:val="20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6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251</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w:t>
            </w: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r>
      <w:tr>
        <w:trPr>
          <w:trHeight w:val="21"/>
        </w:trPr>
        <w:tc>
          <w:tcPr>
            <w:tcW w:w="2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increased in 2012 primarily due to:</w:t>
      </w:r>
    </w:p>
    <w:p>
      <w:pPr>
        <w:spacing w:after="0" w:line="225" w:lineRule="exact"/>
        <w:rPr>
          <w:sz w:val="20"/>
          <w:szCs w:val="20"/>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$130 million settlement payment in 2011 related to energy crisis litigation;</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$85 million payment received from Citizens Sunrise Transmission, LLC (Citizens) in July 2012, as discussed in Note 10 of the Notes to Condensed Consolidated Financial Statements herein;</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$67 million higher net income, adjusted for noncash items included in earnings, in 2012 compared to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$265 million decrease in accounts receivable in 2012 compared to a $218 million decrease in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 $52 million increase in inventory in 2012 compared to a $93 million increase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$300 million of funds received in 2011 as compared to $190 million received in 2012 from wildfire litigation settlements; and</w:t>
      </w:r>
    </w:p>
    <w:p>
      <w:pPr>
        <w:spacing w:after="0" w:line="252"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increase of $220 million in net undercollected regulatory balancing accounts in 2012 compared to a decrease of $18 million in net overcollected regulatory balancing accounts in 2011. Over- and undercollected regulatory balancing accounts reflect the difference between customer billings and recorded or CPUC-authorized costs. These differences are required to be balanced over time. See further explanation for changes in regulatory balances at SDG&amp;E and SoCalGas below.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decreased in 2012 primarily due to:</w:t>
      </w:r>
    </w:p>
    <w:p>
      <w:pPr>
        <w:spacing w:after="0" w:line="225" w:lineRule="exact"/>
        <w:rPr>
          <w:sz w:val="20"/>
          <w:szCs w:val="20"/>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$300 million of funds received in 2011 as compared to $190 million received in 2012 from wildfire litigation settlements;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increase of $220 million in net undercollected regulatory balancing accounts in 2012 as compared to an increase of $84 million in net overcollected regulatory balancing accounts in 2011, as follows:</w:t>
      </w:r>
    </w:p>
    <w:p>
      <w:pPr>
        <w:spacing w:after="0" w:line="197" w:lineRule="exact"/>
        <w:rPr>
          <w:sz w:val="20"/>
          <w:szCs w:val="20"/>
          <w:color w:val="auto"/>
        </w:rPr>
      </w:pPr>
    </w:p>
    <w:p>
      <w:pPr>
        <w:ind w:left="500" w:hanging="330"/>
        <w:spacing w:after="0"/>
        <w:tabs>
          <w:tab w:leader="none" w:pos="500" w:val="left"/>
        </w:tabs>
        <w:numPr>
          <w:ilvl w:val="1"/>
          <w:numId w:val="127"/>
        </w:numPr>
        <w:rPr>
          <w:rFonts w:ascii="Courier New" w:cs="Courier New" w:eastAsia="Courier New" w:hAnsi="Courier New"/>
          <w:sz w:val="18"/>
          <w:szCs w:val="18"/>
          <w:color w:val="auto"/>
        </w:rPr>
      </w:pPr>
      <w:r>
        <w:rPr>
          <w:rFonts w:ascii="Arial" w:cs="Arial" w:eastAsia="Arial" w:hAnsi="Arial"/>
          <w:sz w:val="18"/>
          <w:szCs w:val="18"/>
          <w:color w:val="auto"/>
        </w:rPr>
        <w:t>the increase in net undercollected regulatory balancing accounts in 2012 was primarily due to:</w:t>
      </w:r>
    </w:p>
    <w:p>
      <w:pPr>
        <w:spacing w:after="0" w:line="263" w:lineRule="exact"/>
        <w:rPr>
          <w:rFonts w:ascii="Courier New" w:cs="Courier New" w:eastAsia="Courier New" w:hAnsi="Courier New"/>
          <w:sz w:val="18"/>
          <w:szCs w:val="18"/>
          <w:color w:val="auto"/>
        </w:rPr>
      </w:pPr>
    </w:p>
    <w:p>
      <w:pPr>
        <w:ind w:left="960" w:hanging="304"/>
        <w:spacing w:after="0"/>
        <w:tabs>
          <w:tab w:leader="none" w:pos="9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undercollection of electric resource costs of $141 million and</w:t>
      </w:r>
    </w:p>
    <w:p>
      <w:pPr>
        <w:spacing w:after="0" w:line="279" w:lineRule="exact"/>
        <w:rPr>
          <w:rFonts w:ascii="Arial" w:cs="Arial" w:eastAsia="Arial" w:hAnsi="Arial"/>
          <w:sz w:val="18"/>
          <w:szCs w:val="18"/>
          <w:color w:val="auto"/>
        </w:rPr>
      </w:pPr>
    </w:p>
    <w:p>
      <w:pPr>
        <w:ind w:left="960" w:hanging="304"/>
        <w:spacing w:after="0"/>
        <w:tabs>
          <w:tab w:leader="none" w:pos="9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undercollection of advanced metering infrastructure costs of $119 million;</w:t>
      </w:r>
    </w:p>
    <w:p>
      <w:pPr>
        <w:spacing w:after="0" w:line="252" w:lineRule="exact"/>
        <w:rPr>
          <w:rFonts w:ascii="Arial" w:cs="Arial" w:eastAsia="Arial" w:hAnsi="Arial"/>
          <w:sz w:val="18"/>
          <w:szCs w:val="18"/>
          <w:color w:val="auto"/>
        </w:rPr>
      </w:pPr>
    </w:p>
    <w:p>
      <w:pPr>
        <w:ind w:left="500" w:hanging="330"/>
        <w:spacing w:after="0"/>
        <w:tabs>
          <w:tab w:leader="none" w:pos="500" w:val="left"/>
        </w:tabs>
        <w:numPr>
          <w:ilvl w:val="1"/>
          <w:numId w:val="127"/>
        </w:numPr>
        <w:rPr>
          <w:rFonts w:ascii="Courier New" w:cs="Courier New" w:eastAsia="Courier New" w:hAnsi="Courier New"/>
          <w:sz w:val="18"/>
          <w:szCs w:val="18"/>
          <w:color w:val="auto"/>
        </w:rPr>
      </w:pPr>
      <w:r>
        <w:rPr>
          <w:rFonts w:ascii="Arial" w:cs="Arial" w:eastAsia="Arial" w:hAnsi="Arial"/>
          <w:sz w:val="18"/>
          <w:szCs w:val="18"/>
          <w:color w:val="auto"/>
        </w:rPr>
        <w:t>the increase in net overcollected regulatory balancing accounts in 2011 was primarily due to:</w:t>
      </w:r>
    </w:p>
    <w:p>
      <w:pPr>
        <w:spacing w:after="0" w:line="263" w:lineRule="exact"/>
        <w:rPr>
          <w:rFonts w:ascii="Courier New" w:cs="Courier New" w:eastAsia="Courier New" w:hAnsi="Courier New"/>
          <w:sz w:val="18"/>
          <w:szCs w:val="18"/>
          <w:color w:val="auto"/>
        </w:rPr>
      </w:pPr>
    </w:p>
    <w:p>
      <w:pPr>
        <w:ind w:left="960" w:hanging="304"/>
        <w:spacing w:after="0"/>
        <w:tabs>
          <w:tab w:leader="none" w:pos="9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overcollection of electric resource costs of $41 million and</w:t>
      </w:r>
    </w:p>
    <w:p>
      <w:pPr>
        <w:spacing w:after="0" w:line="275" w:lineRule="exact"/>
        <w:rPr>
          <w:rFonts w:ascii="Arial" w:cs="Arial" w:eastAsia="Arial" w:hAnsi="Arial"/>
          <w:sz w:val="18"/>
          <w:szCs w:val="18"/>
          <w:color w:val="auto"/>
        </w:rPr>
      </w:pPr>
    </w:p>
    <w:p>
      <w:pPr>
        <w:ind w:left="960" w:hanging="304"/>
        <w:spacing w:after="0"/>
        <w:tabs>
          <w:tab w:leader="none" w:pos="9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 xml:space="preserve">overcollection of advanced metering infrastructure costs of $21 million;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$189 million higher net income, adjusted for noncash items included in earnings, in 2012 compared to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$85 million payment received from Citizens in July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$52 million increase in income taxes receivable in 2012 compared to a $130 million increase in 2011.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increased in 2012 primarily due to:</w:t>
      </w:r>
    </w:p>
    <w:p>
      <w:pPr>
        <w:sectPr>
          <w:pgSz w:w="11900" w:h="16838" w:orient="portrait"/>
          <w:cols w:equalWidth="0" w:num="1">
            <w:col w:w="11420"/>
          </w:cols>
          <w:pgMar w:left="240" w:top="125" w:right="239" w:bottom="0" w:gutter="0" w:footer="0" w:header="0"/>
        </w:sectPr>
      </w:pPr>
    </w:p>
    <w:bookmarkStart w:id="71" w:name="page72"/>
    <w:bookmarkEnd w:id="71"/>
    <w:p>
      <w:pPr>
        <w:ind w:left="340" w:hanging="188"/>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$286 million decrease in accounts receivable in 2012 compared to a $221 million decrease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$16 million increase in inventory in 2012 compared to an $80 million increase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$33 million decrease in accounts payable in 2012 compared to an $83 million decrease in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decrease of $102 million in net overcollected regulatory balancing accounts in 2011, primarily due to:</w:t>
      </w:r>
    </w:p>
    <w:p>
      <w:pPr>
        <w:spacing w:after="0" w:line="252" w:lineRule="exact"/>
        <w:rPr>
          <w:sz w:val="20"/>
          <w:szCs w:val="20"/>
          <w:color w:val="auto"/>
        </w:rPr>
      </w:pPr>
    </w:p>
    <w:p>
      <w:pPr>
        <w:ind w:left="500" w:hanging="330"/>
        <w:spacing w:after="0"/>
        <w:tabs>
          <w:tab w:leader="none" w:pos="500" w:val="left"/>
        </w:tabs>
        <w:numPr>
          <w:ilvl w:val="1"/>
          <w:numId w:val="129"/>
        </w:numPr>
        <w:rPr>
          <w:rFonts w:ascii="Courier New" w:cs="Courier New" w:eastAsia="Courier New" w:hAnsi="Courier New"/>
          <w:sz w:val="18"/>
          <w:szCs w:val="18"/>
          <w:color w:val="auto"/>
        </w:rPr>
      </w:pPr>
      <w:r>
        <w:rPr>
          <w:rFonts w:ascii="Arial" w:cs="Arial" w:eastAsia="Arial" w:hAnsi="Arial"/>
          <w:sz w:val="18"/>
          <w:szCs w:val="18"/>
          <w:color w:val="auto"/>
        </w:rPr>
        <w:t>overcollection of California alternate rates for energy (CARE) program costs of $27 million,</w:t>
      </w:r>
    </w:p>
    <w:p>
      <w:pPr>
        <w:spacing w:after="0" w:line="236" w:lineRule="exact"/>
        <w:rPr>
          <w:rFonts w:ascii="Courier New" w:cs="Courier New" w:eastAsia="Courier New" w:hAnsi="Courier New"/>
          <w:sz w:val="18"/>
          <w:szCs w:val="18"/>
          <w:color w:val="auto"/>
        </w:rPr>
      </w:pPr>
    </w:p>
    <w:p>
      <w:pPr>
        <w:ind w:left="500" w:hanging="330"/>
        <w:spacing w:after="0"/>
        <w:tabs>
          <w:tab w:leader="none" w:pos="500" w:val="left"/>
        </w:tabs>
        <w:numPr>
          <w:ilvl w:val="1"/>
          <w:numId w:val="129"/>
        </w:numPr>
        <w:rPr>
          <w:rFonts w:ascii="Courier New" w:cs="Courier New" w:eastAsia="Courier New" w:hAnsi="Courier New"/>
          <w:sz w:val="18"/>
          <w:szCs w:val="18"/>
          <w:color w:val="auto"/>
        </w:rPr>
      </w:pPr>
      <w:r>
        <w:rPr>
          <w:rFonts w:ascii="Arial" w:cs="Arial" w:eastAsia="Arial" w:hAnsi="Arial"/>
          <w:sz w:val="18"/>
          <w:szCs w:val="18"/>
          <w:color w:val="auto"/>
        </w:rPr>
        <w:t>overcollection of direct assistance program costs of $27 million, and</w:t>
      </w:r>
    </w:p>
    <w:p>
      <w:pPr>
        <w:spacing w:after="0" w:line="232" w:lineRule="exact"/>
        <w:rPr>
          <w:rFonts w:ascii="Courier New" w:cs="Courier New" w:eastAsia="Courier New" w:hAnsi="Courier New"/>
          <w:sz w:val="18"/>
          <w:szCs w:val="18"/>
          <w:color w:val="auto"/>
        </w:rPr>
      </w:pPr>
    </w:p>
    <w:p>
      <w:pPr>
        <w:ind w:left="500" w:hanging="330"/>
        <w:spacing w:after="0"/>
        <w:tabs>
          <w:tab w:leader="none" w:pos="500" w:val="left"/>
        </w:tabs>
        <w:numPr>
          <w:ilvl w:val="1"/>
          <w:numId w:val="129"/>
        </w:numPr>
        <w:rPr>
          <w:rFonts w:ascii="Courier New" w:cs="Courier New" w:eastAsia="Courier New" w:hAnsi="Courier New"/>
          <w:sz w:val="18"/>
          <w:szCs w:val="18"/>
          <w:color w:val="auto"/>
        </w:rPr>
      </w:pPr>
      <w:r>
        <w:rPr>
          <w:rFonts w:ascii="Arial" w:cs="Arial" w:eastAsia="Arial" w:hAnsi="Arial"/>
          <w:sz w:val="18"/>
          <w:szCs w:val="18"/>
          <w:color w:val="auto"/>
        </w:rPr>
        <w:t xml:space="preserve">overcollection of self-generation program costs of $26 million; </w:t>
      </w:r>
      <w:r>
        <w:rPr>
          <w:rFonts w:ascii="Arial" w:cs="Arial" w:eastAsia="Arial" w:hAnsi="Arial"/>
          <w:sz w:val="18"/>
          <w:szCs w:val="18"/>
          <w:b w:val="1"/>
          <w:bCs w:val="1"/>
          <w:color w:val="auto"/>
        </w:rPr>
        <w:t>offset by</w:t>
      </w:r>
    </w:p>
    <w:p>
      <w:pPr>
        <w:spacing w:after="0" w:line="240" w:lineRule="exact"/>
        <w:rPr>
          <w:rFonts w:ascii="Courier New" w:cs="Courier New" w:eastAsia="Courier New" w:hAnsi="Courier New"/>
          <w:sz w:val="18"/>
          <w:szCs w:val="18"/>
          <w:color w:val="auto"/>
        </w:rPr>
      </w:pPr>
    </w:p>
    <w:p>
      <w:pPr>
        <w:ind w:left="340" w:hanging="188"/>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$41 million lower net income, adjusted for noncash items included in earnings, in 2012 compared to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the nine months ended September 30, 2012.</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jc w:val="center"/>
              <w:ind w:right="363"/>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206"/>
        </w:trPr>
        <w:tc>
          <w:tcPr>
            <w:tcW w:w="42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3960" w:type="dxa"/>
            <w:vAlign w:val="bottom"/>
          </w:tcPr>
          <w:p>
            <w:pPr>
              <w:ind w:left="3100"/>
              <w:spacing w:after="0"/>
              <w:rPr>
                <w:sz w:val="20"/>
                <w:szCs w:val="20"/>
                <w:color w:val="auto"/>
              </w:rPr>
            </w:pPr>
            <w:r>
              <w:rPr>
                <w:rFonts w:ascii="Arial" w:cs="Arial" w:eastAsia="Arial" w:hAnsi="Arial"/>
                <w:sz w:val="14"/>
                <w:szCs w:val="14"/>
                <w:color w:val="auto"/>
              </w:rPr>
              <w:t>Pension</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tcPr>
          <w:p>
            <w:pPr>
              <w:jc w:val="center"/>
              <w:ind w:right="383"/>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64"/>
        </w:trPr>
        <w:tc>
          <w:tcPr>
            <w:tcW w:w="4220" w:type="dxa"/>
            <w:vAlign w:val="bottom"/>
            <w:tcBorders>
              <w:bottom w:val="single" w:sz="8" w:color="auto"/>
            </w:tcBorders>
            <w:vMerge w:val="continue"/>
          </w:tcPr>
          <w:p>
            <w:pPr>
              <w:spacing w:after="0"/>
              <w:rPr>
                <w:sz w:val="14"/>
                <w:szCs w:val="14"/>
                <w:color w:val="auto"/>
              </w:rPr>
            </w:pPr>
          </w:p>
        </w:tc>
        <w:tc>
          <w:tcPr>
            <w:tcW w:w="3960" w:type="dxa"/>
            <w:vAlign w:val="bottom"/>
            <w:tcBorders>
              <w:bottom w:val="single" w:sz="8" w:color="auto"/>
            </w:tcBorders>
          </w:tcPr>
          <w:p>
            <w:pPr>
              <w:ind w:left="3100"/>
              <w:spacing w:after="0" w:line="157" w:lineRule="exact"/>
              <w:rPr>
                <w:sz w:val="20"/>
                <w:szCs w:val="20"/>
                <w:color w:val="auto"/>
              </w:rPr>
            </w:pPr>
            <w:r>
              <w:rPr>
                <w:rFonts w:ascii="Arial" w:cs="Arial" w:eastAsia="Arial" w:hAnsi="Arial"/>
                <w:sz w:val="14"/>
                <w:szCs w:val="14"/>
                <w:color w:val="auto"/>
              </w:rPr>
              <w:t>Benefits</w:t>
            </w: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363"/>
              <w:spacing w:after="0" w:line="157" w:lineRule="exact"/>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3960" w:type="dxa"/>
            <w:vAlign w:val="bottom"/>
          </w:tcPr>
          <w:p>
            <w:pPr>
              <w:jc w:val="right"/>
              <w:ind w:right="1705"/>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111</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20"/>
                <w:szCs w:val="20"/>
                <w:color w:val="auto"/>
              </w:rPr>
            </w:pPr>
            <w:r>
              <w:rPr>
                <w:rFonts w:ascii="Arial" w:cs="Arial" w:eastAsia="Arial" w:hAnsi="Arial"/>
                <w:sz w:val="16"/>
                <w:szCs w:val="16"/>
                <w:color w:val="auto"/>
              </w:rPr>
              <w:t>SDG&amp;E</w:t>
            </w:r>
          </w:p>
        </w:tc>
        <w:tc>
          <w:tcPr>
            <w:tcW w:w="39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4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2012 Change</w:t>
            </w: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50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(2,576)$</w:t>
            </w:r>
          </w:p>
        </w:tc>
        <w:tc>
          <w:tcPr>
            <w:tcW w:w="1580" w:type="dxa"/>
            <w:vAlign w:val="bottom"/>
          </w:tcPr>
          <w:p>
            <w:pPr>
              <w:jc w:val="center"/>
              <w:spacing w:after="0"/>
              <w:rPr>
                <w:sz w:val="20"/>
                <w:szCs w:val="20"/>
                <w:color w:val="auto"/>
              </w:rPr>
            </w:pPr>
            <w:r>
              <w:rPr>
                <w:rFonts w:ascii="Arial" w:cs="Arial" w:eastAsia="Arial" w:hAnsi="Arial"/>
                <w:sz w:val="16"/>
                <w:szCs w:val="16"/>
                <w:color w:val="auto"/>
              </w:rPr>
              <w:t>272</w:t>
            </w:r>
          </w:p>
        </w:tc>
        <w:tc>
          <w:tcPr>
            <w:tcW w:w="640" w:type="dxa"/>
            <w:vAlign w:val="bottom"/>
          </w:tcPr>
          <w:p>
            <w:pPr>
              <w:jc w:val="center"/>
              <w:ind w:left="19"/>
              <w:spacing w:after="0"/>
              <w:rPr>
                <w:sz w:val="20"/>
                <w:szCs w:val="20"/>
                <w:color w:val="auto"/>
              </w:rPr>
            </w:pPr>
            <w:r>
              <w:rPr>
                <w:rFonts w:ascii="Arial" w:cs="Arial" w:eastAsia="Arial" w:hAnsi="Arial"/>
                <w:sz w:val="16"/>
                <w:szCs w:val="16"/>
                <w:color w:val="auto"/>
              </w:rPr>
              <w:t>12</w:t>
            </w: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(2,304)</w:t>
            </w:r>
          </w:p>
        </w:tc>
        <w:tc>
          <w:tcPr>
            <w:tcW w:w="20" w:type="dxa"/>
            <w:vAlign w:val="bottom"/>
          </w:tcPr>
          <w:p>
            <w:pPr>
              <w:spacing w:after="0"/>
              <w:rPr>
                <w:sz w:val="16"/>
                <w:szCs w:val="16"/>
                <w:color w:val="auto"/>
              </w:rPr>
            </w:pPr>
          </w:p>
        </w:tc>
      </w:tr>
      <w:tr>
        <w:trPr>
          <w:trHeight w:val="204"/>
        </w:trPr>
        <w:tc>
          <w:tcPr>
            <w:tcW w:w="3640" w:type="dxa"/>
            <w:vAlign w:val="bottom"/>
            <w:gridSpan w:val="2"/>
          </w:tcPr>
          <w:p>
            <w:pPr>
              <w:spacing w:after="0"/>
              <w:rPr>
                <w:sz w:val="20"/>
                <w:szCs w:val="20"/>
                <w:color w:val="auto"/>
              </w:rPr>
            </w:pPr>
            <w:r>
              <w:rPr>
                <w:rFonts w:ascii="Arial" w:cs="Arial" w:eastAsia="Arial" w:hAnsi="Arial"/>
                <w:sz w:val="16"/>
                <w:szCs w:val="16"/>
                <w:color w:val="auto"/>
              </w:rPr>
              <w:t>SDG&amp;E</w:t>
            </w:r>
          </w:p>
        </w:tc>
        <w:tc>
          <w:tcPr>
            <w:tcW w:w="2500" w:type="dxa"/>
            <w:vAlign w:val="bottom"/>
          </w:tcPr>
          <w:p>
            <w:pPr>
              <w:spacing w:after="0"/>
              <w:rPr>
                <w:sz w:val="17"/>
                <w:szCs w:val="17"/>
                <w:color w:val="auto"/>
              </w:rPr>
            </w:pPr>
          </w:p>
        </w:tc>
        <w:tc>
          <w:tcPr>
            <w:tcW w:w="1180" w:type="dxa"/>
            <w:vAlign w:val="bottom"/>
          </w:tcPr>
          <w:p>
            <w:pPr>
              <w:jc w:val="right"/>
              <w:ind w:right="539"/>
              <w:spacing w:after="0"/>
              <w:rPr>
                <w:sz w:val="20"/>
                <w:szCs w:val="20"/>
                <w:color w:val="auto"/>
              </w:rPr>
            </w:pPr>
            <w:r>
              <w:rPr>
                <w:rFonts w:ascii="Arial" w:cs="Arial" w:eastAsia="Arial" w:hAnsi="Arial"/>
                <w:sz w:val="16"/>
                <w:szCs w:val="16"/>
                <w:color w:val="auto"/>
              </w:rPr>
              <w:t>(992)</w:t>
            </w:r>
          </w:p>
        </w:tc>
        <w:tc>
          <w:tcPr>
            <w:tcW w:w="1580" w:type="dxa"/>
            <w:vAlign w:val="bottom"/>
          </w:tcPr>
          <w:p>
            <w:pPr>
              <w:jc w:val="center"/>
              <w:ind w:right="1"/>
              <w:spacing w:after="0"/>
              <w:rPr>
                <w:sz w:val="20"/>
                <w:szCs w:val="20"/>
                <w:color w:val="auto"/>
              </w:rPr>
            </w:pPr>
            <w:r>
              <w:rPr>
                <w:rFonts w:ascii="Arial" w:cs="Arial" w:eastAsia="Arial" w:hAnsi="Arial"/>
                <w:sz w:val="16"/>
                <w:szCs w:val="16"/>
                <w:color w:val="auto"/>
              </w:rPr>
              <w:t>(191)</w:t>
            </w:r>
          </w:p>
        </w:tc>
        <w:tc>
          <w:tcPr>
            <w:tcW w:w="640" w:type="dxa"/>
            <w:vAlign w:val="bottom"/>
          </w:tcPr>
          <w:p>
            <w:pPr>
              <w:jc w:val="center"/>
              <w:spacing w:after="0"/>
              <w:rPr>
                <w:sz w:val="20"/>
                <w:szCs w:val="20"/>
                <w:color w:val="auto"/>
              </w:rPr>
            </w:pPr>
            <w:r>
              <w:rPr>
                <w:rFonts w:ascii="Arial" w:cs="Arial" w:eastAsia="Arial" w:hAnsi="Arial"/>
                <w:sz w:val="16"/>
                <w:szCs w:val="16"/>
                <w:color w:val="auto"/>
                <w:w w:val="98"/>
              </w:rPr>
              <w:t>(16)</w:t>
            </w:r>
          </w:p>
        </w:tc>
        <w:tc>
          <w:tcPr>
            <w:tcW w:w="64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(1,183)</w:t>
            </w:r>
          </w:p>
        </w:tc>
      </w:tr>
      <w:tr>
        <w:trPr>
          <w:trHeight w:val="209"/>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(719)</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124</w:t>
            </w:r>
          </w:p>
        </w:tc>
        <w:tc>
          <w:tcPr>
            <w:tcW w:w="6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21</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(595)</w:t>
            </w:r>
          </w:p>
        </w:tc>
      </w:tr>
      <w:tr>
        <w:trPr>
          <w:trHeight w:val="21"/>
        </w:trPr>
        <w:tc>
          <w:tcPr>
            <w:tcW w:w="2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increased in 2012 primarily due to:</w:t>
      </w:r>
    </w:p>
    <w:p>
      <w:pPr>
        <w:spacing w:after="0" w:line="225" w:lineRule="exact"/>
        <w:rPr>
          <w:sz w:val="20"/>
          <w:szCs w:val="20"/>
          <w:color w:val="auto"/>
        </w:rPr>
      </w:pPr>
    </w:p>
    <w:p>
      <w:pPr>
        <w:ind w:left="340" w:hanging="188"/>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$210 million increase in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$374 million in distributions received from RBS Sempra Commodities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$249 million invested in Flat Ridge 2 in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$30 million invested in Auwahi Wind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$611 million in cash used to fund Sempra South American Utilities’ purchase of South American entities in 2011.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used in investing activities at SDG&amp;E decreased in 2012 primarily due to a $164 million decrease in capital expenditures, primarily due to the completion of the Sunrise Powerlink project in June 2012.</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SoCalGas increased in 2012 due to:</w:t>
      </w:r>
    </w:p>
    <w:p>
      <w:pPr>
        <w:spacing w:after="0" w:line="221" w:lineRule="exact"/>
        <w:rPr>
          <w:sz w:val="20"/>
          <w:szCs w:val="20"/>
          <w:color w:val="auto"/>
        </w:rPr>
      </w:pPr>
    </w:p>
    <w:p>
      <w:pPr>
        <w:ind w:left="340" w:hanging="188"/>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 $161 million higher increase in the amount advanced to Sempra Energy in 2012 as compared to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$37 million decrease in capital expenditures.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CONSTRUCTION EXPENDITURES AND INVESTMENTS</w:t>
      </w:r>
    </w:p>
    <w:p>
      <w:pPr>
        <w:spacing w:after="0" w:line="2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amounts and timing of capital expenditures are generally subject to approvals by the CPUC, the Federal Energy Regulatory Commission (FERC) and other regulatory bodies. However, in 2012, we expect to make annual capital expenditures and investments of approximately $3.3 billion. These expenditures include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$1.9 billion at the California Utilities for capital projects and plant improvements ($1.2 billion at SDG&amp;E and $670 million at SoCalGas)</w:t>
      </w:r>
    </w:p>
    <w:p>
      <w:pPr>
        <w:sectPr>
          <w:pgSz w:w="11900" w:h="16838" w:orient="portrait"/>
          <w:cols w:equalWidth="0" w:num="1">
            <w:col w:w="11420"/>
          </w:cols>
          <w:pgMar w:left="240" w:top="125" w:right="239" w:bottom="0" w:gutter="0" w:footer="0" w:header="0"/>
        </w:sectPr>
      </w:pPr>
    </w:p>
    <w:bookmarkStart w:id="72" w:name="page73"/>
    <w:bookmarkEnd w:id="72"/>
    <w:p>
      <w:pPr>
        <w:ind w:left="340" w:hanging="188"/>
        <w:spacing w:after="0" w:line="277"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$1.4 billion at our other subsidiaries for capital projects in South America, renewable energy generation projects, and development of natural gas infrastructure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2012, the California Utilities expect their annual capital expenditures to include</w:t>
      </w:r>
    </w:p>
    <w:p>
      <w:pPr>
        <w:spacing w:after="0" w:line="225" w:lineRule="exact"/>
        <w:rPr>
          <w:sz w:val="20"/>
          <w:szCs w:val="20"/>
          <w:color w:val="auto"/>
        </w:rPr>
      </w:pPr>
    </w:p>
    <w:p>
      <w:pPr>
        <w:ind w:left="340" w:hanging="188"/>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$550 million for improvements to SDG&amp;E’s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$200 million at SDG&amp;E for the Sunrise Powerlink transmission line and substation expansions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$300 million for improvements to SDG&amp;E’s electric transmission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$150 million for SDG&amp;E’s electric generation plants and equipment</w:t>
      </w:r>
    </w:p>
    <w:p>
      <w:pPr>
        <w:spacing w:after="0" w:line="252" w:lineRule="exact"/>
        <w:rPr>
          <w:rFonts w:ascii="Arial" w:cs="Arial" w:eastAsia="Arial" w:hAnsi="Arial"/>
          <w:sz w:val="18"/>
          <w:szCs w:val="18"/>
          <w:color w:val="auto"/>
        </w:rPr>
      </w:pPr>
    </w:p>
    <w:p>
      <w:pPr>
        <w:ind w:right="400" w:firstLine="152"/>
        <w:spacing w:after="0" w:line="547" w:lineRule="auto"/>
        <w:tabs>
          <w:tab w:leader="none" w:pos="32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$670 million at SoCalGas for improvements to distribution and transmission systems and storage facilities, and for advanced metering infrastructure The California Utilities expect to finance these expenditures with cash flows from operations, cash on hand and debt issuances.</w:t>
      </w:r>
    </w:p>
    <w:p>
      <w:pPr>
        <w:ind w:right="60"/>
        <w:spacing w:after="0" w:line="312" w:lineRule="auto"/>
        <w:rPr>
          <w:sz w:val="20"/>
          <w:szCs w:val="20"/>
          <w:color w:val="auto"/>
        </w:rPr>
      </w:pPr>
      <w:r>
        <w:rPr>
          <w:rFonts w:ascii="Arial" w:cs="Arial" w:eastAsia="Arial" w:hAnsi="Arial"/>
          <w:sz w:val="16"/>
          <w:szCs w:val="16"/>
          <w:color w:val="auto"/>
        </w:rPr>
        <w:t>In July 2012, SDG&amp;E received $85 million from Citizens Sunrise Transmission, LLC, a subsidiary of Citizens Energy Corporation, pursuant to an agreement to provide access to a segment of the Sunrise Powerlink transmission line. The expected 2012 capital expenditure above for the Sunrise Powerlink is net of Citizens’ July 2012 payment. We discuss this agreement further in Note 10 of the Notes to Condensed Consolidated Financial Statements herein.</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2012, the expected annual capital expenditures and investments of $1.4 billion at our other subsidiaries, net of anticipated project financing and joint venture structures, include</w:t>
      </w:r>
    </w:p>
    <w:p>
      <w:pPr>
        <w:spacing w:after="0" w:line="38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Sempra South American Utilities</w:t>
      </w:r>
    </w:p>
    <w:p>
      <w:pPr>
        <w:spacing w:after="0" w:line="205" w:lineRule="exact"/>
        <w:rPr>
          <w:sz w:val="20"/>
          <w:szCs w:val="20"/>
          <w:color w:val="auto"/>
        </w:rPr>
      </w:pPr>
    </w:p>
    <w:p>
      <w:pPr>
        <w:ind w:left="660" w:hanging="184"/>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approximately $100 million to $200 million for capital projects in South America, including approximately $70 million for the Santa Teresa hydroelectric power plant at Luz del Sur</w:t>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Sempra Mexico</w:t>
      </w:r>
    </w:p>
    <w:p>
      <w:pPr>
        <w:spacing w:after="0" w:line="205" w:lineRule="exact"/>
        <w:rPr>
          <w:sz w:val="20"/>
          <w:szCs w:val="20"/>
          <w:color w:val="auto"/>
        </w:rPr>
      </w:pPr>
    </w:p>
    <w:p>
      <w:pPr>
        <w:ind w:left="660" w:hanging="184"/>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approximately $170 million to $200 million for capital projects in Mexico, including approximately $150 million for the development of natural gas pipeline projects</w:t>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Sempra Renewables</w:t>
      </w:r>
    </w:p>
    <w:p>
      <w:pPr>
        <w:spacing w:after="0" w:line="205" w:lineRule="exact"/>
        <w:rPr>
          <w:sz w:val="20"/>
          <w:szCs w:val="20"/>
          <w:color w:val="auto"/>
        </w:rPr>
      </w:pPr>
    </w:p>
    <w:p>
      <w:pPr>
        <w:ind w:left="660" w:hanging="184"/>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approximately $400 million for investment in the first phase (150 MW) of Mesquite Solar, a solar project at our Mesquite Power plant near Arlington, Arizona</w:t>
      </w:r>
    </w:p>
    <w:p>
      <w:pPr>
        <w:spacing w:after="0" w:line="197" w:lineRule="exact"/>
        <w:rPr>
          <w:rFonts w:ascii="Arial" w:cs="Arial" w:eastAsia="Arial" w:hAnsi="Arial"/>
          <w:sz w:val="18"/>
          <w:szCs w:val="18"/>
          <w:color w:val="auto"/>
        </w:rPr>
      </w:pPr>
    </w:p>
    <w:p>
      <w:pPr>
        <w:ind w:left="660" w:right="20" w:hanging="184"/>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approximately $350 million for investment in the second phase (150 MW) of Copper Mountain Solar, a solar project located near Boulder City, Nevada</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approximately $150 million for investment in other renewable energy projects</w:t>
      </w: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Sempra Natural Gas</w:t>
      </w:r>
    </w:p>
    <w:p>
      <w:pPr>
        <w:spacing w:after="0" w:line="205" w:lineRule="exact"/>
        <w:rPr>
          <w:sz w:val="20"/>
          <w:szCs w:val="20"/>
          <w:color w:val="auto"/>
        </w:rPr>
      </w:pPr>
    </w:p>
    <w:p>
      <w:pPr>
        <w:ind w:left="660" w:hanging="184"/>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approximately $100 million for development of natural gas storage projects at Bay Gas Storage, LLC (Bay Gas) and Mississippi Hub, LLC (Mississippi Hub)</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approximately $50 million to $100 million for other natural gas projects</w:t>
      </w:r>
    </w:p>
    <w:p>
      <w:pPr>
        <w:spacing w:after="0" w:line="25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level of capital expenditures and investments in the next few years may vary substantially and will depend on the cost and availability of financing, regulatory approvals, changes in U.S. federal tax law and business opportunities providing desirable rates of return. We intend to finance our capital expenditures in a manner that will maintain our strong investment-grade credit ratings and capital structure.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2012 Change</w:t>
            </w: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2011</w:t>
            </w:r>
          </w:p>
        </w:tc>
      </w:tr>
      <w:tr>
        <w:trPr>
          <w:trHeight w:val="224"/>
        </w:trPr>
        <w:tc>
          <w:tcPr>
            <w:tcW w:w="39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960" w:type="dxa"/>
            <w:vAlign w:val="bottom"/>
          </w:tcPr>
          <w:p>
            <w:pPr>
              <w:jc w:val="right"/>
              <w:ind w:right="983"/>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1,157</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center"/>
              <w:ind w:left="681"/>
              <w:spacing w:after="0"/>
              <w:rPr>
                <w:sz w:val="20"/>
                <w:szCs w:val="20"/>
                <w:color w:val="auto"/>
              </w:rPr>
            </w:pPr>
            <w:r>
              <w:rPr>
                <w:rFonts w:ascii="Arial" w:cs="Arial" w:eastAsia="Arial" w:hAnsi="Arial"/>
                <w:sz w:val="16"/>
                <w:szCs w:val="16"/>
                <w:color w:val="auto"/>
                <w:w w:val="97"/>
              </w:rPr>
              <w:t>753</w:t>
            </w:r>
          </w:p>
        </w:tc>
        <w:tc>
          <w:tcPr>
            <w:tcW w:w="6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center"/>
              <w:ind w:left="921"/>
              <w:spacing w:after="0"/>
              <w:rPr>
                <w:sz w:val="20"/>
                <w:szCs w:val="20"/>
                <w:color w:val="auto"/>
              </w:rPr>
            </w:pPr>
            <w:r>
              <w:rPr>
                <w:rFonts w:ascii="Arial" w:cs="Arial" w:eastAsia="Arial" w:hAnsi="Arial"/>
                <w:sz w:val="16"/>
                <w:szCs w:val="16"/>
                <w:color w:val="auto"/>
              </w:rPr>
              <w:t>404</w:t>
            </w:r>
          </w:p>
        </w:tc>
      </w:tr>
      <w:tr>
        <w:trPr>
          <w:trHeight w:val="216"/>
        </w:trPr>
        <w:tc>
          <w:tcPr>
            <w:tcW w:w="3920" w:type="dxa"/>
            <w:vAlign w:val="bottom"/>
          </w:tcPr>
          <w:p>
            <w:pPr>
              <w:spacing w:after="0"/>
              <w:rPr>
                <w:sz w:val="20"/>
                <w:szCs w:val="20"/>
                <w:color w:val="auto"/>
              </w:rPr>
            </w:pPr>
            <w:r>
              <w:rPr>
                <w:rFonts w:ascii="Arial" w:cs="Arial" w:eastAsia="Arial" w:hAnsi="Arial"/>
                <w:sz w:val="16"/>
                <w:szCs w:val="16"/>
                <w:color w:val="auto"/>
              </w:rPr>
              <w:t>SDG&amp;E</w:t>
            </w:r>
          </w:p>
        </w:tc>
        <w:tc>
          <w:tcPr>
            <w:tcW w:w="2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215</w:t>
            </w:r>
          </w:p>
        </w:tc>
        <w:tc>
          <w:tcPr>
            <w:tcW w:w="400" w:type="dxa"/>
            <w:vAlign w:val="bottom"/>
          </w:tcPr>
          <w:p>
            <w:pPr>
              <w:spacing w:after="0"/>
              <w:rPr>
                <w:sz w:val="18"/>
                <w:szCs w:val="18"/>
                <w:color w:val="auto"/>
              </w:rPr>
            </w:pPr>
          </w:p>
        </w:tc>
        <w:tc>
          <w:tcPr>
            <w:tcW w:w="1580" w:type="dxa"/>
            <w:vAlign w:val="bottom"/>
          </w:tcPr>
          <w:p>
            <w:pPr>
              <w:jc w:val="center"/>
              <w:ind w:left="681"/>
              <w:spacing w:after="0"/>
              <w:rPr>
                <w:sz w:val="20"/>
                <w:szCs w:val="20"/>
                <w:color w:val="auto"/>
              </w:rPr>
            </w:pPr>
            <w:r>
              <w:rPr>
                <w:rFonts w:ascii="Arial" w:cs="Arial" w:eastAsia="Arial" w:hAnsi="Arial"/>
                <w:sz w:val="16"/>
                <w:szCs w:val="16"/>
                <w:color w:val="auto"/>
              </w:rPr>
              <w:t>(325)</w:t>
            </w:r>
          </w:p>
        </w:tc>
        <w:tc>
          <w:tcPr>
            <w:tcW w:w="640" w:type="dxa"/>
            <w:vAlign w:val="bottom"/>
          </w:tcPr>
          <w:p>
            <w:pPr>
              <w:spacing w:after="0"/>
              <w:rPr>
                <w:sz w:val="18"/>
                <w:szCs w:val="18"/>
                <w:color w:val="auto"/>
              </w:rPr>
            </w:pPr>
          </w:p>
        </w:tc>
        <w:tc>
          <w:tcPr>
            <w:tcW w:w="1360" w:type="dxa"/>
            <w:vAlign w:val="bottom"/>
          </w:tcPr>
          <w:p>
            <w:pPr>
              <w:jc w:val="center"/>
              <w:ind w:left="921"/>
              <w:spacing w:after="0"/>
              <w:rPr>
                <w:sz w:val="20"/>
                <w:szCs w:val="20"/>
                <w:color w:val="auto"/>
              </w:rPr>
            </w:pPr>
            <w:r>
              <w:rPr>
                <w:rFonts w:ascii="Arial" w:cs="Arial" w:eastAsia="Arial" w:hAnsi="Arial"/>
                <w:sz w:val="16"/>
                <w:szCs w:val="16"/>
                <w:color w:val="auto"/>
              </w:rPr>
              <w:t>540</w:t>
            </w:r>
          </w:p>
        </w:tc>
      </w:tr>
      <w:tr>
        <w:trPr>
          <w:trHeight w:val="209"/>
        </w:trPr>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2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681"/>
              <w:spacing w:after="0"/>
              <w:rPr>
                <w:sz w:val="20"/>
                <w:szCs w:val="20"/>
                <w:color w:val="auto"/>
              </w:rPr>
            </w:pPr>
            <w:r>
              <w:rPr>
                <w:rFonts w:ascii="Arial" w:cs="Arial" w:eastAsia="Arial" w:hAnsi="Arial"/>
                <w:sz w:val="16"/>
                <w:szCs w:val="16"/>
                <w:color w:val="auto"/>
                <w:w w:val="97"/>
              </w:rPr>
              <w:t>495</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901"/>
              <w:spacing w:after="0"/>
              <w:rPr>
                <w:sz w:val="20"/>
                <w:szCs w:val="20"/>
                <w:color w:val="auto"/>
              </w:rPr>
            </w:pPr>
            <w:r>
              <w:rPr>
                <w:rFonts w:ascii="Arial" w:cs="Arial" w:eastAsia="Arial" w:hAnsi="Arial"/>
                <w:sz w:val="16"/>
                <w:szCs w:val="16"/>
                <w:color w:val="auto"/>
              </w:rPr>
              <w:t>(301)</w:t>
            </w:r>
          </w:p>
        </w:tc>
      </w:tr>
      <w:tr>
        <w:trPr>
          <w:trHeight w:val="21"/>
        </w:trPr>
        <w:tc>
          <w:tcPr>
            <w:tcW w:w="39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ectPr>
          <w:pgSz w:w="11900" w:h="16838" w:orient="portrait"/>
          <w:cols w:equalWidth="0" w:num="1">
            <w:col w:w="11420"/>
          </w:cols>
          <w:pgMar w:left="240" w:top="125" w:right="239" w:bottom="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Cash provided by financing activities at Sempra Energy increased in 2012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$769 million higher issuances of debt, primarily due to an increase in issuances of long-term debt of $614 million ($1,910 million in 2012, compared to $1,296 million in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$158 million lower decrease in short-term debt;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$80 million for the redemption of subsidiary preferred stock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$197 million higher debt payments, including $455 million higher payments of commercial paper with maturities greater than 90 days, offset by $258 million lower payments on long-term debt;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$80 million increase in common dividends paid.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SDG&amp;E decreased in 2012 primarily due to:</w:t>
      </w:r>
    </w:p>
    <w:p>
      <w:pPr>
        <w:spacing w:after="0" w:line="198" w:lineRule="exact"/>
        <w:rPr>
          <w:sz w:val="20"/>
          <w:szCs w:val="20"/>
          <w:color w:val="auto"/>
        </w:rPr>
      </w:pPr>
    </w:p>
    <w:p>
      <w:pPr>
        <w:ind w:left="340" w:hanging="188"/>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$200 million capital contribution from Sempra Energy in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$99 million lower issuances of long-term debt.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SoCalGas financing activities provided cash in 2012 compared to using cash in 2011, primarily due to:</w:t>
      </w:r>
    </w:p>
    <w:p>
      <w:pPr>
        <w:spacing w:after="0" w:line="198" w:lineRule="exact"/>
        <w:rPr>
          <w:sz w:val="20"/>
          <w:szCs w:val="20"/>
          <w:color w:val="auto"/>
        </w:rPr>
      </w:pPr>
    </w:p>
    <w:p>
      <w:pPr>
        <w:ind w:left="340" w:hanging="188"/>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$348 million issuances of long-term debt in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$250 million payment of long-term debt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$100 million increase in common dividends paid.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discuss significant changes to contractual commitments at Sempra Energy, SDG&amp;E and SoCalGas in Note 10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credit ratings of Sempra Energy, SDG&amp;E and SoCalGas remained at investment grade levels during the first nine months of 2012.</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OVERVIEW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California Utilities’ performance will depend primarily on the ratemaking and regulatory process, environmental regulations, economic conditions, actions by the California legislature to address the state budget crisis and the changing energy marketplace. Their performance will also depend on the successful completion of capital projects that we discuss in various sections of this report and below. We discuss certain regulatory matters below and in Note 9 of the Notes to Condensed Consolidated Financial Statements herein and in Note 14 of the Notes to Consolidated Financial Statements in the Updated Annual Report.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SDG&amp;E may also be significantly impacted by matters at San Onofre Nuclear Generating Station (SONGS). We discuss SONGS below and in Notes 9 and 10 of the Notes to Condensed Consolidated Financial Statements herein, in Notes 6, 14 and 15 of the Notes to Consolidated Financial Statements in the Updated Annual Report, in Item 1A. Risk Factors in Part II herein, and in Risk Factors in our Form 10-K.</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ectPr>
          <w:pgSz w:w="11900" w:h="16838" w:orient="portrait"/>
          <w:cols w:equalWidth="0" w:num="1">
            <w:col w:w="11420"/>
          </w:cols>
          <w:pgMar w:left="240" w:top="125" w:right="239" w:bottom="0" w:gutter="0" w:footer="0" w:header="0"/>
        </w:sectPr>
      </w:pPr>
    </w:p>
    <w:bookmarkStart w:id="74" w:name="page75"/>
    <w:bookmarkEnd w:id="74"/>
    <w:p>
      <w:pPr>
        <w:ind w:right="120"/>
        <w:spacing w:after="0" w:line="257" w:lineRule="auto"/>
        <w:rPr>
          <w:sz w:val="20"/>
          <w:szCs w:val="20"/>
          <w:color w:val="auto"/>
        </w:rPr>
      </w:pPr>
      <w:r>
        <w:rPr>
          <w:rFonts w:ascii="Arial" w:cs="Arial" w:eastAsia="Arial" w:hAnsi="Arial"/>
          <w:sz w:val="18"/>
          <w:szCs w:val="18"/>
          <w:color w:val="auto"/>
        </w:rPr>
        <w:t>In April 2011, Sempra South American Utilities increased its investment in two utilities in South America. As anticipated, the acquisition continues to be accretive to our earnings per share. However, in connection with our increased interests in Chilquinta Energía and Luz del Sur, Sempra Energy has $1 billion in goodwill on its Consolidated Balance Sheet as of September 30, 2012. Goodwill is subject to impairment testing, annually and under other potential circumstances, which may cause its fair value to vary if differing estimates and assumptions are used in the valuation techniques applied as indicated by changing market or other conditions.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discuss the acquisition in Note 3 of the Notes to Consolidated Financial Statements in the Updated Annual Report. Sempra South American Utilities is also expected to provide earnings from construction projects when completed and other investments, but will require substantial funding for these investments.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late 2011, Chilquinta Energía initiated the process to establish their distribution rates for the period from November 2012 to October 2016. Revenues at Chilquinta Energía are based on tariffs set by the National Energy Commission (Comisión Nacional de Energía, or CNE) every four years. We expect a final decision in the fourth quarter with the new distribution rates becoming effective in November 2012.</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Sempra Renewables is developing and investing in renewable energy generation projects that have long-term contracts with utilities. The renewable energy projects have planned in-service dates ranging from 2012 to 2016. These projects require construction financing which may come from a variety of sources including operating cash flow, project financing, low-cost financing procured under the DOE’s loan guaranty program, U.S. Treasury Department cash grants, funds from the parent, partnering in joint ventures and, potentially, other forms of equity sales. The varying costs of these alternative financing sources impact the projects’ returns.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Sempra Renewables expects that its Mehoopany Wind Farm and Flat Ridge 2 Wind Farm projects will be placed in service in 2012. If all or any portion of these projects are not placed in service during 2012, Sempra Renewables’ cash flows and earnings within the next 10 years will be adversely affected as wind projects must be placed in service during 2012 in order to claim production tax credits.</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Current energy market prices are significantly lower than those under Sempra Natural Gas’ former contract with the DWR, which ended on September 30, 2011 and had provided a significant portion of Sempra Natural Gas’ revenues. Revenues from Sempra Natural Gas’ generation plants are also expected to be lower due to a decline in market demand and the sale of Sempra Natural Gas’ El Dorado natural gas generation plant to SDG&amp;E on October 1, 2011. Based on current market prices for electricity, contracts that Sempra Natural Gas enters into at its natural gas-fired plant to replace the DWR contract, if obtained, or merchant (daily) sales will provide substantially lower earnings. Because Sempra Mexico sells power from its Mexicali plant to Sempra Natural Gas, its earnings from generation have decreased and may remain at lower levels due to the completion of the DWR contract.</w:t>
      </w:r>
    </w:p>
    <w:p>
      <w:pPr>
        <w:spacing w:after="0" w:line="17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June 2011, Sempra Natural Gas entered into a 25-year contract with various members of Southwest Public Power Resources Group (SPPR Group), an association of 40 not-for-profit utilities in Arizona and southern Nevada, for 240 MW of electricity. Under the terms of the agreement, Sempra Natural Gas will provide 21 participating SPPR Group members with firm, day-ahead dispatchable power delivered to the Palo Verde hub beginning in January 2015.</w:t>
      </w:r>
    </w:p>
    <w:p>
      <w:pPr>
        <w:spacing w:after="0" w:line="1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Sempra Natural Gas, until there are firm LNG supply or capacity services contracts from third parties that would subscribe to 100 percent of the capacity of Sempra Natural Gas’ Cameron terminal, Sempra Natural Gas will seek to purchase short-term LNG supplies and sell short-term capacity, which may result in greater variability in revenues and earnings. Sempra Natural Gas is currently evaluating opportunities to utilize its assets to support the liquefaction and exportation of LNG. The objective is to obtain a long-term contract and fully utilize our existing infrastructure while minimizing our future additional capital investment. In January 2012, the DOE approved Cameron LNG’s application for an LNG export license to Free Trade Act countries. The authorization to export LNG to countries with which the U.S. does not have a Free Trade Agreement is pending review by the DOE.</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April and May 2012, Sempra Natural Gas signed commercial development agreements with Mitsubishi Corporation, Mitsui &amp; Co., Ltd., and a subsidiary of GDF SUEZ S.A. (GDF SUEZ) to develop a natural gas liquefaction export facility at the Cameron LNG terminal. The completed liquefaction facility is expected to be comprised of three liquefaction trains with a total export capability of 12 million tonnes per annum (Mtpa) of LNG, or approximately 1.7 Bcf per day. Sempra Natural Gas expects to receive the required permits from the FERC and enter into a turnkey contract in 2013 for engineering and construction services for the project. Pending regulatory approvals and the achievement of other key milestones, construction on the project is planned to start in 2013 and begin operations in 2017. The liquefaction facility will utilize Cameron LNG’s existing facilities, including two marine berths, three LNG storage tanks, and vaporization capability for regasification services of 1.5 Bcf per day. The anticipated incremental investment in the three-train liquefaction project is estimated to be approximately $6 billion, excluding capitalized interest, the majority of which will be project-financed and the balance provided by the project partners in a joint-venture arrangement.</w:t>
      </w:r>
    </w:p>
    <w:p>
      <w:pPr>
        <w:spacing w:after="0" w:line="18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commercial development agreements bind the parties to fund all development expenses, including design, permitting and engineering, as well as to negotiate 20-year tolling agreements, based on agreed-upon key terms outlined in the commercial development agreements. Each tolling agreement would be for 4 Mtpa.</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we discuss above under “Overview–Sempra Natural Gas,” Sempra Natural Gas, KMP and Phillips 66 jointly own REX. We have recorded noncash, after-tax impairment charges of $179 million and $60 million in the second and third quarters of 2012, respectively, to write down our investment in the partnership that operates REX. We discuss our investment in Rockies Express and the impairment in Notes 4 and 8 of the Notes to Condensed Consolidated Financial Statements herein.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ectPr>
          <w:pgSz w:w="11900" w:h="16838" w:orient="portrait"/>
          <w:cols w:equalWidth="0" w:num="1">
            <w:col w:w="11420"/>
          </w:cols>
          <w:pgMar w:left="240" w:top="125" w:right="239" w:bottom="201" w:gutter="0" w:footer="0" w:header="0"/>
        </w:sectPr>
      </w:pPr>
    </w:p>
    <w:bookmarkStart w:id="75" w:name="page76"/>
    <w:bookmarkEnd w:id="75"/>
    <w:p>
      <w:pPr>
        <w:ind w:right="40"/>
        <w:spacing w:after="0" w:line="272" w:lineRule="auto"/>
        <w:rPr>
          <w:sz w:val="20"/>
          <w:szCs w:val="20"/>
          <w:color w:val="auto"/>
        </w:rPr>
      </w:pPr>
      <w:r>
        <w:rPr>
          <w:rFonts w:ascii="Arial" w:cs="Arial" w:eastAsia="Arial" w:hAnsi="Arial"/>
          <w:sz w:val="17"/>
          <w:szCs w:val="17"/>
          <w:color w:val="auto"/>
        </w:rPr>
        <w:t>In three separate transactions in 2010 and one in early 2011, we and RBS sold substantially all of the businesses and assets of our commodities-marketing partnership. The investment balance of $126 million at September 30, 2012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provide additional information in Notes 4, 6 and 10 of the Notes to Condensed Consolidated Financial Statements herein and in Notes 3, 4, 5 and 15 of the Notes to Consolidated Financial Statements in the Updated Annual Report.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Joint Matters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Rate Case (GRC)</w:t>
      </w:r>
    </w:p>
    <w:p>
      <w:pPr>
        <w:spacing w:after="0" w:line="2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Both SDG&amp;E and SoCalGas have their 2012 General Rate Case (GRC) applications pending at the CPUC. The California Utilities filed their initial applications for the 2012 GRC in December 2010 to establish their authorized 2012 revenue requirements and the ratemaking mechanisms by which those requirements will change on an annual basis over the subsequent three-year (2013-2015) period. In July 2011, SDG&amp;E and SoCalGas filed revised applications and in February 2012, SDG&amp;E and SoCalGas filed amendments to update the July 2011 filing. The 2012 amendments revised the requested increases to their authorized revenue requirements, as compared to their 2011 authorized revenues, to $235 million at SDG&amp;E, of which $67 million is for the cost recovery of incremental wildfire insurance premiums, and to $268 million at SoCalGas. The Division of Ratepayer Advocates is recommending that the CPUC reduce the utilities’ revenue requirements in 2012 by approximately 5 percent compared to 2011.</w:t>
      </w:r>
    </w:p>
    <w:p>
      <w:pPr>
        <w:spacing w:after="0" w:line="17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Evidentiary hearings were completed in January 2012 and final briefs reflecting the results from these hearings were filed with the CPUC in May 2012. The current CPUC schedule indicates a final decision for the 2012 GRC, which will be made effective retroactive to January 1, 2012, by the end of 2012. However, until such time as a final decision for the 2012 GRC is issued, the California Utilities are recording revenues in 2012 based on levels authorized in 2011 plus, for SDG&amp;E, consistent with the recent CPUC decisions for cost recovery for SDG&amp;E’s incremental wildfire insurance premiums, an amount for the recovery of 2012 wildfire insurance premiums. The timing of the CPUC decision and the outcome from these proceedings will have an impact on the financial condition, operating results and cash flows of the California Utilities. If the CPUC’s final decision grants a significantly lower authorized revenue requirement, it could have a material adverse effect on the California Utilities’ cash flows, financial position and results of operations starting in 2012 as compared to 2011. Also, if the CPUC does not issue a final decision for the 2012 GRC by December 31, 2012, Sempra Energy and the California Utilities will not be able to record the retroactive impact to January 1, 2012 of the final decision in their 2012 financial results, but would reflect the impact in 2013 financial results in the period in which such final decision is issued. We provide additional information regarding the 2012 GRC in Note 9 of the Notes to Condensed Consolidated Financial Statements herein and in Note 14 of the Notes to the Consolidated Financial Statements in the Updated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Capital</w:t>
      </w:r>
    </w:p>
    <w:p>
      <w:pPr>
        <w:spacing w:after="0" w:line="2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SDG&amp;E and SoCalGas filed separate applications with the CPUC in April 2012 to update their cost of capital effective January 1, 2013. SDG&amp;E proposes to adjust its authorized capital structure by increasing the amount of its common equity from 49.0 percent to 52.0 percent. SDG&amp;E also proposes to lower its authorized return on equity (ROE) from 11.1 percent to 11.0 percent and, as reflected in its supplemental filing with the CPUC in October 2012, to lower its authorized return on rate base (ROR) from 8.40 percent to 8.15 percent. SoCalGas proposes to adjust its authorized capital structure by increasing the amount of its common equity from 48.0 percent to 52.0 percent. SoCalGas proposes to increase its authorized ROE from 10.82 percent to 10.9 percent and, as reflected in its supplemental filing with the CPUC in October 2012, to lower its authorized ROR from 8.68 percent to 8.44 percent.</w:t>
      </w:r>
    </w:p>
    <w:p>
      <w:pPr>
        <w:spacing w:after="0" w:line="16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proposed change in SDG&amp;E’s capital structure and resulting ROR would result in a decrease in its 2013 authorized revenue of approximately $9.1 million if approved by the CPUC. The proposed change in SoCalGas’ capital structure and resulting ROR would result in a decrease in its 2013 authorized revenue of approximately $0.8 million if approved by the CPUC.</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the CPUC were to approve a capital structure in the cost of capital proceedings that resulted in either SDG&amp;E’s or SoCalGas’ ROR being significantly lower than what was proposed, it could materially adversely affect the respective company’s cash flows, financial position and results of operations starting in 2013.</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SDG&amp;E proposes to continue its currently approved cost of capital adjustment mechanism, which uses a utility bond benchmark. SoCalGas proposes to switch from its current cost of capital adjustment mechanism, which is based on U.S. Treasury Bonds, to a mechanism which uses a utility bond benchmark similar to SDG&amp;E, Southern California Edison (Edison) and Pacific Gas and Electric Company (PG&amp;E). We provide more information about the cost of capital proceedings in Note 9 of the Notes to Condensed Consolidated Financial Statements herein.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Pipeline Operations Safety Assessments</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PG&amp;E and Southwest Gas filed implementation plans with the CPUC to test or replace all natural gas transmission pipelines that have not been pressure tested, as we discuss in Note 14 of the Notes to Consolidated Financial Statements in the Updated Annual Report. The California Utilities are currently estimating that the total cost for Phase 1 of the two-phase plan is $3.1 billion over a 10-year period.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are outside the scope of the 2012 GRC proceedings discussed above. If the CPUC were to decide that the incremental capital investment not be considered as incremental rate base outside the GRC process or that this incremental capital investment earn an ROR lower than what is otherwise authorized, it could materially adversely affect the respective company’s cash flows, financial position and results of operations upon commencement of this program. We provide additional information in Note 9 of the Notes to Condensed Consolidated Financial Statements herein.</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Matters</w:t>
      </w: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Wildfire Litigation</w:t>
      </w:r>
    </w:p>
    <w:p>
      <w:pPr>
        <w:sectPr>
          <w:pgSz w:w="11900" w:h="16838" w:orient="portrait"/>
          <w:cols w:equalWidth="0" w:num="1">
            <w:col w:w="11420"/>
          </w:cols>
          <w:pgMar w:left="240" w:top="125" w:right="239" w:bottom="0" w:gutter="0" w:footer="0" w:header="0"/>
          <w:type w:val="continuous"/>
        </w:sectPr>
      </w:pPr>
    </w:p>
    <w:bookmarkStart w:id="76" w:name="page77"/>
    <w:bookmarkEnd w:id="76"/>
    <w:p>
      <w:pPr>
        <w:ind w:right="20"/>
        <w:spacing w:after="0" w:line="288" w:lineRule="auto"/>
        <w:rPr>
          <w:sz w:val="20"/>
          <w:szCs w:val="20"/>
          <w:color w:val="auto"/>
        </w:rPr>
      </w:pPr>
      <w:r>
        <w:rPr>
          <w:rFonts w:ascii="Arial" w:cs="Arial" w:eastAsia="Arial" w:hAnsi="Arial"/>
          <w:sz w:val="16"/>
          <w:szCs w:val="16"/>
          <w:color w:val="auto"/>
        </w:rPr>
        <w:t>In regard to the 2007 wildfire litigation, SDG&amp;E’s settlement of claims and the estimate of outstanding claims and legal fees is approximately $2.3 billion, which is in excess of the $1.1 billion of liability insurance coverage and the approximately $824 million received or receivable from third parties. However, SDG&amp;E has concluded that it is probable that it will be permitted to recover from its utility customers substantially all reasonably incurred costs of resolving wildfire claims in excess of its liability insurance coverage and amounts recovered from other responsible parties. Consequently, Sempra Energy and SDG&amp;E expect no significant earnings impact from the resolution of the remaining wildfire claims. As of September 30, 2012, Sempra Energy’s and SDG&amp;E’s Condensed Consolidated Balance Sheets reflect $326 million in Regulatory Assets Arising From Wildfire Litigation Costs, including $292 million related to CPUC operations, for costs incurred and the estimated settlement of pending claims. However, SDG&amp;E’s cash flow may be materially adversely affected by timing differences between the resolution of claims and recoveries from utility customers, which may extend over a number of years. In addition, recovery from customers will require future regulatory actions,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6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recoveries from utility customers and will make appropriate adjustments to wildfire reserves and the related regulatory assets as additional information becomes available.</w:t>
      </w:r>
    </w:p>
    <w:p>
      <w:pPr>
        <w:spacing w:after="0" w:line="12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Should SDG&amp;E conclude that the amount of recovery of excess wildfire costs from utility customers is no longer reasonably estimable or that recovery is no longer probable, at that time SDG&amp;E will record a charge against earnings. In addition, in periods following any such conclusion by SDG&amp;E that recovery is no longer probable, Sempra Energy’s and SDG&amp;E’s earnings will be adversely impacted by increases in the estimated costs to settle pending wildfire claims.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provide additional information concerning these matters in Notes 9 and 10 of the Notes to Condensed Consolidated Financial Statements herein and in Notes 14 and 15 of the Notes to Consolidated Financial Statements in the Updated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SONGS</w:t>
      </w:r>
    </w:p>
    <w:p>
      <w:pPr>
        <w:spacing w:after="0" w:line="2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a result of the extended outage at SONGS, the CPUC has issued an Order Instituting Investigation (OII) to determine whether SDG&amp;E should remove from customer rates some or all revenue requirement associated with the portion of the facility that is out of service. This OII will consolidate all SONGS issues from related regulatory proceedings and consider the appropriate cost recovery for SONGS, including among other costs, the cost of the steam generator replacement project, replacement power costs, capital expenditures, operation and maintenance costs and seismic study costs. The OII requires that all costs related to SONGS incurred since January 1, 2012 be tracked in a separate memorandum account, with all revenues collected in recovery of such costs subject to refund, and will address the extent to which such revenues, if any, will be required to be refunded to customers.</w:t>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Currently, SDG&amp;E is collecting in customer rates its share of the operating costs, depreciation and return on its investment in SONGS. For the nine-month period ended September 30, 2012, SDG&amp;E has recognized (and collected through customer rates) an estimated $153 million of revenue associated with its investment in SONGS and operating costs. At September 30, 2012, SDG&amp;E’s weighted average rate base investment in SONGS was approximately $220 million and its net book investment, including construction work in progress and nuclear fuel was $485 million. If the CPUC were to order SDG&amp;E to remove all or most of the authorized revenue requirement associated with SONGS from customer rates, refund all or most of the revenue from its investment in SONGS charged to customers since January 1, 2012, or remove all or most of SDG&amp;E’s rate base investment in SONGS from its rate base, it would likely have a material adverse effect on Sempra Energy’s and SDG&amp;E’s financial condition, cash flows and results of operations.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provide additional information concerning SONGS in Notes 9 and 10 of the Notes to Condensed Consolidated Financial Statements herein and in Notes 6, 14 and 15 of the Notes to Consolidated Financial Statements in the Updated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discuss additional potential and expected impacts of the 2010 Tax Act on our income tax expense, earnings and cash flows in “Results of Operations – Changes in Revenues, Costs and Earnings – Income Taxes” above.</w:t>
      </w:r>
    </w:p>
    <w:p>
      <w:pPr>
        <w:spacing w:after="0" w:line="1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may be further impacted by depressed and rapidly changing economic conditions. Moreover, the dollar has fluctuated significantly compared to some foreign currencies, especially in Mexico and South America where we have significant operations. We discuss foreign currency rate risk further under “Market Risk – Foreign Currency Rate Risk” in “Management’s Discussion and Analysis of Financial Condition and Results of Operations” in the Updated Annual Report.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discuss additional matters that could affect our future performance in Notes 9 and 10 of the Notes to Condensed Consolidated Financial Statements herein and in Notes 14 and 15 of the Notes to Consolidated Financial Statements in the Updated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DERIVATIVES REFORMS</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describe legal proceedings which could adversely affect our future performance in Note 10 of the Notes to Condensed Consolidated Financial Statements herein.</w:t>
      </w:r>
    </w:p>
    <w:p>
      <w:pPr>
        <w:sectPr>
          <w:pgSz w:w="11900" w:h="16838" w:orient="portrait"/>
          <w:cols w:equalWidth="0" w:num="1">
            <w:col w:w="11400"/>
          </w:cols>
          <w:pgMar w:left="240" w:top="341" w:right="259" w:bottom="0" w:gutter="0" w:footer="0" w:header="0"/>
        </w:sectPr>
      </w:pPr>
    </w:p>
    <w:bookmarkStart w:id="77" w:name="page78"/>
    <w:bookmarkEnd w:id="77"/>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 – INDUSTRY DEVELOPMENTS AND CAPITAL PROJECTS</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our business in Note 9 of the Notes to Condensed Consolidated Financial Statements herein and in Note 14 of the Notes to Consolidated Financial Statements in the Updated Annual Report.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INTERNATIONAL AND SEMPRA U.S. GAS &amp; POWER INVESTMENTS</w:t>
      </w:r>
    </w:p>
    <w:p>
      <w:pPr>
        <w:spacing w:after="0" w:line="23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Updated Annual Report.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Santa Teresa</w:t>
      </w:r>
    </w:p>
    <w:p>
      <w:pPr>
        <w:spacing w:after="0" w:line="20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May 2011, groundbreaking took place for Santa Teresa, a project at Luz del Sur to build a 98-MW hydroelectric power plant in Peru’s Cusco region. It is planned to be completed in 2014.</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Projects</w:t>
      </w:r>
    </w:p>
    <w:p>
      <w:pPr>
        <w:spacing w:after="0" w:line="205" w:lineRule="exact"/>
        <w:rPr>
          <w:sz w:val="20"/>
          <w:szCs w:val="20"/>
          <w:color w:val="auto"/>
        </w:rPr>
      </w:pPr>
    </w:p>
    <w:p>
      <w:pPr>
        <w:jc w:val="both"/>
        <w:ind w:right="100"/>
        <w:spacing w:after="0" w:line="324" w:lineRule="auto"/>
        <w:rPr>
          <w:sz w:val="20"/>
          <w:szCs w:val="20"/>
          <w:color w:val="auto"/>
        </w:rPr>
      </w:pPr>
      <w:r>
        <w:rPr>
          <w:rFonts w:ascii="Arial" w:cs="Arial" w:eastAsia="Arial" w:hAnsi="Arial"/>
          <w:sz w:val="16"/>
          <w:szCs w:val="16"/>
          <w:color w:val="auto"/>
        </w:rPr>
        <w:t>In May 2012, Chilquinta Energía, in a joint venture with Sociedad Austral de Electricidad Sociedad Anonima (SAESA), was awarded two 220-kilovolt (kV) transmission lines in Chile. The transmission lines will extend 150 miles, and we estimate it will cost approximately $160 million and be completed in 2017.</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05"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In April 2011, SDG&amp;E entered into a 20-year contract for up to 156 MW of renewable power supplied from the first phase of Sempra Mexico’s Energía Sierra Juárez wind project in Baja California, Mexico. The contract was approved by the CPUC in March 2012 and by the FERC in July 2012. We expect construction on the project to begin in 2013, and the project to be fully operational in 2014.</w:t>
      </w:r>
    </w:p>
    <w:p>
      <w:pPr>
        <w:spacing w:after="0" w:line="169"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Sempra Mexico intends to develop the project within the framework of a joint venture, and is working on an agreement for the sale of a 50-percent partnership interest in the current phase of the project to BP Wind Energy.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Pipeline Projects</w:t>
      </w:r>
    </w:p>
    <w:p>
      <w:pPr>
        <w:spacing w:after="0" w:line="205"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 October 2012, Sempra Mexico was awarded two contracts by CFE to build and operate an approximately 500-mile pipeline network to transport natural gas from the US-Mexico border south of Tucson, Arizona through the Mexican state of Sonora to the northern part of the Mexican state of Sinaloa along the Gulf of California. The network will be comprised of two segments that will interconnect to the U.S. interstate pipeline system. We estimate it will cost approximately $1 billion and be completed by the second half of 2016. The capacity is fully contracted by CFE under two 25-year contracts denominated in U.S. dollars. Our ability to secure rights of way and construct the lines within budgeted amounts will impact future performance.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20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Copper Mountain Solar is a photovoltaic generation facility operated and under development by Sempra Renewables in Boulder City, Nevada. If fully developed, the project will be capable of producing up to approximately 450 MW of solar power; it is being developed in multiple phases as contracted. Copper Mountain Solar is comprised of two separate projects. Copper Mountain Solar 1 is a 58-MW photovoltaic generation facility currently in operation, and now includes the 10-MW facility previously referred to as El Dorado Solar.</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Copper Mountain Solar 2 (CMS 2) began construction in December 2011 and will total 150 MW when completed. CMS 2 is divided into two phases, with the first phase of 92 MW planned to be placed in service by the end of 2012 and the remaining 58 MW planned to be placed in service in 2015. PG&amp;E has contracted for all of the solar power at CMS 2 for 25 years.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Mesquite Solar is a photovoltaic generation facility under development by Sempra Renewables in Maricopa County, Arizona. If fully developed, the project will be capable of producing up to approximately 700 MW of solar power. Construction on the first phase (Mesquite Solar 1) of 150 MW began in June 2011 and is expected to be placed in service by the end of 2012. In December 2011, Mesquite Solar 1 began delivering 42 MW of electricity to the grid. At September 30, 2012, the project is at 126 MW of capacity. PG&amp;E has contracted for all of the solar power at Mesquite Solar 1 for 20 years.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Auwahi Wind</w:t>
      </w:r>
    </w:p>
    <w:p>
      <w:pPr>
        <w:spacing w:after="0" w:line="20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Auwahi Wind project, in the southeastern region of Maui, is a joint venture with BP Wind Energy. The project has a 20-year contract with Maui Electric Company to provide 21 MW of wind energy. Significant project costs were incurred during late 2011, and physical construction began on the project in March 2012. We expect the project to be placed in service by the end of 2012.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Mehoopany Wind Farm</w:t>
      </w:r>
    </w:p>
    <w:p>
      <w:pPr>
        <w:spacing w:after="0" w:line="205"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In December 2011, Sempra Renewables entered into a joint venture with BP Wind Energy to develop the Mehoopany Wind Farm in Wyoming County, Pennsylvania, which is expected to generate up to 141 MW of energy. The power output from the wind farm has been sold under 20-year contracts to Old</w:t>
      </w:r>
    </w:p>
    <w:p>
      <w:pPr>
        <w:sectPr>
          <w:pgSz w:w="11900" w:h="16867" w:orient="portrait"/>
          <w:cols w:equalWidth="0" w:num="1">
            <w:col w:w="11400"/>
          </w:cols>
          <w:pgMar w:left="240" w:top="333" w:right="259" w:bottom="0" w:gutter="0" w:footer="0" w:header="0"/>
        </w:sectPr>
      </w:pPr>
    </w:p>
    <w:bookmarkStart w:id="78" w:name="page79"/>
    <w:bookmarkEnd w:id="78"/>
    <w:p>
      <w:pPr>
        <w:ind w:right="60"/>
        <w:spacing w:after="0" w:line="262" w:lineRule="auto"/>
        <w:rPr>
          <w:sz w:val="20"/>
          <w:szCs w:val="20"/>
          <w:color w:val="auto"/>
        </w:rPr>
      </w:pPr>
      <w:r>
        <w:rPr>
          <w:rFonts w:ascii="Arial" w:cs="Arial" w:eastAsia="Arial" w:hAnsi="Arial"/>
          <w:sz w:val="18"/>
          <w:szCs w:val="18"/>
          <w:color w:val="auto"/>
        </w:rPr>
        <w:t>Dominion Electric Cooperative and Southern Maryland Electric Cooperative Inc. The wind farm is in full construction and we expect the project to be placed in service by the end of 2012.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Flat Ridge 2 Wind Farm</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December 2011, Sempra Renewables entered into a joint venture with BP Wind Energy to develop the Flat Ridge 2 Wind Farm near Wichita, Kansas, which is expected to generate up to 419 MW of energy. The power output from the wind farm has been sold under three contracts for 20 to 25 year terms, including contracts with Associated Electric Cooperative, Inc. and Southwestern Electric Power Company, and construction began in April 2012. In June 2012, Sempra Renewables entered into an agreement with BP Wind Energy for a 51-MW expansion of Flat Ridge 2, the power output of which has been sold under a purchase power agreement with Arkansas Electric Cooperative approved by the Rural Utilities Service in April 2012. We expect both the original 419-MW and 51-MW expansion of Flat Ridge 2 to be placed in service by the end of 2012.</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Sempra Natural Gas has 30 Bcf of operational working natural gas storage capacity. We are currently developing another 13 Bcf of capacity with planned in-service dates through 2013 and may, over the long term, develop as much as 76 Bcf of total storage 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natural gas storage facilities and projects include</w:t>
      </w:r>
    </w:p>
    <w:p>
      <w:pPr>
        <w:spacing w:after="0" w:line="225" w:lineRule="exact"/>
        <w:rPr>
          <w:sz w:val="20"/>
          <w:szCs w:val="20"/>
          <w:color w:val="auto"/>
        </w:rPr>
      </w:pPr>
    </w:p>
    <w:p>
      <w:pPr>
        <w:jc w:val="both"/>
        <w:ind w:left="340" w:hanging="188"/>
        <w:spacing w:after="0" w:line="264"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08" w:lineRule="exact"/>
        <w:rPr>
          <w:rFonts w:ascii="Arial" w:cs="Arial" w:eastAsia="Arial" w:hAnsi="Arial"/>
          <w:sz w:val="18"/>
          <w:szCs w:val="18"/>
          <w:color w:val="auto"/>
        </w:rPr>
      </w:pPr>
    </w:p>
    <w:p>
      <w:pPr>
        <w:ind w:left="340" w:right="20" w:hanging="188"/>
        <w:spacing w:after="0" w:line="342" w:lineRule="auto"/>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0" w:lineRule="exact"/>
        <w:rPr>
          <w:rFonts w:ascii="Arial" w:cs="Arial" w:eastAsia="Arial" w:hAnsi="Arial"/>
          <w:sz w:val="16"/>
          <w:szCs w:val="16"/>
          <w:color w:val="auto"/>
        </w:rPr>
      </w:pPr>
    </w:p>
    <w:p>
      <w:pPr>
        <w:jc w:val="both"/>
        <w:ind w:left="340" w:hanging="188"/>
        <w:spacing w:after="0" w:line="264"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LA Storage, previously referred to as Liberty natural gas storage expansion,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w:t>
      </w:r>
    </w:p>
    <w:p>
      <w:pPr>
        <w:spacing w:after="0" w:line="205"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color w:val="auto"/>
        </w:rPr>
        <w:t xml:space="preserve">In April and May 2012, Sempra Natural Gas signed commercial development agreements with Mitsubishi Corporation, Mitsui &amp; Co., Ltd., and GDF SUEZ to develop a natural gas liquefaction export facility at the site of its Cameron LNG terminal in Hackberry, Louisiana. We discuss these agreements above in “Factors Influencing Future Performance </w:t>
      </w:r>
      <w:r>
        <w:rPr>
          <w:rFonts w:ascii="Arial" w:cs="Arial" w:eastAsia="Arial" w:hAnsi="Arial"/>
          <w:sz w:val="19"/>
          <w:szCs w:val="19"/>
          <w:i w:val="1"/>
          <w:iCs w:val="1"/>
          <w:color w:val="auto"/>
        </w:rPr>
        <w:t>–</w:t>
      </w:r>
      <w:r>
        <w:rPr>
          <w:rFonts w:ascii="Arial" w:cs="Arial" w:eastAsia="Arial" w:hAnsi="Arial"/>
          <w:sz w:val="18"/>
          <w:szCs w:val="18"/>
          <w:color w:val="auto"/>
        </w:rPr>
        <w:t xml:space="preserve"> Sempra Energy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Updated Annual Report.</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Updated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19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an impact on our financial statements and/or disclosures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9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Updated Annual Report.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table below shows the nominal amount and the one-year VaR for long-term debt, excluding commercial paper classified as long-term debt, capital lease obligations and interest rate swaps, and before reductions for unamortized discount, at September 30, 2012 and December 31, 2011:</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Arial" w:cs="Arial" w:eastAsia="Arial" w:hAnsi="Arial"/>
                <w:sz w:val="14"/>
                <w:szCs w:val="14"/>
                <w:color w:val="auto"/>
              </w:rPr>
              <w:t>Sempra Energy</w:t>
            </w: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Consolidated</w:t>
            </w:r>
          </w:p>
        </w:tc>
        <w:tc>
          <w:tcPr>
            <w:tcW w:w="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SDG&amp;E</w:t>
            </w:r>
          </w:p>
        </w:tc>
        <w:tc>
          <w:tcPr>
            <w:tcW w:w="8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221"/>
        </w:trPr>
        <w:tc>
          <w:tcPr>
            <w:tcW w:w="41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180" w:type="dxa"/>
            <w:vAlign w:val="bottom"/>
          </w:tcPr>
          <w:p>
            <w:pPr>
              <w:jc w:val="center"/>
              <w:spacing w:after="0"/>
              <w:rPr>
                <w:sz w:val="20"/>
                <w:szCs w:val="20"/>
                <w:color w:val="auto"/>
              </w:rPr>
            </w:pPr>
            <w:r>
              <w:rPr>
                <w:rFonts w:ascii="Arial" w:cs="Arial" w:eastAsia="Arial" w:hAnsi="Arial"/>
                <w:sz w:val="14"/>
                <w:szCs w:val="14"/>
                <w:color w:val="auto"/>
              </w:rPr>
              <w:t>Nominal</w:t>
            </w:r>
          </w:p>
        </w:tc>
        <w:tc>
          <w:tcPr>
            <w:tcW w:w="1260" w:type="dxa"/>
            <w:vAlign w:val="bottom"/>
          </w:tcPr>
          <w:p>
            <w:pPr>
              <w:jc w:val="center"/>
              <w:spacing w:after="0"/>
              <w:rPr>
                <w:sz w:val="20"/>
                <w:szCs w:val="20"/>
                <w:color w:val="auto"/>
              </w:rPr>
            </w:pPr>
            <w:r>
              <w:rPr>
                <w:rFonts w:ascii="Arial" w:cs="Arial" w:eastAsia="Arial" w:hAnsi="Arial"/>
                <w:sz w:val="14"/>
                <w:szCs w:val="14"/>
                <w:color w:val="auto"/>
              </w:rPr>
              <w:t>One-Year</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Nominal</w:t>
            </w:r>
          </w:p>
        </w:tc>
        <w:tc>
          <w:tcPr>
            <w:tcW w:w="1540" w:type="dxa"/>
            <w:vAlign w:val="bottom"/>
          </w:tcPr>
          <w:p>
            <w:pPr>
              <w:jc w:val="center"/>
              <w:ind w:left="188"/>
              <w:spacing w:after="0"/>
              <w:rPr>
                <w:sz w:val="20"/>
                <w:szCs w:val="20"/>
                <w:color w:val="auto"/>
              </w:rPr>
            </w:pPr>
            <w:r>
              <w:rPr>
                <w:rFonts w:ascii="Arial" w:cs="Arial" w:eastAsia="Arial" w:hAnsi="Arial"/>
                <w:sz w:val="14"/>
                <w:szCs w:val="14"/>
                <w:color w:val="auto"/>
                <w:w w:val="98"/>
              </w:rPr>
              <w:t>One-Year</w:t>
            </w:r>
          </w:p>
        </w:tc>
        <w:tc>
          <w:tcPr>
            <w:tcW w:w="860" w:type="dxa"/>
            <w:vAlign w:val="bottom"/>
          </w:tcPr>
          <w:p>
            <w:pPr>
              <w:jc w:val="center"/>
              <w:ind w:left="228"/>
              <w:spacing w:after="0"/>
              <w:rPr>
                <w:sz w:val="20"/>
                <w:szCs w:val="20"/>
                <w:color w:val="auto"/>
              </w:rPr>
            </w:pPr>
            <w:r>
              <w:rPr>
                <w:rFonts w:ascii="Arial" w:cs="Arial" w:eastAsia="Arial" w:hAnsi="Arial"/>
                <w:sz w:val="14"/>
                <w:szCs w:val="14"/>
                <w:color w:val="auto"/>
              </w:rPr>
              <w:t>Nominal</w:t>
            </w:r>
          </w:p>
        </w:tc>
        <w:tc>
          <w:tcPr>
            <w:tcW w:w="1580" w:type="dxa"/>
            <w:vAlign w:val="bottom"/>
          </w:tcPr>
          <w:p>
            <w:pPr>
              <w:jc w:val="center"/>
              <w:ind w:left="268"/>
              <w:spacing w:after="0"/>
              <w:rPr>
                <w:sz w:val="20"/>
                <w:szCs w:val="20"/>
                <w:color w:val="auto"/>
              </w:rPr>
            </w:pPr>
            <w:r>
              <w:rPr>
                <w:rFonts w:ascii="Arial" w:cs="Arial" w:eastAsia="Arial" w:hAnsi="Arial"/>
                <w:sz w:val="14"/>
                <w:szCs w:val="14"/>
                <w:color w:val="auto"/>
                <w:w w:val="98"/>
              </w:rPr>
              <w:t>One-Year</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Debt</w:t>
            </w:r>
          </w:p>
        </w:tc>
        <w:tc>
          <w:tcPr>
            <w:tcW w:w="12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VaR(1)</w:t>
            </w:r>
          </w:p>
        </w:tc>
        <w:tc>
          <w:tcPr>
            <w:tcW w:w="900" w:type="dxa"/>
            <w:vAlign w:val="bottom"/>
            <w:tcBorders>
              <w:bottom w:val="single" w:sz="8" w:color="auto"/>
            </w:tcBorders>
          </w:tcPr>
          <w:p>
            <w:pPr>
              <w:jc w:val="center"/>
              <w:ind w:left="208"/>
              <w:spacing w:after="0" w:line="157" w:lineRule="exact"/>
              <w:rPr>
                <w:sz w:val="20"/>
                <w:szCs w:val="20"/>
                <w:color w:val="auto"/>
              </w:rPr>
            </w:pPr>
            <w:r>
              <w:rPr>
                <w:rFonts w:ascii="Arial" w:cs="Arial" w:eastAsia="Arial" w:hAnsi="Arial"/>
                <w:sz w:val="14"/>
                <w:szCs w:val="14"/>
                <w:color w:val="auto"/>
              </w:rPr>
              <w:t>Debt</w:t>
            </w:r>
          </w:p>
        </w:tc>
        <w:tc>
          <w:tcPr>
            <w:tcW w:w="1540" w:type="dxa"/>
            <w:vAlign w:val="bottom"/>
            <w:tcBorders>
              <w:bottom w:val="single" w:sz="8" w:color="auto"/>
            </w:tcBorders>
          </w:tcPr>
          <w:p>
            <w:pPr>
              <w:jc w:val="center"/>
              <w:ind w:left="188"/>
              <w:spacing w:after="0" w:line="157" w:lineRule="exact"/>
              <w:rPr>
                <w:sz w:val="20"/>
                <w:szCs w:val="20"/>
                <w:color w:val="auto"/>
              </w:rPr>
            </w:pPr>
            <w:r>
              <w:rPr>
                <w:rFonts w:ascii="Arial" w:cs="Arial" w:eastAsia="Arial" w:hAnsi="Arial"/>
                <w:sz w:val="14"/>
                <w:szCs w:val="14"/>
                <w:color w:val="auto"/>
                <w:w w:val="99"/>
              </w:rPr>
              <w:t>VaR(1)</w:t>
            </w:r>
          </w:p>
        </w:tc>
        <w:tc>
          <w:tcPr>
            <w:tcW w:w="860" w:type="dxa"/>
            <w:vAlign w:val="bottom"/>
            <w:tcBorders>
              <w:bottom w:val="single" w:sz="8" w:color="auto"/>
            </w:tcBorders>
          </w:tcPr>
          <w:p>
            <w:pPr>
              <w:jc w:val="center"/>
              <w:ind w:left="248"/>
              <w:spacing w:after="0" w:line="157" w:lineRule="exact"/>
              <w:rPr>
                <w:sz w:val="20"/>
                <w:szCs w:val="20"/>
                <w:color w:val="auto"/>
              </w:rPr>
            </w:pPr>
            <w:r>
              <w:rPr>
                <w:rFonts w:ascii="Arial" w:cs="Arial" w:eastAsia="Arial" w:hAnsi="Arial"/>
                <w:sz w:val="14"/>
                <w:szCs w:val="14"/>
                <w:color w:val="auto"/>
              </w:rPr>
              <w:t>Debt</w:t>
            </w:r>
          </w:p>
        </w:tc>
        <w:tc>
          <w:tcPr>
            <w:tcW w:w="1580" w:type="dxa"/>
            <w:vAlign w:val="bottom"/>
            <w:tcBorders>
              <w:bottom w:val="single" w:sz="8" w:color="auto"/>
            </w:tcBorders>
          </w:tcPr>
          <w:p>
            <w:pPr>
              <w:jc w:val="center"/>
              <w:ind w:left="268"/>
              <w:spacing w:after="0" w:line="157" w:lineRule="exact"/>
              <w:rPr>
                <w:sz w:val="20"/>
                <w:szCs w:val="20"/>
                <w:color w:val="auto"/>
              </w:rPr>
            </w:pPr>
            <w:r>
              <w:rPr>
                <w:rFonts w:ascii="Arial" w:cs="Arial" w:eastAsia="Arial" w:hAnsi="Arial"/>
                <w:sz w:val="14"/>
                <w:szCs w:val="14"/>
                <w:color w:val="auto"/>
                <w:w w:val="99"/>
              </w:rPr>
              <w:t>VaR(1)</w:t>
            </w: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color w:val="auto"/>
        </w:rPr>
        <w:t>At September 30, 2012:</w:t>
      </w:r>
    </w:p>
    <w:p>
      <w:pPr>
        <w:sectPr>
          <w:pgSz w:w="11900" w:h="16838" w:orient="portrait"/>
          <w:cols w:equalWidth="0" w:num="1">
            <w:col w:w="11420"/>
          </w:cols>
          <w:pgMar w:left="240" w:top="125" w:right="239"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344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5,452</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830</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3,790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622</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1,662</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6"/>
        </w:trPr>
        <w:tc>
          <w:tcPr>
            <w:tcW w:w="344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347</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440" w:type="dxa"/>
            <w:vAlign w:val="bottom"/>
          </w:tcPr>
          <w:p>
            <w:pPr>
              <w:ind w:left="180"/>
              <w:spacing w:after="0"/>
              <w:rPr>
                <w:sz w:val="20"/>
                <w:szCs w:val="20"/>
                <w:color w:val="auto"/>
              </w:rPr>
            </w:pPr>
            <w:r>
              <w:rPr>
                <w:rFonts w:ascii="Arial" w:cs="Arial" w:eastAsia="Arial" w:hAnsi="Arial"/>
                <w:sz w:val="16"/>
                <w:szCs w:val="16"/>
                <w:color w:val="auto"/>
              </w:rPr>
              <w:t>All other, fixed-rate and variable-rate</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5,906</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387</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3440" w:type="dxa"/>
            <w:vAlign w:val="bottom"/>
          </w:tcPr>
          <w:p>
            <w:pPr>
              <w:spacing w:after="0"/>
              <w:rPr>
                <w:sz w:val="20"/>
                <w:szCs w:val="20"/>
                <w:color w:val="auto"/>
              </w:rPr>
            </w:pPr>
            <w:r>
              <w:rPr>
                <w:rFonts w:ascii="Arial" w:cs="Arial" w:eastAsia="Arial" w:hAnsi="Arial"/>
                <w:sz w:val="16"/>
                <w:szCs w:val="16"/>
                <w:color w:val="auto"/>
              </w:rPr>
              <w:t>At December 31, 2011:</w:t>
            </w: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5"/>
        </w:trPr>
        <w:tc>
          <w:tcPr>
            <w:tcW w:w="344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4,617</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782</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3,304</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623</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1,313</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6"/>
        </w:trPr>
        <w:tc>
          <w:tcPr>
            <w:tcW w:w="344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591</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591</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4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All other, fixed-rate and variable-rate</w:t>
            </w:r>
          </w:p>
        </w:tc>
        <w:tc>
          <w:tcPr>
            <w:tcW w:w="1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September 30, 2012, the net notional amount of interest rate swap transactions ranged from $6 million to $369 million at Sempra Energy (ranges relate to the tenor of the various hedging instruments). 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234"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We discuss our foreign currency rate risk in detail in “Management’s Discussion and Analysis of Financial Condition and Results of Operations” in the Updated Annual Report. At September 30, 2012, there were no significant changes to our exposure to foreign currency rate risk since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8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September 30, 2012,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and Notes 14 and 15 of the Notes to Consolidated Financial Statements in the Updated Annual Report, or 2) referred to in “Management's Discussion and Analysis of Financial Condition and Results of Operations” herein and in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supplements the risk factors set forth in our Annual Report on Form 10-K for the year ended December 31, 2011.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Recovery of 2007 Wildfire Litigation Costs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SDG&amp;E is subject to numerous lawsuits arising out of the San Diego County wildfires in 2007. To date, SDG&amp;E’s costs to settle these claims and 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settlement costs and defense costs have exceeded its $1.1 billion of liability insurance coverage and the approximately $824 million received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receivable from other responsible parties. SDG&amp;E is seeking to recover from its utility customers substantially all of its reasonably incurred costs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resolving 2007 wildfire claims in excess of its liability insurance coverage and amounts recovered from other responsible parties. SDG&amp;E has concluded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 is probable that SDG&amp;E will be permitted to recover these excess costs from its utility customers, and at September 30, 2012, Sempra Energy’s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SDG&amp;E’s Condensed Consolidated Balance Sheets include assets of $326 million in Regulatory Assets Arising From Wildfire Litigation Costs,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$292 million is related to CPUC operations, with respect to these excess costs. However, recovery of these amounts from utility customers will require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regulatory actions.</w:t>
      </w:r>
    </w:p>
    <w:p>
      <w:pPr>
        <w:sectPr>
          <w:pgSz w:w="11900" w:h="16838" w:orient="portrait"/>
          <w:cols w:equalWidth="0" w:num="1">
            <w:col w:w="11420"/>
          </w:cols>
          <w:pgMar w:left="240" w:top="128" w:right="239" w:bottom="0" w:gutter="0" w:footer="0" w:header="0"/>
        </w:sectPr>
      </w:pPr>
    </w:p>
    <w:bookmarkStart w:id="80" w:name="page81"/>
    <w:bookmarkEnd w:id="80"/>
    <w:p>
      <w:pPr>
        <w:ind w:right="40"/>
        <w:spacing w:after="0" w:line="286" w:lineRule="auto"/>
        <w:rPr>
          <w:sz w:val="20"/>
          <w:szCs w:val="20"/>
          <w:color w:val="auto"/>
        </w:rPr>
      </w:pPr>
      <w:r>
        <w:rPr>
          <w:rFonts w:ascii="Arial" w:cs="Arial" w:eastAsia="Arial" w:hAnsi="Arial"/>
          <w:sz w:val="16"/>
          <w:szCs w:val="16"/>
          <w:color w:val="auto"/>
        </w:rPr>
        <w:t>In August 2009, SDG&amp;E and SoCalGas filed an application with the CPUC proposing a new mechanism for the future recovery of all wildfire-related expenses for claims, litigation expenses and insurance premiums that are in excess of amounts authorized by the CPUC for recovery in distribution rates. In October 2012, the Administrative Law Judge’s draft decision (the Proposed Decision or PD) and the Assigned Commissioner’s alternate draft decision (the Alternate Decision or AD) in this proceeding were issued. The PD rejects SDG&amp;E’s and SoCalGas’ request for a new balancing account and cost recovery mechanism. The AD approves SDG&amp;E’s and SoCalGas’ request for a new balancing account and cost recovery mechanism, but only for wildfire events that occur after July 2010 and only for wildfires for which the utility is found not to be at fault. The AD also directs SDG&amp;E to remove any amounts recorded in the balancing account associated with the 2007 wildfires. Following the issuance of the PD and the AD and consistent with CPUC rules and procedures, SDG&amp;E requested an ex parte meeting with the Assigned Commissioner and staff. The request was granted, and the ex parte meeting was held on October 29, 2012. At the meeting, SDG&amp;E provided information to the Assigned Commissioner addressing key issues from the AD that SDG&amp;E believes contradict prior CPUC rulings and decisions. While there can be no assurance that the Assigned Commissioner will amend the AD, given the relevant regulatory and statutory standards and the issues discussed at the ex parte meeting, SDG&amp;E has concluded that it remains probable that SDG&amp;E will be permitted to recover from ratepayers substantially all of its reasonably incurred costs associated with the 2007 wildfires that exceed the amounts recovered from its insurance coverage and other responsible third parties. For a description of this proceeding and information about 2007 wildfire litigation costs and their recovery, see Notes 9 and 10 of the Notes to Condensed Consolidated Financial Statements included in Part I—Item 1 of this report.</w:t>
      </w:r>
    </w:p>
    <w:p>
      <w:pPr>
        <w:spacing w:after="0" w:line="17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SDG&amp;E will continue to assess the recovery of these excess wildfire costs from ratepayers. Should SDG&amp;E conclude that the amount of the recovery from ratepayers is no longer reasonably estimable or that recovery is no longer probable, SDG&amp;E will record a charge against earnings at the time such conclusion is reached. If SDG&amp;E had concluded that such recovery was no longer probable or reasonably estimable as of September 30, 2012, the resulting after-tax charge against earnings would have been approximately $175 million. In addition, in periods following any such conclusion, SDG&amp;E’s earnings will be adversely impacted by increases in the estimated costs to settle pending wildfire claims.</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noted above, recovery from customers will require future regulatory actions, and a failure to obtain all or a significant portion of the expected recovery, or a conclusion that recovery from ratepayers is no longer probable, would likely have a material adverse effect on Sempra Energy’s and SDG&amp;E’s cash flows, financial condition and results of operations. In addition, if recovery is permitted, Sempra Energy’s and SDG&amp;E’s cash flows may be materially adversely affected due to the timing differences between resolution of claims and the recovery from utility customers, which may extend over a number of years.</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Ongoing regulatory and maintenance issues at San Onofre Nuclear Generating Station (SONGS)</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SDG&amp;E has a 20-percent ownership interest in SONGS, a 2,150-MW nuclear generating facility near San Clemente, California operated by Southern California Edison. As discussed in Note 9 of the Notes to Condensed Consolidated Financial Statements herein, SONGS’s Units 2 and 3 are offline. The timing of the restart of either of these Units is dependent upon approval by the Nuclear Regulatory Commission, which could result in substantial additional expenditures that may not be recoverable, in whole or in part, in customer rates. If one or both of these Units were to be offline for more than nine consecutive months (November 2012 for Unit 3 and December 2012 for Unit 2), the CPUC will be notified of such fact. In November 2012, the CPUC issued an Order Instituting Investigation (OII) into the SONGS outage to determine whether SDG&amp;E should remove from customer rates some or all revenue requirement associated with the portion of the facility that is out of service. This OII will consolidate all SONGS issues from related regulatory proceedings and consider the appropriate cost recovery for SONGS, including among other costs, the cost of the steam generator replacement project, replacement power costs, capital expenditures, operation and maintenance costs and seismic study costs. The OII requires all costs related to SONGS incurred since January 1, 2012 be tracked in a separate memorandum account, with all revenues collected in recovery of such costs subject to refund, and will address the extent to which such revenues, if any, will be required to be refunded to customers. Any extended shut down of one or both of these Units and the costs required to bring those Units back online could materially adversely affect SDG&amp;E’s and Sempra Energy’s businesses, results of operations, cash flows, and financial condition. In addition, any decision by the CPUC to require SDG&amp;E to refund some or all of the revenues collected in recovery of the costs described above could materially adversely affect SDG&amp;E’s and Sempra Energy’s businesses, results of operations, cash flows,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ITEM 6.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3 -- BYLAWS AND ARTICLES OF INCORPORATION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680" w:right="240" w:hanging="314"/>
        <w:spacing w:after="0" w:line="243" w:lineRule="auto"/>
        <w:rPr>
          <w:sz w:val="20"/>
          <w:szCs w:val="20"/>
          <w:color w:val="auto"/>
        </w:rPr>
      </w:pPr>
      <w:r>
        <w:rPr>
          <w:rFonts w:ascii="Arial" w:cs="Arial" w:eastAsia="Arial" w:hAnsi="Arial"/>
          <w:sz w:val="18"/>
          <w:szCs w:val="18"/>
          <w:color w:val="auto"/>
        </w:rPr>
        <w:t>3.1 Amended Bylaws of Sempra Energy effective September 13, 2012 (Sempra Energy Form 8-K filed on September 17, 2012, Exhibit 3(ii)).</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Southern California Gas Company</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10.1 Severance Pay Agreement between Sempra Energy and Dennis Arriola.</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12.2 San Diego Gas &amp; Electric Company Computation of Ratio of Earnings to Combined Fixed Charges and Preferred Stock Dividends.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12.3 Southern California Gas Company Computation of Ratio of Earnings to Combined Fixed Charges and Preferred Stock Dividends.</w:t>
      </w:r>
    </w:p>
    <w:p>
      <w:pPr>
        <w:sectPr>
          <w:pgSz w:w="11900" w:h="16838" w:orient="portrait"/>
          <w:cols w:equalWidth="0" w:num="1">
            <w:col w:w="11400"/>
          </w:cols>
          <w:pgMar w:left="240" w:top="341" w:right="259" w:bottom="122" w:gutter="0" w:footer="0" w:header="0"/>
        </w:sectPr>
      </w:pPr>
    </w:p>
    <w:bookmarkStart w:id="81" w:name="page82"/>
    <w:bookmarkEnd w:id="81"/>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 Statement of Sempra Energy’s Chief Executive Officer pursuant to Rules 13a-14 and 15d-14 of the Securities Exchange Act of 1934.</w:t>
      </w:r>
    </w:p>
    <w:p>
      <w:pPr>
        <w:spacing w:after="0" w:line="39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31.2 Statement of Sempra Energy’s Chief Financial Officer pursuant to Rules 13a-14 and 15d-14 of the Securities Exchange Act of 1934.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540" w:right="200" w:hanging="404"/>
        <w:spacing w:after="0" w:line="243"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389" w:lineRule="exact"/>
        <w:rPr>
          <w:sz w:val="20"/>
          <w:szCs w:val="20"/>
          <w:color w:val="auto"/>
        </w:rPr>
      </w:pPr>
    </w:p>
    <w:p>
      <w:pPr>
        <w:ind w:left="1540" w:right="240" w:hanging="404"/>
        <w:spacing w:after="0" w:line="262"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540" w:right="320" w:hanging="404"/>
        <w:spacing w:after="0" w:line="243"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389" w:lineRule="exact"/>
        <w:rPr>
          <w:sz w:val="20"/>
          <w:szCs w:val="20"/>
          <w:color w:val="auto"/>
        </w:rPr>
      </w:pPr>
    </w:p>
    <w:p>
      <w:pPr>
        <w:ind w:left="1540" w:right="360" w:hanging="404"/>
        <w:spacing w:after="0" w:line="262"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39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39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32.5 Statement of Southern California Gas Company’s Chief Executive Officer pursuant to 18 U.S.C. Sec. 1350.</w:t>
      </w:r>
    </w:p>
    <w:p>
      <w:pPr>
        <w:spacing w:after="0" w:line="39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32.6 Statement of Southern California Gas Company’s Chief Financial Officer pursuant to 18 U.S.C. Sec. 1350.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101.INS XBRL Instance Document</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101.SCH XBRL Taxonomy Extension Schema Document</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101.LAB XBRL Taxonomy Extension Label Linkbase Document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16"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SEMPRA ENERGY,</w:t>
      </w:r>
    </w:p>
    <w:p>
      <w:pPr>
        <w:sectPr>
          <w:pgSz w:w="11900" w:h="16874" w:orient="portrait"/>
          <w:cols w:equalWidth="0" w:num="1">
            <w:col w:w="11120"/>
          </w:cols>
          <w:pgMar w:left="240" w:top="118" w:right="539" w:bottom="0" w:gutter="0" w:footer="0" w:header="0"/>
        </w:sectPr>
      </w:pPr>
    </w:p>
    <w:bookmarkStart w:id="82" w:name="page83"/>
    <w:bookmarkEnd w:id="82"/>
    <w:p>
      <w:pPr>
        <w:ind w:left="5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8" w:lineRule="exact"/>
        <w:rPr>
          <w:sz w:val="20"/>
          <w:szCs w:val="20"/>
          <w:color w:val="auto"/>
        </w:rPr>
      </w:pPr>
    </w:p>
    <w:p>
      <w:pPr>
        <w:ind w:left="1740"/>
        <w:spacing w:after="0"/>
        <w:tabs>
          <w:tab w:leader="none" w:pos="5880" w:val="left"/>
        </w:tabs>
        <w:rPr>
          <w:sz w:val="20"/>
          <w:szCs w:val="20"/>
          <w:color w:val="auto"/>
        </w:rPr>
      </w:pPr>
      <w:r>
        <w:rPr>
          <w:rFonts w:ascii="Arial" w:cs="Arial" w:eastAsia="Arial" w:hAnsi="Arial"/>
          <w:sz w:val="18"/>
          <w:szCs w:val="18"/>
          <w:color w:val="auto"/>
        </w:rPr>
        <w:t>Date: November 6, 2012</w:t>
      </w:r>
      <w:r>
        <w:rPr>
          <w:sz w:val="20"/>
          <w:szCs w:val="20"/>
          <w:color w:val="auto"/>
        </w:rPr>
        <w:tab/>
      </w:r>
      <w:r>
        <w:rPr>
          <w:rFonts w:ascii="Arial" w:cs="Arial" w:eastAsia="Arial" w:hAnsi="Arial"/>
          <w:sz w:val="17"/>
          <w:szCs w:val="17"/>
          <w:color w:val="auto"/>
        </w:rPr>
        <w:t>By: /s/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Trevor I. Mihalik</w:t>
      </w:r>
    </w:p>
    <w:p>
      <w:pPr>
        <w:ind w:left="5900"/>
        <w:spacing w:after="0"/>
        <w:rPr>
          <w:sz w:val="20"/>
          <w:szCs w:val="20"/>
          <w:color w:val="auto"/>
        </w:rPr>
      </w:pPr>
      <w:r>
        <w:rPr>
          <w:rFonts w:ascii="Arial" w:cs="Arial" w:eastAsia="Arial" w:hAnsi="Arial"/>
          <w:sz w:val="18"/>
          <w:szCs w:val="18"/>
          <w:color w:val="auto"/>
        </w:rPr>
        <w:t>Controller and 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SAN DIEGO GAS &amp; ELECTRIC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2" w:lineRule="exact"/>
        <w:rPr>
          <w:sz w:val="20"/>
          <w:szCs w:val="20"/>
          <w:color w:val="auto"/>
        </w:rPr>
      </w:pPr>
    </w:p>
    <w:p>
      <w:pPr>
        <w:ind w:left="1740"/>
        <w:spacing w:after="0"/>
        <w:tabs>
          <w:tab w:leader="none" w:pos="5880" w:val="left"/>
        </w:tabs>
        <w:rPr>
          <w:sz w:val="20"/>
          <w:szCs w:val="20"/>
          <w:color w:val="auto"/>
        </w:rPr>
      </w:pPr>
      <w:r>
        <w:rPr>
          <w:rFonts w:ascii="Arial" w:cs="Arial" w:eastAsia="Arial" w:hAnsi="Arial"/>
          <w:sz w:val="18"/>
          <w:szCs w:val="18"/>
          <w:color w:val="auto"/>
        </w:rPr>
        <w:t>Date: November 6, 2012</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SOUTHERN CALIFORNIA GAS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2" w:lineRule="exact"/>
        <w:rPr>
          <w:sz w:val="20"/>
          <w:szCs w:val="20"/>
          <w:color w:val="auto"/>
        </w:rPr>
      </w:pPr>
    </w:p>
    <w:p>
      <w:pPr>
        <w:ind w:left="1740"/>
        <w:spacing w:after="0"/>
        <w:tabs>
          <w:tab w:leader="none" w:pos="5880" w:val="left"/>
        </w:tabs>
        <w:rPr>
          <w:sz w:val="20"/>
          <w:szCs w:val="20"/>
          <w:color w:val="auto"/>
        </w:rPr>
      </w:pPr>
      <w:r>
        <w:rPr>
          <w:rFonts w:ascii="Arial" w:cs="Arial" w:eastAsia="Arial" w:hAnsi="Arial"/>
          <w:sz w:val="18"/>
          <w:szCs w:val="18"/>
          <w:color w:val="auto"/>
        </w:rPr>
        <w:t>Date: November 6, 2012</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0300"/>
          </w:cols>
          <w:pgMar w:left="240" w:top="125" w:right="1359" w:bottom="1440" w:gutter="0" w:footer="0" w:header="0"/>
        </w:sectPr>
      </w:pPr>
    </w:p>
    <w:bookmarkStart w:id="83" w:name="page84"/>
    <w:bookmarkEnd w:id="83"/>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SEMPRA ENERGY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600" w:firstLine="1297"/>
        <w:spacing w:after="0" w:line="280" w:lineRule="auto"/>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August 4, 2012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is made by and</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SEMPRA ENERGY, a California corporation (“</w:t>
      </w:r>
      <w:r>
        <w:rPr>
          <w:rFonts w:ascii="Arial" w:cs="Arial" w:eastAsia="Arial" w:hAnsi="Arial"/>
          <w:sz w:val="21"/>
          <w:szCs w:val="21"/>
          <w:u w:val="single" w:color="auto"/>
          <w:color w:val="auto"/>
        </w:rPr>
        <w:t>Sempra Energy</w:t>
      </w:r>
      <w:r>
        <w:rPr>
          <w:rFonts w:ascii="Arial" w:cs="Arial" w:eastAsia="Arial" w:hAnsi="Arial"/>
          <w:sz w:val="21"/>
          <w:szCs w:val="21"/>
          <w:color w:val="auto"/>
        </w:rPr>
        <w:t>”), and Dennis Arriola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39" w:lineRule="exact"/>
        <w:rPr>
          <w:sz w:val="20"/>
          <w:szCs w:val="20"/>
          <w:color w:val="auto"/>
        </w:rPr>
      </w:pPr>
    </w:p>
    <w:p>
      <w:pPr>
        <w:ind w:right="28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President &amp; Chief Operating Officer for Southern California Gas Company; and</w:t>
      </w:r>
    </w:p>
    <w:p>
      <w:pPr>
        <w:spacing w:after="0" w:line="177" w:lineRule="exact"/>
        <w:rPr>
          <w:sz w:val="20"/>
          <w:szCs w:val="20"/>
          <w:color w:val="auto"/>
        </w:rPr>
      </w:pPr>
    </w:p>
    <w:p>
      <w:pPr>
        <w:ind w:left="1300" w:right="134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18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assigned thereto in Section 2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has the meaning assigned thereto in Section 6(a) hereof.</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during all or any portion of one or two of the Bonus Fiscal</w:t>
      </w:r>
      <w:r>
        <w:rPr>
          <w:rFonts w:ascii="Arial" w:cs="Arial" w:eastAsia="Arial" w:hAnsi="Arial"/>
          <w:sz w:val="19"/>
          <w:szCs w:val="19"/>
          <w:i w:val="1"/>
          <w:iCs w:val="1"/>
          <w:color w:val="auto"/>
        </w:rPr>
        <w:t xml:space="preserve"> </w:t>
      </w:r>
      <w:r>
        <w:rPr>
          <w:rFonts w:ascii="Arial" w:cs="Arial" w:eastAsia="Arial" w:hAnsi="Arial"/>
          <w:sz w:val="19"/>
          <w:szCs w:val="19"/>
          <w:color w:val="auto"/>
        </w:rPr>
        <w:t>Years (but not three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all or any portion of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all or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has the meaning set forth in Rule 13d-3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firstLine="1305"/>
        <w:spacing w:after="0" w:line="276" w:lineRule="auto"/>
        <w:tabs>
          <w:tab w:leader="none" w:pos="1945" w:val="left"/>
        </w:tabs>
        <w:numPr>
          <w:ilvl w:val="1"/>
          <w:numId w:val="142"/>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firstLine="8"/>
        <w:spacing w:after="0" w:line="275" w:lineRule="auto"/>
        <w:tabs>
          <w:tab w:leader="none" w:pos="31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firstLine="1305"/>
        <w:spacing w:after="0" w:line="269" w:lineRule="auto"/>
        <w:tabs>
          <w:tab w:leader="none" w:pos="194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3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w:t>
      </w:r>
    </w:p>
    <w:p>
      <w:pPr>
        <w:spacing w:after="0" w:line="1" w:lineRule="exact"/>
        <w:rPr>
          <w:rFonts w:ascii="Arial" w:cs="Arial" w:eastAsia="Arial" w:hAnsi="Arial"/>
          <w:sz w:val="19"/>
          <w:szCs w:val="19"/>
          <w:color w:val="auto"/>
        </w:rPr>
      </w:pPr>
    </w:p>
    <w:p>
      <w:pPr>
        <w:ind w:right="160" w:firstLine="8"/>
        <w:spacing w:after="0" w:line="308" w:lineRule="auto"/>
        <w:tabs>
          <w:tab w:leader="none" w:pos="30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pacing w:after="0" w:line="123"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ectPr>
          <w:pgSz w:w="11900" w:h="16877" w:orient="portrait"/>
          <w:cols w:equalWidth="0" w:num="1">
            <w:col w:w="11400"/>
          </w:cols>
          <w:pgMar w:left="240" w:top="111" w:right="259" w:bottom="0" w:gutter="0" w:footer="0" w:header="0"/>
        </w:sectPr>
      </w:pPr>
    </w:p>
    <w:bookmarkStart w:id="84" w:name="page85"/>
    <w:bookmarkEnd w:id="84"/>
    <w:p>
      <w:pPr>
        <w:ind w:right="20" w:firstLine="1305"/>
        <w:spacing w:after="0" w:line="298" w:lineRule="auto"/>
        <w:tabs>
          <w:tab w:leader="none" w:pos="194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18" w:lineRule="exact"/>
        <w:rPr>
          <w:rFonts w:ascii="Arial" w:cs="Arial" w:eastAsia="Arial" w:hAnsi="Arial"/>
          <w:sz w:val="19"/>
          <w:szCs w:val="19"/>
          <w:color w:val="auto"/>
        </w:rPr>
      </w:pPr>
    </w:p>
    <w:p>
      <w:pPr>
        <w:ind w:left="2600" w:hanging="647"/>
        <w:spacing w:after="0"/>
        <w:tabs>
          <w:tab w:leader="none" w:pos="260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40"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145"/>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20" w:lineRule="exact"/>
        <w:rPr>
          <w:rFonts w:ascii="Arial" w:cs="Arial" w:eastAsia="Arial" w:hAnsi="Arial"/>
          <w:sz w:val="19"/>
          <w:szCs w:val="19"/>
          <w:color w:val="auto"/>
        </w:rPr>
      </w:pPr>
    </w:p>
    <w:p>
      <w:pPr>
        <w:jc w:val="both"/>
        <w:ind w:right="380" w:firstLine="2601"/>
        <w:spacing w:after="0"/>
        <w:tabs>
          <w:tab w:leader="none" w:pos="3241" w:val="left"/>
        </w:tabs>
        <w:numPr>
          <w:ilvl w:val="2"/>
          <w:numId w:val="145"/>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145"/>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87"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59"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88" w:lineRule="exact"/>
        <w:rPr>
          <w:rFonts w:ascii="Arial" w:cs="Arial" w:eastAsia="Arial" w:hAnsi="Arial"/>
          <w:sz w:val="22"/>
          <w:szCs w:val="22"/>
          <w:color w:val="auto"/>
        </w:rPr>
      </w:pPr>
    </w:p>
    <w:p>
      <w:pPr>
        <w:ind w:firstLine="1953"/>
        <w:spacing w:after="0" w:line="249" w:lineRule="auto"/>
        <w:tabs>
          <w:tab w:leader="none" w:pos="2593" w:val="left"/>
        </w:tabs>
        <w:numPr>
          <w:ilvl w:val="1"/>
          <w:numId w:val="146"/>
        </w:numPr>
        <w:rPr>
          <w:rFonts w:ascii="Arial" w:cs="Arial" w:eastAsia="Arial" w:hAnsi="Arial"/>
          <w:sz w:val="21"/>
          <w:szCs w:val="21"/>
          <w:color w:val="auto"/>
        </w:rPr>
      </w:pPr>
      <w:r>
        <w:rPr>
          <w:rFonts w:ascii="Arial" w:cs="Arial" w:eastAsia="Arial" w:hAnsi="Arial"/>
          <w:sz w:val="21"/>
          <w:szCs w:val="21"/>
          <w:color w:val="auto"/>
        </w:rPr>
        <w:t>a merger or consolidation effected to implement a recapitalization of Sempra Energy (or similar transaction) in which no Person is or becomes the Beneficial Owner,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65" w:lineRule="exact"/>
        <w:rPr>
          <w:rFonts w:ascii="Arial" w:cs="Arial" w:eastAsia="Arial" w:hAnsi="Arial"/>
          <w:sz w:val="21"/>
          <w:szCs w:val="21"/>
          <w:color w:val="auto"/>
        </w:rPr>
      </w:pPr>
    </w:p>
    <w:p>
      <w:pPr>
        <w:jc w:val="both"/>
        <w:ind w:right="20" w:firstLine="1305"/>
        <w:spacing w:after="0" w:line="252" w:lineRule="auto"/>
        <w:tabs>
          <w:tab w:leader="none" w:pos="1945" w:val="left"/>
        </w:tabs>
        <w:numPr>
          <w:ilvl w:val="0"/>
          <w:numId w:val="147"/>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5(f) hereof.</w:t>
      </w:r>
    </w:p>
    <w:p>
      <w:pPr>
        <w:spacing w:after="0" w:line="206"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has the meaning set forth in the Company’s long-term disability plan or its successor;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Board may not terminate the Executive’s employment hereunder by reason of Disability unless (i) at the time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9(a) hereof.</w:t>
      </w:r>
    </w:p>
    <w:p>
      <w:pPr>
        <w:sectPr>
          <w:pgSz w:w="11900" w:h="16838" w:orient="portrait"/>
          <w:cols w:equalWidth="0" w:num="1">
            <w:col w:w="11400"/>
          </w:cols>
          <w:pgMar w:left="240" w:top="118" w:right="259" w:bottom="0" w:gutter="0" w:footer="0" w:header="0"/>
        </w:sectPr>
      </w:pPr>
    </w:p>
    <w:bookmarkStart w:id="85" w:name="page86"/>
    <w:bookmarkEnd w:id="85"/>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left="-1200" w:right="100" w:firstLine="1305"/>
        <w:spacing w:after="0"/>
        <w:tabs>
          <w:tab w:leader="none" w:pos="74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left="-1200" w:right="340" w:firstLine="1953"/>
        <w:spacing w:after="0"/>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left="-1200" w:right="60" w:firstLine="1953"/>
        <w:spacing w:after="0"/>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left="-1200" w:right="340" w:firstLine="1953"/>
        <w:spacing w:after="0" w:line="238" w:lineRule="auto"/>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left="-1200" w:right="80" w:firstLine="1953"/>
        <w:spacing w:after="0"/>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left="-1200" w:firstLine="1953"/>
        <w:spacing w:after="0"/>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1400" w:hanging="647"/>
        <w:spacing w:after="0"/>
        <w:tabs>
          <w:tab w:leader="none" w:pos="140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left="-1200" w:right="80" w:firstLine="1953"/>
        <w:spacing w:after="0" w:line="251" w:lineRule="auto"/>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1400" w:hanging="647"/>
        <w:spacing w:after="0"/>
        <w:tabs>
          <w:tab w:leader="none" w:pos="14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left="-1200" w:right="60" w:firstLine="1305"/>
        <w:spacing w:after="0"/>
        <w:tabs>
          <w:tab w:leader="none" w:pos="74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left="-1200" w:right="260" w:firstLine="1953"/>
        <w:spacing w:after="0" w:line="251" w:lineRule="auto"/>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left="-1200" w:right="20" w:firstLine="1953"/>
        <w:spacing w:after="0" w:line="245" w:lineRule="auto"/>
        <w:tabs>
          <w:tab w:leader="none" w:pos="1393" w:val="left"/>
        </w:tabs>
        <w:numPr>
          <w:ilvl w:val="1"/>
          <w:numId w:val="148"/>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left="-1200" w:right="40" w:firstLine="1953"/>
        <w:spacing w:after="0" w:line="234" w:lineRule="auto"/>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left="-1200" w:right="80" w:firstLine="1953"/>
        <w:spacing w:after="0"/>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left="-1200" w:firstLine="1953"/>
        <w:spacing w:after="0"/>
        <w:tabs>
          <w:tab w:leader="none" w:pos="139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86" w:lineRule="exact"/>
        <w:rPr>
          <w:rFonts w:ascii="Arial" w:cs="Arial" w:eastAsia="Arial" w:hAnsi="Arial"/>
          <w:sz w:val="22"/>
          <w:szCs w:val="22"/>
          <w:color w:val="auto"/>
        </w:rPr>
      </w:pPr>
    </w:p>
    <w:p>
      <w:pPr>
        <w:ind w:left="1400" w:hanging="647"/>
        <w:spacing w:after="0"/>
        <w:tabs>
          <w:tab w:leader="none" w:pos="140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0200"/>
          </w:cols>
          <w:pgMar w:left="1440" w:top="118" w:right="259" w:bottom="0" w:gutter="0" w:footer="0" w:header="0"/>
        </w:sectPr>
      </w:pPr>
    </w:p>
    <w:bookmarkStart w:id="86" w:name="page87"/>
    <w:bookmarkEnd w:id="86"/>
    <w:p>
      <w:pPr>
        <w:ind w:right="100" w:firstLine="2593"/>
        <w:spacing w:after="0" w:line="251" w:lineRule="auto"/>
        <w:rPr>
          <w:sz w:val="20"/>
          <w:szCs w:val="20"/>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6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(viii)</w:t>
      </w:r>
      <w:r>
        <w:rPr>
          <w:sz w:val="20"/>
          <w:szCs w:val="20"/>
          <w:color w:val="auto"/>
        </w:rPr>
        <w:tab/>
      </w:r>
      <w:r>
        <w:rPr>
          <w:rFonts w:ascii="Arial" w:cs="Arial" w:eastAsia="Arial" w:hAnsi="Arial"/>
          <w:sz w:val="19"/>
          <w:szCs w:val="19"/>
          <w:color w:val="auto"/>
        </w:rPr>
        <w:t>the failure by Sempra Energy to comply with any material provision of this Agreement.</w:t>
      </w:r>
    </w:p>
    <w:p>
      <w:pPr>
        <w:spacing w:after="0" w:line="206"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left="60" w:right="700" w:firstLine="124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2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of a termination of employment by the Company other than for Cause, death, or Disability, or (b) the Executive’s Separation from Service by reason of resignation of employment with the Company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3(a)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Accrued Obligations</w:t>
      </w:r>
      <w:r>
        <w:rPr>
          <w:rFonts w:ascii="Arial" w:cs="Arial" w:eastAsia="Arial" w:hAnsi="Arial"/>
          <w:sz w:val="22"/>
          <w:szCs w:val="22"/>
          <w:color w:val="auto"/>
        </w:rPr>
        <w:t>” has the meaning assigned thereto in Section 6(a)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6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Accrued Obligations</w:t>
      </w:r>
      <w:r>
        <w:rPr>
          <w:rFonts w:ascii="Arial" w:cs="Arial" w:eastAsia="Arial" w:hAnsi="Arial"/>
          <w:sz w:val="22"/>
          <w:szCs w:val="22"/>
          <w:color w:val="auto"/>
        </w:rPr>
        <w:t>” has the meaning assigned thereto in Section 5(a)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right="4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 Payments</w:t>
      </w:r>
      <w:r>
        <w:rPr>
          <w:rFonts w:ascii="Arial" w:cs="Arial" w:eastAsia="Arial" w:hAnsi="Arial"/>
          <w:sz w:val="21"/>
          <w:szCs w:val="21"/>
          <w:color w:val="auto"/>
        </w:rPr>
        <w:t>” means any of the following: (a) the Payment in Lieu of Notice; (b) the Pre-Change in Control Severance Payment; (c) the Post-Change in Control Severance Payment; (d) the Additional Post-Change in Control Severance Payment; (e) the Consulting Payment; (f) the payment under Section 6(b) (but only to the extent such payment or portion thereof is subject to Section 409A of the Code); (g) the financial planning services and the related payments provided under Sections 5(e) and 6(f); and (h) the legal fees and expenses reimbursed under Section 15.</w:t>
      </w:r>
    </w:p>
    <w:p>
      <w:pPr>
        <w:spacing w:after="0" w:line="179"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with respect to the Executive (or another Service Provider), means the Executive’s (or such Service Provider’s) (a) termination of employment or (b) other termination or reduction in services, provided that such termination or reduction in clause (a) or (b) constitutes a “separation from service,” as defined in Treasury Regulation Section 1.409A-1(h), with respect to the Service Recipient.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6(b)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the Executive or any other “service provider,” as defined in Treasury Regulation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1.409A-1(f).</w:t>
      </w:r>
    </w:p>
    <w:p>
      <w:pPr>
        <w:sectPr>
          <w:pgSz w:w="11900" w:h="16838" w:orient="portrait"/>
          <w:cols w:equalWidth="0" w:num="1">
            <w:col w:w="11420"/>
          </w:cols>
          <w:pgMar w:left="240" w:top="118" w:right="239" w:bottom="0" w:gutter="0" w:footer="0" w:header="0"/>
        </w:sectPr>
      </w:pPr>
    </w:p>
    <w:bookmarkStart w:id="87" w:name="page88"/>
    <w:bookmarkEnd w:id="87"/>
    <w:p>
      <w:pPr>
        <w:ind w:right="20"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with respect to the Executive, means Sempra Energy (if the Executive is employed by Sempra Energy), or the subsidiary of Sempra Energy employing the Executive,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21"/>
          <w:szCs w:val="21"/>
          <w:u w:val="single" w:color="auto"/>
          <w:color w:val="auto"/>
        </w:rPr>
        <w:t>Service Recipient</w:t>
      </w:r>
      <w:r>
        <w:rPr>
          <w:rFonts w:ascii="Arial" w:cs="Arial" w:eastAsia="Arial" w:hAnsi="Arial"/>
          <w:sz w:val="21"/>
          <w:szCs w:val="21"/>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78"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means a Service Provider who, as of the date of the Service Provider’s Separation from Service is a “</w:t>
      </w:r>
      <w:r>
        <w:rPr>
          <w:rFonts w:ascii="Arial" w:cs="Arial" w:eastAsia="Arial" w:hAnsi="Arial"/>
          <w:sz w:val="19"/>
          <w:szCs w:val="19"/>
          <w:u w:val="single" w:color="auto"/>
          <w:color w:val="auto"/>
        </w:rPr>
        <w:t>Key Employee</w:t>
      </w:r>
      <w:r>
        <w:rPr>
          <w:rFonts w:ascii="Arial" w:cs="Arial" w:eastAsia="Arial" w:hAnsi="Arial"/>
          <w:sz w:val="19"/>
          <w:szCs w:val="19"/>
          <w:color w:val="auto"/>
        </w:rPr>
        <w:t>” of the Service Recipient any stock of which is publicly traded on an established securities market or otherwise. For purposes of this definition,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(as defined above) as of a Specified Employee Identification Date, the Service Provider shall be treated as “</w:t>
      </w:r>
      <w:r>
        <w:rPr>
          <w:rFonts w:ascii="Arial" w:cs="Arial" w:eastAsia="Arial" w:hAnsi="Arial"/>
          <w:sz w:val="19"/>
          <w:szCs w:val="19"/>
          <w:u w:val="single" w:color="auto"/>
          <w:color w:val="auto"/>
        </w:rPr>
        <w:t>Key Employee</w:t>
      </w:r>
      <w:r>
        <w:rPr>
          <w:rFonts w:ascii="Arial" w:cs="Arial" w:eastAsia="Arial" w:hAnsi="Arial"/>
          <w:sz w:val="19"/>
          <w:szCs w:val="19"/>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w:t>
      </w:r>
    </w:p>
    <w:p>
      <w:pPr>
        <w:ind w:right="60"/>
        <w:spacing w:after="0" w:line="234" w:lineRule="auto"/>
        <w:rPr>
          <w:sz w:val="20"/>
          <w:szCs w:val="20"/>
          <w:color w:val="auto"/>
        </w:rPr>
      </w:pPr>
      <w:r>
        <w:rPr>
          <w:rFonts w:ascii="Arial" w:cs="Arial" w:eastAsia="Arial" w:hAnsi="Arial"/>
          <w:sz w:val="22"/>
          <w:szCs w:val="22"/>
          <w:color w:val="auto"/>
        </w:rPr>
        <w:t>1.415(c)-2(e), and were not using any of the elective special rules provided in Treasury Regulation Section 1.415(c)-2(g)), from the Service Recipient for such Testing Year. The “Specified Employees” shall be determined in accordance with Section 409A(a)(2) (B)(i) of the Code and Treasury Regulation Section 1.409A-1(i).</w:t>
      </w:r>
    </w:p>
    <w:p>
      <w:pPr>
        <w:spacing w:after="0" w:line="187" w:lineRule="exact"/>
        <w:rPr>
          <w:sz w:val="20"/>
          <w:szCs w:val="20"/>
          <w:color w:val="auto"/>
        </w:rPr>
      </w:pPr>
    </w:p>
    <w:p>
      <w:pPr>
        <w:jc w:val="both"/>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Effective Date</w:t>
      </w:r>
      <w:r>
        <w:rPr>
          <w:rFonts w:ascii="Arial" w:cs="Arial" w:eastAsia="Arial" w:hAnsi="Arial"/>
          <w:sz w:val="22"/>
          <w:szCs w:val="22"/>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86" w:lineRule="exact"/>
        <w:rPr>
          <w:sz w:val="20"/>
          <w:szCs w:val="20"/>
          <w:color w:val="auto"/>
        </w:rPr>
      </w:pPr>
    </w:p>
    <w:p>
      <w:pPr>
        <w:ind w:right="2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for purposes of Treasury Regulation Section 1.409A-1(i)(3), shall mean December 31. The “</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shall apply to all “nonqualified deferred compensation plans” (as defined in Treasury Regulation Section 1.409A-1(a)) of the Service Recipient and all affected Service Providers. The “</w:t>
      </w:r>
      <w:r>
        <w:rPr>
          <w:rFonts w:ascii="Arial" w:cs="Arial" w:eastAsia="Arial" w:hAnsi="Arial"/>
          <w:sz w:val="22"/>
          <w:szCs w:val="22"/>
          <w:u w:val="single" w:color="auto"/>
          <w:color w:val="auto"/>
        </w:rPr>
        <w:t>Specified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 Identification Date</w:t>
      </w:r>
      <w:r>
        <w:rPr>
          <w:rFonts w:ascii="Arial" w:cs="Arial" w:eastAsia="Arial" w:hAnsi="Arial"/>
          <w:sz w:val="22"/>
          <w:szCs w:val="22"/>
          <w:color w:val="auto"/>
        </w:rPr>
        <w:t>” may be changed by Sempra Energy, in its discretion, in accordance with Treasury Regulation Section 1.409A-1(i)(3).</w:t>
      </w:r>
    </w:p>
    <w:p>
      <w:pPr>
        <w:spacing w:after="0" w:line="188"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Year</w:t>
      </w:r>
      <w:r>
        <w:rPr>
          <w:rFonts w:ascii="Arial" w:cs="Arial" w:eastAsia="Arial" w:hAnsi="Arial"/>
          <w:sz w:val="22"/>
          <w:szCs w:val="22"/>
          <w:color w:val="auto"/>
        </w:rPr>
        <w:t>” shall mean the twelve (12) month period ending on the Specified Employee Identification Date, as determined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Underpayment</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u w:val="single" w:color="auto"/>
          <w:color w:val="auto"/>
        </w:rPr>
        <w:t>Sarbanes-Oxley Act of 2002</w:t>
      </w:r>
      <w:r>
        <w:rPr>
          <w:rFonts w:ascii="Arial" w:cs="Arial" w:eastAsia="Arial" w:hAnsi="Arial"/>
          <w:sz w:val="19"/>
          <w:szCs w:val="19"/>
          <w:color w:val="auto"/>
        </w:rPr>
        <w:t>. Notwithstanding anything herein to the contrary, if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in its good faith judgment, that any provision of this Agreement is likely to be interpreted as a personal loan prohibited by the Sarbanes-Oxley Act of 2002 and the rules and regulations promulgated thereunder (the “</w:t>
      </w:r>
      <w:r>
        <w:rPr>
          <w:rFonts w:ascii="Arial" w:cs="Arial" w:eastAsia="Arial" w:hAnsi="Arial"/>
          <w:sz w:val="19"/>
          <w:szCs w:val="19"/>
          <w:u w:val="single" w:color="auto"/>
          <w:color w:val="auto"/>
        </w:rPr>
        <w:t>Act</w:t>
      </w:r>
      <w:r>
        <w:rPr>
          <w:rFonts w:ascii="Arial" w:cs="Arial" w:eastAsia="Arial" w:hAnsi="Arial"/>
          <w:sz w:val="19"/>
          <w:szCs w:val="19"/>
          <w:color w:val="auto"/>
        </w:rPr>
        <w:t>”), then such provision shall be modified as necessary or appropriate so as to not violate the Act; and if this cannot be accomplished, then the Company shall use its reasonable efforts to provide the Executive with similar, but lawful, substitute benefit(s) at a cost to the Company not to significantly exceed the amount the Company would have otherwise paid to provide such benefit(s) to the Executive. In addition, if the Executive is required to forfeit or to make any repayment of any compensation or benefit(s) to the Company under the Act or any other law, such forfeiture or repayment shall not constitute Good Reason.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199" w:lineRule="exact"/>
        <w:rPr>
          <w:sz w:val="20"/>
          <w:szCs w:val="20"/>
          <w:color w:val="auto"/>
        </w:rPr>
      </w:pPr>
    </w:p>
    <w:p>
      <w:pPr>
        <w:ind w:right="120" w:firstLine="1305"/>
        <w:spacing w:after="0" w:line="279" w:lineRule="auto"/>
        <w:tabs>
          <w:tab w:leader="none" w:pos="194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40" w:firstLine="1305"/>
        <w:spacing w:after="0" w:line="272" w:lineRule="auto"/>
        <w:tabs>
          <w:tab w:leader="none" w:pos="194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 has a Separation from Service by reason of the Company terminating his or her employment, either with or without Cause,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xml:space="preserve">”) equal to two (2) weeks of the Executive’s Annual Base Salary in effect on the Date of Termination), and (ii) if the basis for the Executive’s Involuntary Termination is his resignation for Good Reason, the Date of 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determined by the Company within thirty (30) days after the date of the Executive’s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his or her Separation from Service, such Payment in Lieu of Notice shall be paid as provided in Section 10 hereof.</w:t>
      </w:r>
    </w:p>
    <w:p>
      <w:pPr>
        <w:sectPr>
          <w:pgSz w:w="11900" w:h="16838" w:orient="portrait"/>
          <w:cols w:equalWidth="0" w:num="1">
            <w:col w:w="11420"/>
          </w:cols>
          <w:pgMar w:left="240" w:top="118" w:right="239" w:bottom="0" w:gutter="0" w:footer="0" w:header="0"/>
        </w:sectPr>
      </w:pPr>
    </w:p>
    <w:bookmarkStart w:id="88" w:name="page89"/>
    <w:bookmarkEnd w:id="88"/>
    <w:p>
      <w:pPr>
        <w:spacing w:after="0" w:line="29" w:lineRule="exact"/>
        <w:rPr>
          <w:sz w:val="20"/>
          <w:szCs w:val="20"/>
          <w:color w:val="auto"/>
        </w:rPr>
      </w:pPr>
    </w:p>
    <w:p>
      <w:pPr>
        <w:ind w:right="100" w:firstLine="1297"/>
        <w:spacing w:after="0" w:line="301"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16" w:lineRule="exact"/>
        <w:rPr>
          <w:sz w:val="20"/>
          <w:szCs w:val="20"/>
          <w:color w:val="auto"/>
        </w:rPr>
      </w:pPr>
    </w:p>
    <w:p>
      <w:pPr>
        <w:ind w:right="80" w:firstLine="1297"/>
        <w:spacing w:after="0" w:line="269"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 Payment</w:t>
      </w:r>
      <w:r>
        <w:rPr>
          <w:rFonts w:ascii="Arial" w:cs="Arial" w:eastAsia="Arial" w:hAnsi="Arial"/>
          <w:sz w:val="19"/>
          <w:szCs w:val="19"/>
          <w:color w:val="auto"/>
        </w:rPr>
        <w:t>”) equal to one-half (0.5) times the greater of: (X) 160%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Except as provided in Section 5(f), the Pre-Change in Control Severance Payment and the payment under Section 5(a) shall be paid on such date as is determined by the Company within thirty</w:t>
      </w:r>
    </w:p>
    <w:p>
      <w:pPr>
        <w:spacing w:after="0" w:line="4" w:lineRule="exact"/>
        <w:rPr>
          <w:sz w:val="20"/>
          <w:szCs w:val="20"/>
          <w:color w:val="auto"/>
        </w:rPr>
      </w:pPr>
    </w:p>
    <w:p>
      <w:pPr>
        <w:ind w:firstLine="8"/>
        <w:spacing w:after="0" w:line="249" w:lineRule="auto"/>
        <w:tabs>
          <w:tab w:leader="none" w:pos="414"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days after the date of the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Pre-Change in Control Severance Payment and the financial planning services and the related payments provided under Section 5(e) shall be paid as provided in Section 10 hereof.</w:t>
      </w:r>
    </w:p>
    <w:p>
      <w:pPr>
        <w:spacing w:after="0" w:line="175" w:lineRule="exact"/>
        <w:rPr>
          <w:rFonts w:ascii="Arial" w:cs="Arial" w:eastAsia="Arial" w:hAnsi="Arial"/>
          <w:sz w:val="21"/>
          <w:szCs w:val="21"/>
          <w:color w:val="auto"/>
        </w:rPr>
      </w:pPr>
    </w:p>
    <w:p>
      <w:pPr>
        <w:ind w:left="1960" w:hanging="655"/>
        <w:spacing w:after="0"/>
        <w:tabs>
          <w:tab w:leader="none" w:pos="1960"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right="60"/>
        <w:spacing w:after="0" w:line="275" w:lineRule="auto"/>
        <w:rPr>
          <w:rFonts w:ascii="Arial" w:cs="Arial" w:eastAsia="Arial" w:hAnsi="Arial"/>
          <w:sz w:val="19"/>
          <w:szCs w:val="19"/>
          <w:color w:val="auto"/>
        </w:rPr>
      </w:pPr>
      <w:r>
        <w:rPr>
          <w:rFonts w:ascii="Arial" w:cs="Arial" w:eastAsia="Arial" w:hAnsi="Arial"/>
          <w:sz w:val="19"/>
          <w:szCs w:val="19"/>
          <w:color w:val="auto"/>
        </w:rPr>
        <w:t>(A)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 (The amounts specified in clauses (A), (B), (C) and (D) shall be hereinafter referred to as the “</w:t>
      </w:r>
      <w:r>
        <w:rPr>
          <w:rFonts w:ascii="Arial" w:cs="Arial" w:eastAsia="Arial" w:hAnsi="Arial"/>
          <w:sz w:val="19"/>
          <w:szCs w:val="19"/>
          <w:u w:val="single" w:color="auto"/>
          <w:color w:val="auto"/>
        </w:rPr>
        <w:t>Pre-Change in Control Accrued Obligations</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right="20" w:firstLine="1305"/>
        <w:spacing w:after="0" w:line="251" w:lineRule="auto"/>
        <w:tabs>
          <w:tab w:leader="none" w:pos="1945"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59" w:lineRule="exact"/>
        <w:rPr>
          <w:rFonts w:ascii="Arial" w:cs="Arial" w:eastAsia="Arial" w:hAnsi="Arial"/>
          <w:sz w:val="22"/>
          <w:szCs w:val="22"/>
          <w:color w:val="auto"/>
        </w:rPr>
      </w:pPr>
    </w:p>
    <w:p>
      <w:pPr>
        <w:ind w:right="60" w:firstLine="1305"/>
        <w:spacing w:after="0" w:line="246" w:lineRule="auto"/>
        <w:tabs>
          <w:tab w:leader="none" w:pos="1945" w:val="left"/>
        </w:tabs>
        <w:numPr>
          <w:ilvl w:val="1"/>
          <w:numId w:val="150"/>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six (6)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w:t>
      </w:r>
    </w:p>
    <w:p>
      <w:pPr>
        <w:spacing w:after="0" w:line="180" w:lineRule="exact"/>
        <w:rPr>
          <w:rFonts w:ascii="Arial" w:cs="Arial" w:eastAsia="Arial" w:hAnsi="Arial"/>
          <w:sz w:val="21"/>
          <w:szCs w:val="21"/>
          <w:color w:val="auto"/>
        </w:rPr>
      </w:pPr>
    </w:p>
    <w:p>
      <w:pPr>
        <w:ind w:right="100" w:firstLine="1305"/>
        <w:spacing w:after="0" w:line="235" w:lineRule="auto"/>
        <w:tabs>
          <w:tab w:leader="none" w:pos="1945"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eighteen (18)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4" w:lineRule="exact"/>
        <w:rPr>
          <w:rFonts w:ascii="Arial" w:cs="Arial" w:eastAsia="Arial" w:hAnsi="Arial"/>
          <w:sz w:val="22"/>
          <w:szCs w:val="22"/>
          <w:color w:val="auto"/>
        </w:rPr>
      </w:pPr>
    </w:p>
    <w:p>
      <w:pPr>
        <w:ind w:right="60" w:firstLine="1305"/>
        <w:spacing w:after="0" w:line="273" w:lineRule="auto"/>
        <w:tabs>
          <w:tab w:leader="none" w:pos="1945"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eighteen (18)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42" w:lineRule="exact"/>
        <w:rPr>
          <w:rFonts w:ascii="Arial" w:cs="Arial" w:eastAsia="Arial" w:hAnsi="Arial"/>
          <w:sz w:val="19"/>
          <w:szCs w:val="19"/>
          <w:color w:val="auto"/>
        </w:rPr>
      </w:pPr>
    </w:p>
    <w:p>
      <w:pPr>
        <w:jc w:val="both"/>
        <w:ind w:right="400" w:firstLine="1305"/>
        <w:spacing w:after="0" w:line="238" w:lineRule="auto"/>
        <w:tabs>
          <w:tab w:leader="none" w:pos="1945"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5 under the terms and conditions of the Sempra Energy Employee and Director Savings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9" w:lineRule="exact"/>
        <w:rPr>
          <w:sz w:val="20"/>
          <w:szCs w:val="20"/>
          <w:color w:val="auto"/>
        </w:rPr>
      </w:pPr>
    </w:p>
    <w:p>
      <w:pPr>
        <w:ind w:right="120" w:firstLine="1297"/>
        <w:spacing w:after="0" w:line="275"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5 above, and except as provided in Section 19(i) hereof, in the event of the Involuntary Termination of the Executive on or within two (2) years following a Change in Control, in lieu of the payments described in Section 5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160%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(f). Except as provided in Sections 6(g) and 6(h), the Post-Change in</w:t>
      </w:r>
    </w:p>
    <w:p>
      <w:pPr>
        <w:sectPr>
          <w:pgSz w:w="11900" w:h="16868" w:orient="portrait"/>
          <w:cols w:equalWidth="0" w:num="1">
            <w:col w:w="11400"/>
          </w:cols>
          <w:pgMar w:left="240" w:top="111" w:right="259" w:bottom="0" w:gutter="0" w:footer="0" w:header="0"/>
        </w:sectPr>
      </w:pPr>
    </w:p>
    <w:bookmarkStart w:id="89" w:name="page90"/>
    <w:bookmarkEnd w:id="89"/>
    <w:p>
      <w:pPr>
        <w:ind w:right="160"/>
        <w:spacing w:after="0" w:line="279" w:lineRule="auto"/>
        <w:rPr>
          <w:sz w:val="20"/>
          <w:szCs w:val="20"/>
          <w:color w:val="auto"/>
        </w:rPr>
      </w:pPr>
      <w:r>
        <w:rPr>
          <w:rFonts w:ascii="Arial" w:cs="Arial" w:eastAsia="Arial" w:hAnsi="Arial"/>
          <w:sz w:val="19"/>
          <w:szCs w:val="19"/>
          <w:color w:val="auto"/>
        </w:rPr>
        <w:t xml:space="preserve">Control Severance Payment and the payments under Sections 6(a) and (b) shall be paid on such date as is determined by the Company within thirty (30) days after the date of the Involuntary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Involuntary Termination, the Post-Change in Control Severance Payment, the Additional Post-Change in Control Severance Payment under Section 6(a)(E), the payment under Section 6(b) (but only to the extent such payment or portion thereof is subject to Section 409A of the Code), and the financial planning services and the related payments provided under Section 6(f) shall be paid as provided in Section 10 hereof.</w:t>
      </w:r>
    </w:p>
    <w:p>
      <w:pPr>
        <w:spacing w:after="0" w:line="138" w:lineRule="exact"/>
        <w:rPr>
          <w:sz w:val="20"/>
          <w:szCs w:val="20"/>
          <w:color w:val="auto"/>
        </w:rPr>
      </w:pPr>
    </w:p>
    <w:p>
      <w:pPr>
        <w:ind w:left="1960" w:hanging="655"/>
        <w:spacing w:after="0"/>
        <w:tabs>
          <w:tab w:leader="none" w:pos="1960"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firstLine="8"/>
        <w:spacing w:after="0" w:line="243" w:lineRule="auto"/>
        <w:tabs>
          <w:tab w:leader="none" w:pos="354"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(D) reimbursement for unreimbursed business expenses, if any, properly incurred by the Executive in the performance of his duties in accordance with policies established from time to time by the Board, and (E) an amount (the “</w:t>
      </w:r>
      <w:r>
        <w:rPr>
          <w:rFonts w:ascii="Arial" w:cs="Arial" w:eastAsia="Arial" w:hAnsi="Arial"/>
          <w:sz w:val="21"/>
          <w:szCs w:val="21"/>
          <w:u w:val="single" w:color="auto"/>
          <w:color w:val="auto"/>
        </w:rPr>
        <w:t>Additional Post-Change in Control Severance Payment</w:t>
      </w:r>
      <w:r>
        <w:rPr>
          <w:rFonts w:ascii="Arial" w:cs="Arial" w:eastAsia="Arial" w:hAnsi="Arial"/>
          <w:sz w:val="21"/>
          <w:szCs w:val="21"/>
          <w:color w:val="auto"/>
        </w:rPr>
        <w:t>”) equal to: (i) the greater of: (X) 60%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in the case of each amount described in clause (A), (B), (C) or (D) to the extent not theretofore paid. (The amounts specified in clauses (A), (B), (C), (D) and (E) shall be hereinafter referred to as the “</w:t>
      </w:r>
      <w:r>
        <w:rPr>
          <w:rFonts w:ascii="Arial" w:cs="Arial" w:eastAsia="Arial" w:hAnsi="Arial"/>
          <w:sz w:val="21"/>
          <w:szCs w:val="21"/>
          <w:u w:val="single" w:color="auto"/>
          <w:color w:val="auto"/>
        </w:rPr>
        <w:t>Post-Change in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Control Accrued Obligations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right="260" w:firstLine="1305"/>
        <w:spacing w:after="0" w:line="273" w:lineRule="auto"/>
        <w:tabs>
          <w:tab w:leader="none" w:pos="1945"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6(b), in the event that the Executive is a “Participant” (as defined in the SERP) as of the Date of Termination.</w:t>
      </w:r>
    </w:p>
    <w:p>
      <w:pPr>
        <w:spacing w:after="0" w:line="1" w:lineRule="exact"/>
        <w:rPr>
          <w:rFonts w:ascii="Arial" w:cs="Arial" w:eastAsia="Arial" w:hAnsi="Arial"/>
          <w:sz w:val="19"/>
          <w:szCs w:val="19"/>
          <w:color w:val="auto"/>
        </w:rPr>
      </w:pPr>
    </w:p>
    <w:p>
      <w:pPr>
        <w:ind w:right="20" w:firstLine="54"/>
        <w:spacing w:after="0" w:line="269" w:lineRule="auto"/>
        <w:rPr>
          <w:rFonts w:ascii="Arial" w:cs="Arial" w:eastAsia="Arial" w:hAnsi="Arial"/>
          <w:sz w:val="19"/>
          <w:szCs w:val="19"/>
          <w:color w:val="auto"/>
        </w:rPr>
      </w:pPr>
      <w:r>
        <w:rPr>
          <w:rFonts w:ascii="Arial" w:cs="Arial" w:eastAsia="Arial" w:hAnsi="Arial"/>
          <w:sz w:val="19"/>
          <w:szCs w:val="19"/>
          <w:color w:val="auto"/>
        </w:rPr>
        <w:t>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 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6(b),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6(b) shall be in full satisfaction of any and all of the benefits payable to or on behalf of the Executive under the SERP.</w:t>
      </w:r>
    </w:p>
    <w:p>
      <w:pPr>
        <w:spacing w:after="0" w:line="393" w:lineRule="exact"/>
        <w:rPr>
          <w:rFonts w:ascii="Arial" w:cs="Arial" w:eastAsia="Arial" w:hAnsi="Arial"/>
          <w:sz w:val="19"/>
          <w:szCs w:val="19"/>
          <w:color w:val="auto"/>
        </w:rPr>
      </w:pPr>
    </w:p>
    <w:p>
      <w:pPr>
        <w:ind w:right="20" w:firstLine="1305"/>
        <w:spacing w:after="0" w:line="272" w:lineRule="auto"/>
        <w:tabs>
          <w:tab w:leader="none" w:pos="1945"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48" w:lineRule="exact"/>
        <w:rPr>
          <w:rFonts w:ascii="Arial" w:cs="Arial" w:eastAsia="Arial" w:hAnsi="Arial"/>
          <w:sz w:val="19"/>
          <w:szCs w:val="19"/>
          <w:color w:val="auto"/>
        </w:rPr>
      </w:pPr>
    </w:p>
    <w:p>
      <w:pPr>
        <w:ind w:right="100" w:firstLine="1305"/>
        <w:spacing w:after="0" w:line="274" w:lineRule="auto"/>
        <w:tabs>
          <w:tab w:leader="none" w:pos="1945"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twelve (12)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w:t>
      </w:r>
    </w:p>
    <w:p>
      <w:pPr>
        <w:sectPr>
          <w:pgSz w:w="11900" w:h="16838" w:orient="portrait"/>
          <w:cols w:equalWidth="0" w:num="1">
            <w:col w:w="11420"/>
          </w:cols>
          <w:pgMar w:left="240" w:top="118" w:right="239" w:bottom="0" w:gutter="0" w:footer="0" w:header="0"/>
        </w:sectPr>
      </w:pPr>
    </w:p>
    <w:bookmarkStart w:id="90" w:name="page91"/>
    <w:bookmarkEnd w:id="90"/>
    <w:p>
      <w:pPr>
        <w:ind w:firstLine="1945"/>
        <w:spacing w:after="0" w:line="247" w:lineRule="auto"/>
        <w:rPr>
          <w:sz w:val="20"/>
          <w:szCs w:val="20"/>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twenty-four (24)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65" w:lineRule="exact"/>
        <w:rPr>
          <w:sz w:val="20"/>
          <w:szCs w:val="20"/>
          <w:color w:val="auto"/>
        </w:rPr>
      </w:pPr>
    </w:p>
    <w:p>
      <w:pPr>
        <w:ind w:firstLine="1305"/>
        <w:spacing w:after="0" w:line="273" w:lineRule="auto"/>
        <w:tabs>
          <w:tab w:leader="none" w:pos="1945"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40" w:firstLine="1305"/>
        <w:spacing w:after="0" w:line="275" w:lineRule="auto"/>
        <w:tabs>
          <w:tab w:leader="none" w:pos="1945"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5 hereof, be entitled to the Post-Change in Control Severance Payment and the additional benefits described in this Section 6 as if such Involuntary Termination had occurred within two (2) years following the Change in Control. The amounts specified in Section 6 that are to be paid under this Section 6(g) shall be reduced by any amount previously paid under Section 5. The amounts to be paid under this Section 6(g) shall be paid within thirty (30) days after the Change in Control Date of such Change in Control.</w:t>
      </w:r>
    </w:p>
    <w:p>
      <w:pPr>
        <w:spacing w:after="0" w:line="144" w:lineRule="exact"/>
        <w:rPr>
          <w:rFonts w:ascii="Arial" w:cs="Arial" w:eastAsia="Arial" w:hAnsi="Arial"/>
          <w:sz w:val="19"/>
          <w:szCs w:val="19"/>
          <w:color w:val="auto"/>
        </w:rPr>
      </w:pPr>
    </w:p>
    <w:p>
      <w:pPr>
        <w:ind w:right="540" w:firstLine="1305"/>
        <w:spacing w:after="0" w:line="297" w:lineRule="auto"/>
        <w:tabs>
          <w:tab w:leader="none" w:pos="1945"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to be received by the Executive pursuant to this Section 6 under the terms and conditions of the Deferred Compensation Plan. Any such deferral election shall be made in accordance with Section 18(b) hereof.</w:t>
      </w:r>
    </w:p>
    <w:p>
      <w:pPr>
        <w:spacing w:after="0" w:line="121"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b w:val="1"/>
          <w:bCs w:val="1"/>
          <w:color w:val="auto"/>
        </w:rPr>
        <w:t xml:space="preserve">Section 7. </w:t>
      </w:r>
      <w:r>
        <w:rPr>
          <w:rFonts w:ascii="Arial" w:cs="Arial" w:eastAsia="Arial" w:hAnsi="Arial"/>
          <w:sz w:val="21"/>
          <w:szCs w:val="21"/>
          <w:u w:val="single" w:color="auto"/>
          <w:color w:val="auto"/>
        </w:rPr>
        <w:t>Severance Benefits upon Termination by the Company for Cause or by the Executive Other than for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Good Reason</w:t>
      </w:r>
      <w:r>
        <w:rPr>
          <w:rFonts w:ascii="Arial" w:cs="Arial" w:eastAsia="Arial" w:hAnsi="Arial"/>
          <w:sz w:val="21"/>
          <w:szCs w:val="21"/>
          <w:color w:val="auto"/>
        </w:rPr>
        <w:t>. If 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11 hereof.</w:t>
      </w:r>
    </w:p>
    <w:p>
      <w:pPr>
        <w:spacing w:after="0" w:line="168" w:lineRule="exact"/>
        <w:rPr>
          <w:sz w:val="20"/>
          <w:szCs w:val="20"/>
          <w:color w:val="auto"/>
        </w:rPr>
      </w:pPr>
    </w:p>
    <w:p>
      <w:pPr>
        <w:ind w:right="40" w:firstLine="1297"/>
        <w:spacing w:after="0" w:line="276"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Service by reason of death or Disability, the Company shall pay the Executive or his estate, as the case may be, the Post-Change in Control Accrued Obligations (without regard to whether a Change in Control has occurred) and any amounts or benefits described in Section 11 hereof. Such payments shall be in addition to those rights and benefits to which the Executive or his estate may be entitled under the relevant Company plans or programs. Such payments shall be paid on such date as determined by the Company within thirty (30) days after the date of the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Separation from Service by reason of Disability, the Additional Post-Change in Control Severance Payment under Section 6(a)(E) shall be paid as provided in Section 10 hereof.</w:t>
      </w:r>
    </w:p>
    <w:p>
      <w:pPr>
        <w:spacing w:after="0" w:line="14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u w:val="single" w:color="auto"/>
          <w:color w:val="auto"/>
        </w:rPr>
        <w:t>Limitations on Payments by the Company</w:t>
      </w:r>
      <w:r>
        <w:rPr>
          <w:rFonts w:ascii="Arial" w:cs="Arial" w:eastAsia="Arial" w:hAnsi="Arial"/>
          <w:sz w:val="19"/>
          <w:szCs w:val="19"/>
          <w:color w:val="auto"/>
        </w:rPr>
        <w:t>.</w:t>
      </w:r>
    </w:p>
    <w:p>
      <w:pPr>
        <w:spacing w:after="0" w:line="193" w:lineRule="exact"/>
        <w:rPr>
          <w:sz w:val="20"/>
          <w:szCs w:val="20"/>
          <w:color w:val="auto"/>
        </w:rPr>
      </w:pPr>
    </w:p>
    <w:p>
      <w:pPr>
        <w:ind w:firstLine="1305"/>
        <w:spacing w:after="0" w:line="233" w:lineRule="auto"/>
        <w:tabs>
          <w:tab w:leader="none" w:pos="194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9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Benefit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93"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74" w:lineRule="exact"/>
        <w:rPr>
          <w:rFonts w:ascii="Arial" w:cs="Arial" w:eastAsia="Arial" w:hAnsi="Arial"/>
          <w:sz w:val="19"/>
          <w:szCs w:val="19"/>
          <w:color w:val="auto"/>
        </w:rPr>
      </w:pPr>
    </w:p>
    <w:p>
      <w:pPr>
        <w:ind w:left="660" w:right="720" w:firstLine="1941"/>
        <w:spacing w:after="0" w:line="274" w:lineRule="auto"/>
        <w:tabs>
          <w:tab w:leader="none" w:pos="3253" w:val="left"/>
        </w:tabs>
        <w:numPr>
          <w:ilvl w:val="1"/>
          <w:numId w:val="154"/>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ectPr>
          <w:pgSz w:w="11900" w:h="16838" w:orient="portrait"/>
          <w:cols w:equalWidth="0" w:num="1">
            <w:col w:w="11420"/>
          </w:cols>
          <w:pgMar w:left="240" w:top="118" w:right="239" w:bottom="168" w:gutter="0" w:footer="0" w:header="0"/>
        </w:sectPr>
      </w:pPr>
    </w:p>
    <w:bookmarkStart w:id="91" w:name="page92"/>
    <w:bookmarkEnd w:id="91"/>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8" w:lineRule="exact"/>
        <w:rPr>
          <w:sz w:val="20"/>
          <w:szCs w:val="20"/>
          <w:color w:val="auto"/>
        </w:rPr>
      </w:pPr>
    </w:p>
    <w:p>
      <w:pPr>
        <w:ind w:left="1960" w:hanging="655"/>
        <w:spacing w:after="0"/>
        <w:tabs>
          <w:tab w:leader="none" w:pos="19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9:</w:t>
      </w:r>
    </w:p>
    <w:p>
      <w:pPr>
        <w:spacing w:after="0" w:line="206" w:lineRule="exact"/>
        <w:rPr>
          <w:rFonts w:ascii="Arial" w:cs="Arial" w:eastAsia="Arial" w:hAnsi="Arial"/>
          <w:sz w:val="22"/>
          <w:szCs w:val="22"/>
          <w:color w:val="auto"/>
        </w:rPr>
      </w:pPr>
    </w:p>
    <w:p>
      <w:pPr>
        <w:ind w:left="660" w:right="80" w:firstLine="1941"/>
        <w:spacing w:after="0"/>
        <w:tabs>
          <w:tab w:leader="none" w:pos="3253" w:val="left"/>
        </w:tabs>
        <w:numPr>
          <w:ilvl w:val="1"/>
          <w:numId w:val="155"/>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155"/>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440" w:firstLine="1941"/>
        <w:spacing w:after="0"/>
        <w:tabs>
          <w:tab w:leader="none" w:pos="3253" w:val="left"/>
        </w:tabs>
        <w:numPr>
          <w:ilvl w:val="1"/>
          <w:numId w:val="155"/>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86" w:lineRule="exact"/>
        <w:rPr>
          <w:rFonts w:ascii="Arial" w:cs="Arial" w:eastAsia="Arial" w:hAnsi="Arial"/>
          <w:sz w:val="22"/>
          <w:szCs w:val="22"/>
          <w:color w:val="auto"/>
        </w:rPr>
      </w:pPr>
    </w:p>
    <w:p>
      <w:pPr>
        <w:ind w:right="80" w:firstLine="1305"/>
        <w:spacing w:after="0" w:line="270" w:lineRule="auto"/>
        <w:tabs>
          <w:tab w:leader="none" w:pos="194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9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 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200" w:lineRule="exact"/>
        <w:rPr>
          <w:sz w:val="20"/>
          <w:szCs w:val="20"/>
          <w:color w:val="auto"/>
        </w:rPr>
      </w:pPr>
    </w:p>
    <w:p>
      <w:pPr>
        <w:spacing w:after="0" w:line="202"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10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48"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Section 12.</w:t>
      </w:r>
    </w:p>
    <w:p>
      <w:pPr>
        <w:sectPr>
          <w:pgSz w:w="11900" w:h="16838" w:orient="portrait"/>
          <w:cols w:equalWidth="0" w:num="1">
            <w:col w:w="11420"/>
          </w:cols>
          <w:pgMar w:left="240" w:top="118" w:right="239" w:bottom="0" w:gutter="0" w:footer="0" w:header="0"/>
        </w:sectPr>
      </w:pPr>
    </w:p>
    <w:bookmarkStart w:id="92" w:name="page93"/>
    <w:bookmarkEnd w:id="92"/>
    <w:p>
      <w:pPr>
        <w:ind w:right="60" w:firstLine="2593"/>
        <w:spacing w:after="0" w:line="277" w:lineRule="auto"/>
        <w:rPr>
          <w:sz w:val="20"/>
          <w:szCs w:val="20"/>
          <w:color w:val="auto"/>
        </w:rPr>
      </w:pP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4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6" w:lineRule="exact"/>
        <w:rPr>
          <w:sz w:val="20"/>
          <w:szCs w:val="20"/>
          <w:color w:val="auto"/>
        </w:rPr>
      </w:pPr>
    </w:p>
    <w:p>
      <w:pPr>
        <w:ind w:right="20" w:firstLine="1297"/>
        <w:spacing w:after="0" w:line="270" w:lineRule="auto"/>
        <w:rPr>
          <w:sz w:val="20"/>
          <w:szCs w:val="20"/>
          <w:color w:val="auto"/>
        </w:rPr>
      </w:pPr>
      <w:r>
        <w:rPr>
          <w:rFonts w:ascii="Arial" w:cs="Arial" w:eastAsia="Arial" w:hAnsi="Arial"/>
          <w:sz w:val="19"/>
          <w:szCs w:val="19"/>
          <w:color w:val="auto"/>
        </w:rPr>
        <w:t>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administered by JAMS in San Diego, California in accordance with the then existing JAMS arbitration rules applicable to employment disputes (the “</w:t>
      </w:r>
      <w:r>
        <w:rPr>
          <w:rFonts w:ascii="Arial" w:cs="Arial" w:eastAsia="Arial" w:hAnsi="Arial"/>
          <w:sz w:val="19"/>
          <w:szCs w:val="19"/>
          <w:u w:val="single" w:color="auto"/>
          <w:color w:val="auto"/>
        </w:rPr>
        <w:t>JAMS Rules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notwithstanding any provision in such rules to the contrary, in all cases the parties shall be entitled to reasonable discovery. In the event of such an arbitration proceeding, the Executive and the Company shall select a mutually acceptable neutral arbitrator from among the JAMS panel of arbitrators. In the event the Executive and the Company cannot agree on an arbitrator, the arbitrator shall be selected in accordance with the then existing JAMS Rules. Neither the Executive nor the Company nor the arbitrator shall disclose the existence, content or results of any arbitration hereunder without the prior written consent of all parties, except to the extent necessary to enforce any arbitration award in a court of competent jurisdiction. Except as provided herein, the Federal Arbitration Act shall govern the interpretation of, enforcement of and all proceedings under this agreement to arbitrate. The arbitrator shall apply the substantive law (and the law of remedies, if applicable) of the state of California, or federal law, or both, as applicable,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The arbitrator shall render an award and a written, reasoned opinion in support thereof. Judgment upon the award may be entered in any court having jurisdiction thereof. The Executive shall not be required to pay any arbitration fee or cost that is unique to arbitration or greater than any amount he would be required to pay to pursue his claims in a court of competent jurisdiction.</w:t>
      </w:r>
    </w:p>
    <w:p>
      <w:pPr>
        <w:spacing w:after="0" w:line="200" w:lineRule="exact"/>
        <w:rPr>
          <w:sz w:val="20"/>
          <w:szCs w:val="20"/>
          <w:color w:val="auto"/>
        </w:rPr>
      </w:pPr>
    </w:p>
    <w:p>
      <w:pPr>
        <w:spacing w:after="0" w:line="20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199" w:lineRule="exact"/>
        <w:rPr>
          <w:sz w:val="20"/>
          <w:szCs w:val="20"/>
          <w:color w:val="auto"/>
        </w:rPr>
      </w:pPr>
    </w:p>
    <w:p>
      <w:pPr>
        <w:ind w:firstLine="1305"/>
        <w:spacing w:after="0" w:line="271" w:lineRule="auto"/>
        <w:tabs>
          <w:tab w:leader="none" w:pos="1945"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44" w:lineRule="exact"/>
        <w:rPr>
          <w:rFonts w:ascii="Arial" w:cs="Arial" w:eastAsia="Arial" w:hAnsi="Arial"/>
          <w:sz w:val="19"/>
          <w:szCs w:val="19"/>
          <w:color w:val="auto"/>
        </w:rPr>
      </w:pPr>
    </w:p>
    <w:p>
      <w:pPr>
        <w:ind w:right="40" w:firstLine="1305"/>
        <w:spacing w:after="0" w:line="270" w:lineRule="auto"/>
        <w:tabs>
          <w:tab w:leader="none" w:pos="1945"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ectPr>
          <w:pgSz w:w="11900" w:h="16838" w:orient="portrait"/>
          <w:cols w:equalWidth="0" w:num="1">
            <w:col w:w="11420"/>
          </w:cols>
          <w:pgMar w:left="240" w:top="118" w:right="239" w:bottom="238" w:gutter="0" w:footer="0" w:header="0"/>
        </w:sectPr>
      </w:pPr>
    </w:p>
    <w:bookmarkStart w:id="93" w:name="page94"/>
    <w:bookmarkEnd w:id="93"/>
    <w:p>
      <w:pPr>
        <w:spacing w:after="0" w:line="79" w:lineRule="exact"/>
        <w:rPr>
          <w:sz w:val="20"/>
          <w:szCs w:val="20"/>
          <w:color w:val="auto"/>
        </w:rPr>
      </w:pPr>
    </w:p>
    <w:p>
      <w:pPr>
        <w:ind w:right="40" w:firstLine="1305"/>
        <w:spacing w:after="0" w:line="282" w:lineRule="auto"/>
        <w:tabs>
          <w:tab w:leader="none" w:pos="1945"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34" w:lineRule="exact"/>
        <w:rPr>
          <w:rFonts w:ascii="Arial" w:cs="Arial" w:eastAsia="Arial" w:hAnsi="Arial"/>
          <w:sz w:val="19"/>
          <w:szCs w:val="19"/>
          <w:color w:val="auto"/>
        </w:rPr>
      </w:pPr>
    </w:p>
    <w:p>
      <w:pPr>
        <w:ind w:firstLine="1305"/>
        <w:spacing w:after="0" w:line="271" w:lineRule="auto"/>
        <w:tabs>
          <w:tab w:leader="none" w:pos="1945"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agrees to the covenants described in Section 14(a) and Section 14(b) above, (ii) executes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does not revoke such Release in accordance with the terms thereof, and (iii) agrees to provide the consulting services described in Section 14(e) below, then in consideration for such covenants, the Company shall pay the Executive, in one cash lump sum, an amount (the “</w:t>
      </w:r>
      <w:r>
        <w:rPr>
          <w:rFonts w:ascii="Arial" w:cs="Arial" w:eastAsia="Arial" w:hAnsi="Arial"/>
          <w:sz w:val="19"/>
          <w:szCs w:val="19"/>
          <w:u w:val="single" w:color="auto"/>
          <w:color w:val="auto"/>
        </w:rPr>
        <w:t>Consulting Payment</w:t>
      </w:r>
      <w:r>
        <w:rPr>
          <w:rFonts w:ascii="Arial" w:cs="Arial" w:eastAsia="Arial" w:hAnsi="Arial"/>
          <w:sz w:val="19"/>
          <w:szCs w:val="19"/>
          <w:color w:val="auto"/>
        </w:rPr>
        <w:t>”) in cash equal to the greater of: (X) 160%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w:t>
      </w:r>
    </w:p>
    <w:p>
      <w:pPr>
        <w:spacing w:after="0" w:line="3" w:lineRule="exact"/>
        <w:rPr>
          <w:sz w:val="20"/>
          <w:szCs w:val="20"/>
          <w:color w:val="auto"/>
        </w:rPr>
      </w:pPr>
    </w:p>
    <w:p>
      <w:pPr>
        <w:ind w:right="320"/>
        <w:spacing w:after="0" w:line="215" w:lineRule="auto"/>
        <w:rPr>
          <w:sz w:val="20"/>
          <w:szCs w:val="20"/>
          <w:color w:val="auto"/>
        </w:rPr>
      </w:pPr>
      <w:r>
        <w:rPr>
          <w:rFonts w:ascii="Arial" w:cs="Arial" w:eastAsia="Arial" w:hAnsi="Arial"/>
          <w:sz w:val="22"/>
          <w:szCs w:val="22"/>
          <w:color w:val="auto"/>
        </w:rPr>
        <w:t>Company within 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Payment shall be paid as provided in Section 10 hereof. The Executive shall have the right to elect to defer the Consulting Payment under the terms and conditions of the Company’s Deferred Compensation Plan. Any such deferral election shall be made in accordance with Section 18(b) hereof.</w:t>
      </w:r>
    </w:p>
    <w:p>
      <w:pPr>
        <w:spacing w:after="0" w:line="190" w:lineRule="exact"/>
        <w:rPr>
          <w:sz w:val="20"/>
          <w:szCs w:val="20"/>
          <w:color w:val="auto"/>
        </w:rPr>
      </w:pPr>
    </w:p>
    <w:p>
      <w:pPr>
        <w:ind w:right="40" w:firstLine="1305"/>
        <w:spacing w:after="0" w:line="272" w:lineRule="auto"/>
        <w:tabs>
          <w:tab w:leader="none" w:pos="1945"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covenants described in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4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193" w:lineRule="exact"/>
        <w:rPr>
          <w:sz w:val="20"/>
          <w:szCs w:val="20"/>
          <w:color w:val="auto"/>
        </w:rPr>
      </w:pPr>
    </w:p>
    <w:p>
      <w:pPr>
        <w:ind w:right="80" w:firstLine="1305"/>
        <w:spacing w:after="0" w:line="249" w:lineRule="auto"/>
        <w:tabs>
          <w:tab w:leader="none" w:pos="1945"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78" w:lineRule="exact"/>
        <w:rPr>
          <w:rFonts w:ascii="Arial" w:cs="Arial" w:eastAsia="Arial" w:hAnsi="Arial"/>
          <w:sz w:val="21"/>
          <w:szCs w:val="21"/>
          <w:color w:val="auto"/>
        </w:rPr>
      </w:pPr>
    </w:p>
    <w:p>
      <w:pPr>
        <w:ind w:firstLine="1305"/>
        <w:spacing w:after="0" w:line="272" w:lineRule="auto"/>
        <w:tabs>
          <w:tab w:leader="none" w:pos="1945"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93" w:lineRule="exact"/>
        <w:rPr>
          <w:sz w:val="20"/>
          <w:szCs w:val="20"/>
          <w:color w:val="auto"/>
        </w:rPr>
      </w:pPr>
    </w:p>
    <w:p>
      <w:pPr>
        <w:ind w:right="160" w:firstLine="1305"/>
        <w:spacing w:after="0" w:line="258" w:lineRule="auto"/>
        <w:tabs>
          <w:tab w:leader="none" w:pos="1945"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Assignment by the Executive</w:t>
      </w:r>
      <w:r>
        <w:rPr>
          <w:rFonts w:ascii="Arial" w:cs="Arial" w:eastAsia="Arial" w:hAnsi="Arial"/>
          <w:sz w:val="21"/>
          <w:szCs w:val="21"/>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66" w:lineRule="exact"/>
        <w:rPr>
          <w:rFonts w:ascii="Arial" w:cs="Arial" w:eastAsia="Arial" w:hAnsi="Arial"/>
          <w:sz w:val="21"/>
          <w:szCs w:val="21"/>
          <w:color w:val="auto"/>
        </w:rPr>
      </w:pPr>
    </w:p>
    <w:p>
      <w:pPr>
        <w:ind w:firstLine="1305"/>
        <w:spacing w:after="0" w:line="258" w:lineRule="auto"/>
        <w:tabs>
          <w:tab w:leader="none" w:pos="1945"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53" w:lineRule="exact"/>
        <w:rPr>
          <w:rFonts w:ascii="Arial" w:cs="Arial" w:eastAsia="Arial" w:hAnsi="Arial"/>
          <w:sz w:val="21"/>
          <w:szCs w:val="21"/>
          <w:color w:val="auto"/>
        </w:rPr>
      </w:pPr>
    </w:p>
    <w:p>
      <w:pPr>
        <w:ind w:right="20" w:firstLine="1305"/>
        <w:spacing w:after="0" w:line="297" w:lineRule="auto"/>
        <w:tabs>
          <w:tab w:leader="none" w:pos="1945"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w:t>
      </w:r>
    </w:p>
    <w:p>
      <w:pPr>
        <w:sectPr>
          <w:pgSz w:w="11900" w:h="16917" w:orient="portrait"/>
          <w:cols w:equalWidth="0" w:num="1">
            <w:col w:w="11400"/>
          </w:cols>
          <w:pgMar w:left="240" w:top="118" w:right="259" w:bottom="0" w:gutter="0" w:footer="0" w:header="0"/>
        </w:sectPr>
      </w:pPr>
    </w:p>
    <w:bookmarkStart w:id="94" w:name="page95"/>
    <w:bookmarkEnd w:id="94"/>
    <w:p>
      <w:pPr>
        <w:ind w:right="140"/>
        <w:spacing w:after="0" w:line="298" w:lineRule="auto"/>
        <w:rPr>
          <w:sz w:val="20"/>
          <w:szCs w:val="20"/>
          <w:color w:val="auto"/>
        </w:rPr>
      </w:pPr>
      <w:r>
        <w:rPr>
          <w:rFonts w:ascii="Arial" w:cs="Arial" w:eastAsia="Arial" w:hAnsi="Arial"/>
          <w:sz w:val="19"/>
          <w:szCs w:val="19"/>
          <w:color w:val="auto"/>
        </w:rPr>
        <w:t>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19" w:lineRule="exact"/>
        <w:rPr>
          <w:sz w:val="20"/>
          <w:szCs w:val="20"/>
          <w:color w:val="auto"/>
        </w:rPr>
      </w:pPr>
    </w:p>
    <w:p>
      <w:pPr>
        <w:ind w:right="20" w:firstLine="1305"/>
        <w:spacing w:after="0" w:line="244" w:lineRule="auto"/>
        <w:tabs>
          <w:tab w:leader="none" w:pos="1945"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82" w:lineRule="exact"/>
        <w:rPr>
          <w:rFonts w:ascii="Arial" w:cs="Arial" w:eastAsia="Arial" w:hAnsi="Arial"/>
          <w:sz w:val="21"/>
          <w:szCs w:val="21"/>
          <w:color w:val="auto"/>
        </w:rPr>
      </w:pPr>
    </w:p>
    <w:p>
      <w:pPr>
        <w:ind w:firstLine="1305"/>
        <w:spacing w:after="0" w:line="272" w:lineRule="auto"/>
        <w:tabs>
          <w:tab w:leader="none" w:pos="1945"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44"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206" w:lineRule="exact"/>
        <w:rPr>
          <w:sz w:val="20"/>
          <w:szCs w:val="20"/>
          <w:color w:val="auto"/>
        </w:rPr>
      </w:pPr>
    </w:p>
    <w:p>
      <w:pPr>
        <w:ind w:right="20" w:firstLine="1305"/>
        <w:spacing w:after="0" w:line="269" w:lineRule="auto"/>
        <w:tabs>
          <w:tab w:leader="none" w:pos="1945"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w:t>
      </w:r>
    </w:p>
    <w:p>
      <w:pPr>
        <w:sectPr>
          <w:pgSz w:w="11900" w:h="16838" w:orient="portrait"/>
          <w:cols w:equalWidth="0" w:num="1">
            <w:col w:w="11400"/>
          </w:cols>
          <w:pgMar w:left="240" w:top="118" w:right="259" w:bottom="0" w:gutter="0" w:footer="0" w:header="0"/>
        </w:sectPr>
      </w:pPr>
    </w:p>
    <w:bookmarkStart w:id="95" w:name="page96"/>
    <w:bookmarkEnd w:id="95"/>
    <w:p>
      <w:pPr>
        <w:ind w:right="120"/>
        <w:spacing w:after="0" w:line="238" w:lineRule="auto"/>
        <w:rPr>
          <w:sz w:val="20"/>
          <w:szCs w:val="20"/>
          <w:color w:val="auto"/>
        </w:rPr>
      </w:pPr>
      <w:r>
        <w:rPr>
          <w:rFonts w:ascii="Arial" w:cs="Arial" w:eastAsia="Arial" w:hAnsi="Arial"/>
          <w:sz w:val="22"/>
          <w:szCs w:val="22"/>
          <w:color w:val="auto"/>
        </w:rPr>
        <w:t>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172" w:lineRule="exact"/>
        <w:rPr>
          <w:sz w:val="20"/>
          <w:szCs w:val="20"/>
          <w:color w:val="auto"/>
        </w:rPr>
      </w:pPr>
    </w:p>
    <w:p>
      <w:pPr>
        <w:ind w:right="240" w:firstLine="1305"/>
        <w:spacing w:after="0" w:line="276" w:lineRule="auto"/>
        <w:tabs>
          <w:tab w:leader="none" w:pos="1945"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5(f), 6(h)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ind w:right="100" w:firstLine="158"/>
        <w:spacing w:after="0" w:line="244" w:lineRule="auto"/>
        <w:rPr>
          <w:rFonts w:ascii="Arial" w:cs="Arial" w:eastAsia="Arial" w:hAnsi="Arial"/>
          <w:sz w:val="19"/>
          <w:szCs w:val="19"/>
          <w:color w:val="auto"/>
        </w:rPr>
      </w:pPr>
      <w:r>
        <w:rPr>
          <w:rFonts w:ascii="Arial" w:cs="Arial" w:eastAsia="Arial" w:hAnsi="Arial"/>
          <w:sz w:val="21"/>
          <w:szCs w:val="21"/>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9" w:lineRule="exact"/>
        <w:rPr>
          <w:sz w:val="20"/>
          <w:szCs w:val="20"/>
          <w:color w:val="auto"/>
        </w:rPr>
      </w:pPr>
    </w:p>
    <w:p>
      <w:pPr>
        <w:ind w:right="80" w:firstLine="1305"/>
        <w:spacing w:after="0" w:line="247" w:lineRule="auto"/>
        <w:tabs>
          <w:tab w:leader="none" w:pos="1945"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200" w:firstLine="1305"/>
        <w:spacing w:after="0" w:line="287" w:lineRule="auto"/>
        <w:tabs>
          <w:tab w:leader="none" w:pos="1945"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43" w:lineRule="exact"/>
        <w:rPr>
          <w:rFonts w:ascii="Arial" w:cs="Arial" w:eastAsia="Arial" w:hAnsi="Arial"/>
          <w:sz w:val="19"/>
          <w:szCs w:val="19"/>
          <w:color w:val="auto"/>
        </w:rPr>
      </w:pPr>
    </w:p>
    <w:p>
      <w:pPr>
        <w:ind w:right="600" w:firstLine="1305"/>
        <w:spacing w:after="0" w:line="251" w:lineRule="auto"/>
        <w:tabs>
          <w:tab w:leader="none" w:pos="1945"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59" w:lineRule="exact"/>
        <w:rPr>
          <w:rFonts w:ascii="Arial" w:cs="Arial" w:eastAsia="Arial" w:hAnsi="Arial"/>
          <w:sz w:val="22"/>
          <w:szCs w:val="22"/>
          <w:color w:val="auto"/>
        </w:rPr>
      </w:pPr>
    </w:p>
    <w:p>
      <w:pPr>
        <w:ind w:right="200" w:firstLine="1305"/>
        <w:spacing w:after="0" w:line="251" w:lineRule="auto"/>
        <w:tabs>
          <w:tab w:leader="none" w:pos="1945"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59" w:lineRule="exact"/>
        <w:rPr>
          <w:rFonts w:ascii="Arial" w:cs="Arial" w:eastAsia="Arial" w:hAnsi="Arial"/>
          <w:sz w:val="22"/>
          <w:szCs w:val="22"/>
          <w:color w:val="auto"/>
        </w:rPr>
      </w:pPr>
    </w:p>
    <w:p>
      <w:pPr>
        <w:ind w:right="140" w:firstLine="1305"/>
        <w:spacing w:after="0" w:line="273" w:lineRule="auto"/>
        <w:tabs>
          <w:tab w:leader="none" w:pos="1945"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w:t>
      </w:r>
    </w:p>
    <w:p>
      <w:pPr>
        <w:spacing w:after="0" w:line="1" w:lineRule="exact"/>
        <w:rPr>
          <w:rFonts w:ascii="Arial" w:cs="Arial" w:eastAsia="Arial" w:hAnsi="Arial"/>
          <w:sz w:val="19"/>
          <w:szCs w:val="19"/>
          <w:color w:val="auto"/>
        </w:rPr>
      </w:pPr>
    </w:p>
    <w:p>
      <w:pPr>
        <w:ind w:right="100"/>
        <w:spacing w:after="0" w:line="256" w:lineRule="auto"/>
        <w:rPr>
          <w:rFonts w:ascii="Arial" w:cs="Arial" w:eastAsia="Arial" w:hAnsi="Arial"/>
          <w:sz w:val="19"/>
          <w:szCs w:val="19"/>
          <w:color w:val="auto"/>
        </w:rPr>
      </w:pPr>
      <w:r>
        <w:rPr>
          <w:rFonts w:ascii="Arial" w:cs="Arial" w:eastAsia="Arial" w:hAnsi="Arial"/>
          <w:sz w:val="21"/>
          <w:szCs w:val="21"/>
          <w:color w:val="auto"/>
        </w:rPr>
        <w:t>1 hereof, or the right of the Company to terminate the Executive’s employment for Cause pursuant to Section 1 hereof shall not be deemed to be a waiver of such provision or right or any other provision or right of this Agreement.</w:t>
      </w:r>
    </w:p>
    <w:p>
      <w:pPr>
        <w:spacing w:after="0" w:line="169" w:lineRule="exact"/>
        <w:rPr>
          <w:rFonts w:ascii="Arial" w:cs="Arial" w:eastAsia="Arial" w:hAnsi="Arial"/>
          <w:sz w:val="19"/>
          <w:szCs w:val="19"/>
          <w:color w:val="auto"/>
        </w:rPr>
      </w:pPr>
    </w:p>
    <w:p>
      <w:pPr>
        <w:ind w:firstLine="1305"/>
        <w:spacing w:after="0" w:line="277" w:lineRule="auto"/>
        <w:tabs>
          <w:tab w:leader="none" w:pos="1945"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39" w:lineRule="exact"/>
        <w:rPr>
          <w:rFonts w:ascii="Arial" w:cs="Arial" w:eastAsia="Arial" w:hAnsi="Arial"/>
          <w:sz w:val="19"/>
          <w:szCs w:val="19"/>
          <w:color w:val="auto"/>
        </w:rPr>
      </w:pPr>
    </w:p>
    <w:p>
      <w:pPr>
        <w:ind w:right="220" w:firstLine="1305"/>
        <w:spacing w:after="0"/>
        <w:tabs>
          <w:tab w:leader="none" w:pos="1945"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right="20" w:firstLine="1305"/>
        <w:spacing w:after="0"/>
        <w:tabs>
          <w:tab w:leader="none" w:pos="1945"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86" w:lineRule="exact"/>
        <w:rPr>
          <w:rFonts w:ascii="Arial" w:cs="Arial" w:eastAsia="Arial" w:hAnsi="Arial"/>
          <w:sz w:val="22"/>
          <w:szCs w:val="22"/>
          <w:color w:val="auto"/>
        </w:rPr>
      </w:pPr>
    </w:p>
    <w:p>
      <w:pPr>
        <w:ind w:right="100" w:firstLine="1305"/>
        <w:spacing w:after="0" w:line="245" w:lineRule="auto"/>
        <w:tabs>
          <w:tab w:leader="none" w:pos="1945"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w:t>
      </w:r>
    </w:p>
    <w:p>
      <w:pPr>
        <w:sectPr>
          <w:pgSz w:w="11900" w:h="16838" w:orient="portrait"/>
          <w:cols w:equalWidth="0" w:num="1">
            <w:col w:w="11420"/>
          </w:cols>
          <w:pgMar w:left="240" w:top="118" w:right="239" w:bottom="0" w:gutter="0" w:footer="0" w:header="0"/>
        </w:sectPr>
      </w:pPr>
    </w:p>
    <w:bookmarkStart w:id="96" w:name="page97"/>
    <w:bookmarkEnd w:id="96"/>
    <w:p>
      <w:pPr>
        <w:ind w:right="20" w:firstLine="1945"/>
        <w:spacing w:after="0" w:line="275" w:lineRule="auto"/>
        <w:rPr>
          <w:sz w:val="20"/>
          <w:szCs w:val="20"/>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45" w:lineRule="exact"/>
        <w:rPr>
          <w:sz w:val="20"/>
          <w:szCs w:val="20"/>
          <w:color w:val="auto"/>
        </w:rPr>
      </w:pPr>
    </w:p>
    <w:p>
      <w:pPr>
        <w:ind w:firstLine="1305"/>
        <w:spacing w:after="0" w:line="251" w:lineRule="auto"/>
        <w:tabs>
          <w:tab w:leader="none" w:pos="1945"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380"/>
          </w:cols>
          <w:pgMar w:left="240" w:top="118" w:right="279" w:bottom="1440" w:gutter="0" w:footer="0" w:header="0"/>
        </w:sectPr>
      </w:pPr>
    </w:p>
    <w:bookmarkStart w:id="97" w:name="page98"/>
    <w:bookmarkEnd w:id="97"/>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 Human Resources, Diversity &amp; Inclusion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Dennis Arriola</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President &amp; COO – Southern California Gas Company</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980"/>
          </w:cols>
          <w:pgMar w:left="240" w:top="118" w:right="67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TWO: As a material inducement for the payment of the benefit under Section 14(d) of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74" w:lineRule="exact"/>
        <w:rPr>
          <w:sz w:val="20"/>
          <w:szCs w:val="20"/>
          <w:color w:val="auto"/>
        </w:rPr>
      </w:pPr>
    </w:p>
    <w:p>
      <w:pPr>
        <w:ind w:right="20" w:firstLine="1305"/>
        <w:spacing w:after="0" w:line="236" w:lineRule="auto"/>
        <w:tabs>
          <w:tab w:leader="none" w:pos="1945"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40" w:firstLine="1305"/>
        <w:spacing w:after="0" w:line="268" w:lineRule="auto"/>
        <w:tabs>
          <w:tab w:leader="none" w:pos="1945" w:val="left"/>
        </w:tabs>
        <w:numPr>
          <w:ilvl w:val="1"/>
          <w:numId w:val="166"/>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word “Claim” or “Claims” shall not refer to any charges, complaints, claims, liabilities, obligations, promises, 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 D&amp;O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containing duties, rights obligations etc. of either party that are to remain operative</w:t>
      </w:r>
      <w:r>
        <w:rPr>
          <w:rFonts w:ascii="Arial" w:cs="Arial" w:eastAsia="Arial" w:hAnsi="Arial"/>
          <w:sz w:val="19"/>
          <w:szCs w:val="19"/>
          <w:color w:val="auto"/>
        </w:rPr>
        <w:t>]. Claims released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 (1) Title VII of the Civil Rights Act of 1964 (race, color, religion, sex and national origin discrimination); (2) 42 U.S.C. § 1981 (discrimination); (3) 29 U.S.C. §§ 621–634 (age discrimination); (4) 29 U.S.C. § 206(d)(l) (equal pay);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w:t>
      </w:r>
    </w:p>
    <w:p>
      <w:pPr>
        <w:spacing w:after="0" w:line="2" w:lineRule="exact"/>
        <w:rPr>
          <w:rFonts w:ascii="Arial" w:cs="Arial" w:eastAsia="Arial" w:hAnsi="Arial"/>
          <w:sz w:val="19"/>
          <w:szCs w:val="19"/>
          <w:color w:val="auto"/>
        </w:rPr>
      </w:pPr>
    </w:p>
    <w:p>
      <w:pPr>
        <w:ind w:right="60" w:firstLine="8"/>
        <w:spacing w:after="0" w:line="232" w:lineRule="auto"/>
        <w:tabs>
          <w:tab w:leader="none" w:pos="41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employment); and (15) any federal, state or other governmental statute, regulation or ordinance which is similar to any of the statutes described in clauses (1) through (14).</w:t>
      </w:r>
    </w:p>
    <w:p>
      <w:pPr>
        <w:spacing w:after="0" w:line="189"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48" w:lineRule="exact"/>
        <w:rPr>
          <w:sz w:val="20"/>
          <w:szCs w:val="20"/>
          <w:color w:val="auto"/>
        </w:rPr>
      </w:pPr>
    </w:p>
    <w:p>
      <w:pPr>
        <w:ind w:left="1300" w:right="1540"/>
        <w:spacing w:after="0" w:line="328"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FAVOR AT THE TIME OF EXECUTING THE</w:t>
      </w:r>
    </w:p>
    <w:p>
      <w:pPr>
        <w:sectPr>
          <w:pgSz w:w="11900" w:h="16838" w:orient="portrait"/>
          <w:cols w:equalWidth="0" w:num="1">
            <w:col w:w="11420"/>
          </w:cols>
          <w:pgMar w:left="240" w:top="604" w:right="239" w:bottom="0" w:gutter="0" w:footer="0" w:header="0"/>
        </w:sectPr>
      </w:pPr>
    </w:p>
    <w:bookmarkStart w:id="99" w:name="page100"/>
    <w:bookmarkEnd w:id="99"/>
    <w:p>
      <w:pPr>
        <w:ind w:left="1300" w:right="2100"/>
        <w:spacing w:after="0" w:line="251" w:lineRule="auto"/>
        <w:rPr>
          <w:sz w:val="20"/>
          <w:szCs w:val="20"/>
          <w:color w:val="auto"/>
        </w:rPr>
      </w:pPr>
      <w:r>
        <w:rPr>
          <w:rFonts w:ascii="Arial" w:cs="Arial" w:eastAsia="Arial" w:hAnsi="Arial"/>
          <w:sz w:val="22"/>
          <w:szCs w:val="22"/>
          <w:color w:val="auto"/>
        </w:rPr>
        <w:t>RELEASE, WHICH IF KNOWN BY HIM MUST HAVE MATERIALLY AFFECTED HIS SETTLEMENT WITH THE DEBTOR.”</w:t>
      </w:r>
    </w:p>
    <w:p>
      <w:pPr>
        <w:spacing w:after="0" w:line="17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NINE:</w:t>
      </w:r>
    </w:p>
    <w:p>
      <w:pPr>
        <w:spacing w:after="0" w:line="193" w:lineRule="exact"/>
        <w:rPr>
          <w:sz w:val="20"/>
          <w:szCs w:val="20"/>
          <w:color w:val="auto"/>
        </w:rPr>
      </w:pPr>
    </w:p>
    <w:p>
      <w:pPr>
        <w:ind w:right="40" w:firstLine="1953"/>
        <w:spacing w:after="0" w:line="235" w:lineRule="auto"/>
        <w:tabs>
          <w:tab w:leader="none" w:pos="259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rFonts w:ascii="Arial" w:cs="Arial" w:eastAsia="Arial" w:hAnsi="Arial"/>
          <w:sz w:val="22"/>
          <w:szCs w:val="22"/>
          <w:color w:val="auto"/>
        </w:rPr>
      </w:pPr>
    </w:p>
    <w:p>
      <w:pPr>
        <w:ind w:right="40" w:firstLine="1953"/>
        <w:spacing w:after="0" w:line="279" w:lineRule="auto"/>
        <w:tabs>
          <w:tab w:leader="none" w:pos="259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80" w:firstLine="1953"/>
        <w:spacing w:after="0" w:line="282" w:lineRule="auto"/>
        <w:tabs>
          <w:tab w:leader="none" w:pos="259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9"/>
          <w:szCs w:val="19"/>
          <w:u w:val="single" w:color="auto"/>
          <w:color w:val="auto"/>
        </w:rPr>
        <w:t>arbitrable dispute</w:t>
      </w:r>
      <w:r>
        <w:rPr>
          <w:rFonts w:ascii="Arial" w:cs="Arial" w:eastAsia="Arial" w:hAnsi="Arial"/>
          <w:sz w:val="19"/>
          <w:szCs w:val="19"/>
          <w:color w:val="auto"/>
        </w:rPr>
        <w:t>”) must be submitted to arbitration in San Diego, California. Arbitration shall take place before an experienced employment arbitrator licensed to practice law in such state and</w:t>
      </w:r>
    </w:p>
    <w:p>
      <w:pPr>
        <w:sectPr>
          <w:pgSz w:w="11900" w:h="16838" w:orient="portrait"/>
          <w:cols w:equalWidth="0" w:num="1">
            <w:col w:w="11400"/>
          </w:cols>
          <w:pgMar w:left="240" w:top="118" w:right="259" w:bottom="0" w:gutter="0" w:footer="0" w:header="0"/>
        </w:sectPr>
      </w:pPr>
    </w:p>
    <w:bookmarkStart w:id="100" w:name="page101"/>
    <w:bookmarkEnd w:id="100"/>
    <w:p>
      <w:pPr>
        <w:spacing w:after="0" w:line="34"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selected in accordance with the then existing JAMS arbitration rules applicable to employment disputes;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any event, the arbitrator shall allow reasonable discovery. Arbitration shall be the exclusive remedy for any arbitrable dispute. The arbitrator in any arbitrable dispute shall not have authority to modify or change the Agreement in any respect. You and the Company shall each be responsible for payment of one-half (1/2) the amount of the arbitrator’s fee(s);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you be required to pay any fee or cost of arbitration that is unique to arbitration or exceeds 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Court of the State of California for the County of San Diego, or any other court of competent jurisdiction.</w:t>
      </w:r>
    </w:p>
    <w:p>
      <w:pPr>
        <w:spacing w:after="0" w:line="157"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88"/>
        </w:trPr>
        <w:tc>
          <w:tcPr>
            <w:tcW w:w="1320" w:type="dxa"/>
            <w:vAlign w:val="bottom"/>
          </w:tcPr>
          <w:p>
            <w:pPr>
              <w:spacing w:after="0"/>
              <w:rPr>
                <w:sz w:val="20"/>
                <w:szCs w:val="20"/>
                <w:color w:val="auto"/>
              </w:rPr>
            </w:pPr>
            <w:r>
              <w:rPr>
                <w:rFonts w:ascii="Arial" w:cs="Arial" w:eastAsia="Arial" w:hAnsi="Arial"/>
                <w:sz w:val="22"/>
                <w:szCs w:val="22"/>
                <w:color w:val="auto"/>
                <w:w w:val="98"/>
              </w:rPr>
              <w:t>To Company:</w:t>
            </w:r>
          </w:p>
        </w:tc>
        <w:tc>
          <w:tcPr>
            <w:tcW w:w="2520" w:type="dxa"/>
            <w:vAlign w:val="bottom"/>
          </w:tcPr>
          <w:p>
            <w:pPr>
              <w:ind w:left="140"/>
              <w:spacing w:after="0"/>
              <w:rPr>
                <w:sz w:val="20"/>
                <w:szCs w:val="20"/>
                <w:color w:val="auto"/>
              </w:rPr>
            </w:pPr>
            <w:r>
              <w:rPr>
                <w:rFonts w:ascii="Arial" w:cs="Arial" w:eastAsia="Arial" w:hAnsi="Arial"/>
                <w:sz w:val="22"/>
                <w:szCs w:val="22"/>
                <w:color w:val="auto"/>
              </w:rPr>
              <w:t>[TO COME]</w:t>
            </w:r>
          </w:p>
        </w:tc>
      </w:tr>
      <w:tr>
        <w:trPr>
          <w:trHeight w:val="446"/>
        </w:trPr>
        <w:tc>
          <w:tcPr>
            <w:tcW w:w="1320" w:type="dxa"/>
            <w:vAlign w:val="bottom"/>
          </w:tcPr>
          <w:p>
            <w:pPr>
              <w:spacing w:after="0"/>
              <w:rPr>
                <w:sz w:val="24"/>
                <w:szCs w:val="24"/>
                <w:color w:val="auto"/>
              </w:rPr>
            </w:pPr>
          </w:p>
        </w:tc>
        <w:tc>
          <w:tcPr>
            <w:tcW w:w="2520" w:type="dxa"/>
            <w:vAlign w:val="bottom"/>
          </w:tcPr>
          <w:p>
            <w:pPr>
              <w:ind w:left="140"/>
              <w:spacing w:after="0"/>
              <w:rPr>
                <w:sz w:val="20"/>
                <w:szCs w:val="20"/>
                <w:color w:val="auto"/>
              </w:rPr>
            </w:pPr>
            <w:r>
              <w:rPr>
                <w:rFonts w:ascii="Arial" w:cs="Arial" w:eastAsia="Arial" w:hAnsi="Arial"/>
                <w:sz w:val="22"/>
                <w:szCs w:val="22"/>
                <w:color w:val="auto"/>
              </w:rPr>
              <w:t>Attn: [TO COME]</w:t>
            </w:r>
          </w:p>
        </w:tc>
      </w:tr>
      <w:tr>
        <w:trPr>
          <w:trHeight w:val="414"/>
        </w:trPr>
        <w:tc>
          <w:tcPr>
            <w:tcW w:w="1320" w:type="dxa"/>
            <w:vAlign w:val="bottom"/>
          </w:tcPr>
          <w:p>
            <w:pPr>
              <w:spacing w:after="0"/>
              <w:rPr>
                <w:sz w:val="20"/>
                <w:szCs w:val="20"/>
                <w:color w:val="auto"/>
              </w:rPr>
            </w:pPr>
            <w:r>
              <w:rPr>
                <w:rFonts w:ascii="Arial" w:cs="Arial" w:eastAsia="Arial" w:hAnsi="Arial"/>
                <w:sz w:val="22"/>
                <w:szCs w:val="22"/>
                <w:color w:val="auto"/>
              </w:rPr>
              <w:t>To You:</w:t>
            </w:r>
          </w:p>
        </w:tc>
        <w:tc>
          <w:tcPr>
            <w:tcW w:w="2520" w:type="dxa"/>
            <w:vAlign w:val="bottom"/>
          </w:tcPr>
          <w:p>
            <w:pPr>
              <w:ind w:left="140"/>
              <w:spacing w:after="0"/>
              <w:rPr>
                <w:sz w:val="20"/>
                <w:szCs w:val="20"/>
                <w:color w:val="auto"/>
              </w:rPr>
            </w:pPr>
            <w:r>
              <w:rPr>
                <w:rFonts w:ascii="Arial" w:cs="Arial" w:eastAsia="Arial" w:hAnsi="Arial"/>
                <w:sz w:val="22"/>
                <w:szCs w:val="22"/>
                <w:color w:val="auto"/>
                <w:w w:val="87"/>
              </w:rPr>
              <w:t>______________________</w:t>
            </w:r>
          </w:p>
        </w:tc>
      </w:tr>
      <w:tr>
        <w:trPr>
          <w:trHeight w:val="230"/>
        </w:trPr>
        <w:tc>
          <w:tcPr>
            <w:tcW w:w="1320" w:type="dxa"/>
            <w:vAlign w:val="bottom"/>
          </w:tcPr>
          <w:p>
            <w:pPr>
              <w:spacing w:after="0"/>
              <w:rPr>
                <w:sz w:val="19"/>
                <w:szCs w:val="19"/>
                <w:color w:val="auto"/>
              </w:rPr>
            </w:pPr>
          </w:p>
        </w:tc>
        <w:tc>
          <w:tcPr>
            <w:tcW w:w="2520" w:type="dxa"/>
            <w:vAlign w:val="bottom"/>
          </w:tcPr>
          <w:p>
            <w:pPr>
              <w:ind w:left="140"/>
              <w:spacing w:after="0" w:line="229" w:lineRule="exact"/>
              <w:rPr>
                <w:sz w:val="20"/>
                <w:szCs w:val="20"/>
                <w:color w:val="auto"/>
              </w:rPr>
            </w:pPr>
            <w:r>
              <w:rPr>
                <w:rFonts w:ascii="Arial" w:cs="Arial" w:eastAsia="Arial" w:hAnsi="Arial"/>
                <w:sz w:val="22"/>
                <w:szCs w:val="22"/>
                <w:color w:val="auto"/>
                <w:w w:val="87"/>
              </w:rPr>
              <w:t>______________________</w:t>
            </w:r>
          </w:p>
        </w:tc>
      </w:tr>
      <w:tr>
        <w:trPr>
          <w:trHeight w:val="275"/>
        </w:trPr>
        <w:tc>
          <w:tcPr>
            <w:tcW w:w="132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22"/>
                <w:szCs w:val="22"/>
                <w:color w:val="auto"/>
                <w:w w:val="87"/>
              </w:rPr>
              <w:t>______________________</w:t>
            </w:r>
          </w:p>
        </w:tc>
      </w:tr>
    </w:tbl>
    <w:p>
      <w:pPr>
        <w:spacing w:after="0" w:line="185" w:lineRule="exact"/>
        <w:rPr>
          <w:sz w:val="20"/>
          <w:szCs w:val="20"/>
          <w:color w:val="auto"/>
        </w:rPr>
      </w:pPr>
    </w:p>
    <w:p>
      <w:pPr>
        <w:ind w:right="60" w:firstLine="1297"/>
        <w:spacing w:after="0" w:line="246" w:lineRule="auto"/>
        <w:rPr>
          <w:sz w:val="20"/>
          <w:szCs w:val="20"/>
          <w:color w:val="auto"/>
        </w:rPr>
      </w:pPr>
      <w:r>
        <w:rPr>
          <w:rFonts w:ascii="Arial" w:cs="Arial" w:eastAsia="Arial" w:hAnsi="Arial"/>
          <w:sz w:val="21"/>
          <w:szCs w:val="21"/>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 14(d) of the Severance Pay Agreement.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6"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ectPr>
          <w:pgSz w:w="11900" w:h="16872" w:orient="portrait"/>
          <w:cols w:equalWidth="0" w:num="1">
            <w:col w:w="11420"/>
          </w:cols>
          <w:pgMar w:left="240" w:top="118" w:right="239" w:bottom="0" w:gutter="0" w:footer="0" w:header="0"/>
        </w:sectPr>
      </w:pPr>
    </w:p>
    <w:bookmarkStart w:id="101" w:name="page102"/>
    <w:bookmarkEnd w:id="101"/>
    <w:p>
      <w:pPr>
        <w:ind w:left="3340"/>
        <w:spacing w:after="0"/>
        <w:rPr>
          <w:sz w:val="20"/>
          <w:szCs w:val="20"/>
          <w:color w:val="auto"/>
        </w:rPr>
      </w:pPr>
      <w:r>
        <w:rPr>
          <w:rFonts w:ascii="Arial" w:cs="Arial" w:eastAsia="Arial" w:hAnsi="Arial"/>
          <w:sz w:val="19"/>
          <w:szCs w:val="19"/>
          <w:color w:val="auto"/>
        </w:rPr>
        <w:t>_________________________</w:t>
      </w:r>
    </w:p>
    <w:p>
      <w:pPr>
        <w:sectPr>
          <w:pgSz w:w="11900" w:h="16838" w:orient="portrait"/>
          <w:cols w:equalWidth="0" w:num="1">
            <w:col w:w="9019"/>
          </w:cols>
          <w:pgMar w:left="1440" w:top="118" w:right="1440"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60" w:right="380" w:hanging="258"/>
        <w:spacing w:after="0" w:line="261" w:lineRule="auto"/>
        <w:rPr>
          <w:sz w:val="20"/>
          <w:szCs w:val="20"/>
          <w:color w:val="auto"/>
        </w:rPr>
      </w:pPr>
      <w:r>
        <w:rPr>
          <w:rFonts w:ascii="Arial" w:cs="Arial" w:eastAsia="Arial" w:hAnsi="Arial"/>
          <w:sz w:val="17"/>
          <w:szCs w:val="17"/>
          <w:color w:val="auto"/>
        </w:rPr>
        <w:t>Fixed charges and preferred stock dividends: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jc w:val="right"/>
        <w:ind w:right="460"/>
        <w:spacing w:after="0" w:line="234" w:lineRule="auto"/>
        <w:rPr>
          <w:sz w:val="20"/>
          <w:szCs w:val="20"/>
          <w:color w:val="auto"/>
        </w:rPr>
      </w:pPr>
      <w:r>
        <w:rPr>
          <w:rFonts w:ascii="Arial" w:cs="Arial" w:eastAsia="Arial" w:hAnsi="Arial"/>
          <w:sz w:val="18"/>
          <w:szCs w:val="18"/>
          <w:color w:val="auto"/>
        </w:rPr>
        <w:t>Interest portion of annual rentals</w:t>
      </w:r>
    </w:p>
    <w:p>
      <w:pPr>
        <w:spacing w:after="0" w:line="2" w:lineRule="exact"/>
        <w:rPr>
          <w:sz w:val="20"/>
          <w:szCs w:val="20"/>
          <w:color w:val="auto"/>
        </w:rPr>
      </w:pPr>
    </w:p>
    <w:p>
      <w:pPr>
        <w:ind w:left="240" w:right="100" w:hanging="246"/>
        <w:spacing w:after="0" w:line="254" w:lineRule="auto"/>
        <w:rPr>
          <w:sz w:val="20"/>
          <w:szCs w:val="20"/>
          <w:color w:val="auto"/>
        </w:rPr>
      </w:pPr>
      <w:r>
        <w:rPr>
          <w:rFonts w:ascii="Arial" w:cs="Arial" w:eastAsia="Arial" w:hAnsi="Arial"/>
          <w:sz w:val="17"/>
          <w:szCs w:val="17"/>
          <w:color w:val="auto"/>
        </w:rPr>
        <w:t>Preferred dividends of subsidiaries (2) Total fixed charges</w:t>
      </w:r>
    </w:p>
    <w:p>
      <w:pPr>
        <w:spacing w:after="0" w:line="1" w:lineRule="exact"/>
        <w:rPr>
          <w:sz w:val="20"/>
          <w:szCs w:val="20"/>
          <w:color w:val="auto"/>
        </w:rPr>
      </w:pPr>
    </w:p>
    <w:p>
      <w:pPr>
        <w:ind w:left="260" w:right="40" w:hanging="258"/>
        <w:spacing w:after="0" w:line="234" w:lineRule="auto"/>
        <w:rPr>
          <w:sz w:val="20"/>
          <w:szCs w:val="20"/>
          <w:color w:val="auto"/>
        </w:rPr>
      </w:pPr>
      <w:r>
        <w:rPr>
          <w:rFonts w:ascii="Arial" w:cs="Arial" w:eastAsia="Arial" w:hAnsi="Arial"/>
          <w:sz w:val="18"/>
          <w:szCs w:val="18"/>
          <w:color w:val="auto"/>
        </w:rPr>
        <w:t>Preferred dividends for purpose of ratio</w:t>
      </w:r>
    </w:p>
    <w:p>
      <w:pPr>
        <w:spacing w:after="0" w:line="2" w:lineRule="exact"/>
        <w:rPr>
          <w:sz w:val="20"/>
          <w:szCs w:val="20"/>
          <w:color w:val="auto"/>
        </w:rPr>
      </w:pPr>
    </w:p>
    <w:p>
      <w:pPr>
        <w:jc w:val="both"/>
        <w:ind w:left="260" w:right="20" w:hanging="258"/>
        <w:spacing w:after="0" w:line="261" w:lineRule="auto"/>
        <w:rPr>
          <w:sz w:val="20"/>
          <w:szCs w:val="20"/>
          <w:color w:val="auto"/>
        </w:rPr>
      </w:pPr>
      <w:r>
        <w:rPr>
          <w:rFonts w:ascii="Arial" w:cs="Arial" w:eastAsia="Arial" w:hAnsi="Arial"/>
          <w:sz w:val="17"/>
          <w:szCs w:val="17"/>
          <w:color w:val="auto"/>
        </w:rPr>
        <w:t>Total fixed charges and preferred dividends for purpose of ratio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Pretax income from</w:t>
      </w:r>
    </w:p>
    <w:p>
      <w:pPr>
        <w:ind w:left="260"/>
        <w:spacing w:after="0" w:line="234" w:lineRule="auto"/>
        <w:rPr>
          <w:sz w:val="20"/>
          <w:szCs w:val="20"/>
          <w:color w:val="auto"/>
        </w:rPr>
      </w:pPr>
      <w:r>
        <w:rPr>
          <w:rFonts w:ascii="Arial" w:cs="Arial" w:eastAsia="Arial" w:hAnsi="Arial"/>
          <w:sz w:val="18"/>
          <w:szCs w:val="18"/>
          <w:color w:val="auto"/>
        </w:rPr>
        <w:t>continuing</w:t>
      </w:r>
    </w:p>
    <w:p>
      <w:pPr>
        <w:ind w:left="260"/>
        <w:spacing w:after="0" w:line="235" w:lineRule="auto"/>
        <w:rPr>
          <w:sz w:val="20"/>
          <w:szCs w:val="20"/>
          <w:color w:val="auto"/>
        </w:rPr>
      </w:pPr>
      <w:r>
        <w:rPr>
          <w:rFonts w:ascii="Arial" w:cs="Arial" w:eastAsia="Arial" w:hAnsi="Arial"/>
          <w:sz w:val="18"/>
          <w:szCs w:val="18"/>
          <w:color w:val="auto"/>
        </w:rPr>
        <w:t>operations before</w:t>
      </w:r>
    </w:p>
    <w:p>
      <w:pPr>
        <w:ind w:left="260"/>
        <w:spacing w:after="0" w:line="235" w:lineRule="auto"/>
        <w:rPr>
          <w:sz w:val="20"/>
          <w:szCs w:val="20"/>
          <w:color w:val="auto"/>
        </w:rPr>
      </w:pPr>
      <w:r>
        <w:rPr>
          <w:rFonts w:ascii="Arial" w:cs="Arial" w:eastAsia="Arial" w:hAnsi="Arial"/>
          <w:sz w:val="18"/>
          <w:szCs w:val="18"/>
          <w:color w:val="auto"/>
        </w:rPr>
        <w:t>adjustment for</w:t>
      </w:r>
    </w:p>
    <w:p>
      <w:pPr>
        <w:ind w:left="260"/>
        <w:spacing w:after="0" w:line="235" w:lineRule="auto"/>
        <w:rPr>
          <w:sz w:val="20"/>
          <w:szCs w:val="20"/>
          <w:color w:val="auto"/>
        </w:rPr>
      </w:pPr>
      <w:r>
        <w:rPr>
          <w:rFonts w:ascii="Arial" w:cs="Arial" w:eastAsia="Arial" w:hAnsi="Arial"/>
          <w:sz w:val="18"/>
          <w:szCs w:val="18"/>
          <w:color w:val="auto"/>
        </w:rPr>
        <w:t>income or loss from</w:t>
      </w:r>
    </w:p>
    <w:p>
      <w:pPr>
        <w:ind w:left="260"/>
        <w:spacing w:after="0"/>
        <w:rPr>
          <w:sz w:val="20"/>
          <w:szCs w:val="20"/>
          <w:color w:val="auto"/>
        </w:rPr>
      </w:pPr>
      <w:r>
        <w:rPr>
          <w:rFonts w:ascii="Arial" w:cs="Arial" w:eastAsia="Arial" w:hAnsi="Arial"/>
          <w:sz w:val="18"/>
          <w:szCs w:val="18"/>
          <w:color w:val="auto"/>
        </w:rPr>
        <w:t>equity investees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Add:</w:t>
      </w:r>
    </w:p>
    <w:p>
      <w:pPr>
        <w:ind w:left="260" w:right="260" w:hanging="161"/>
        <w:spacing w:after="0" w:line="248" w:lineRule="auto"/>
        <w:rPr>
          <w:sz w:val="20"/>
          <w:szCs w:val="20"/>
          <w:color w:val="auto"/>
        </w:rPr>
      </w:pPr>
      <w:r>
        <w:rPr>
          <w:rFonts w:ascii="Arial" w:cs="Arial" w:eastAsia="Arial" w:hAnsi="Arial"/>
          <w:sz w:val="17"/>
          <w:szCs w:val="17"/>
          <w:color w:val="auto"/>
        </w:rPr>
        <w:t>Total fixed charges (from above)</w:t>
      </w:r>
    </w:p>
    <w:p>
      <w:pPr>
        <w:spacing w:after="0" w:line="1" w:lineRule="exact"/>
        <w:rPr>
          <w:sz w:val="20"/>
          <w:szCs w:val="20"/>
          <w:color w:val="auto"/>
        </w:rPr>
      </w:pPr>
    </w:p>
    <w:p>
      <w:pPr>
        <w:ind w:left="260" w:right="80" w:hanging="158"/>
        <w:spacing w:after="0" w:line="242" w:lineRule="auto"/>
        <w:rPr>
          <w:sz w:val="20"/>
          <w:szCs w:val="20"/>
          <w:color w:val="auto"/>
        </w:rPr>
      </w:pPr>
      <w:r>
        <w:rPr>
          <w:rFonts w:ascii="Arial" w:cs="Arial" w:eastAsia="Arial" w:hAnsi="Arial"/>
          <w:sz w:val="18"/>
          <w:szCs w:val="18"/>
          <w:color w:val="auto"/>
        </w:rPr>
        <w:t>Distributed income of equity investees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100"/>
        <w:spacing w:after="0" w:line="248" w:lineRule="auto"/>
        <w:rPr>
          <w:sz w:val="20"/>
          <w:szCs w:val="20"/>
          <w:color w:val="auto"/>
        </w:rPr>
      </w:pPr>
      <w:r>
        <w:rPr>
          <w:rFonts w:ascii="Arial" w:cs="Arial" w:eastAsia="Arial" w:hAnsi="Arial"/>
          <w:sz w:val="17"/>
          <w:szCs w:val="17"/>
          <w:color w:val="auto"/>
        </w:rPr>
        <w:t>Interest capitalized Preferred dividends of</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subsidiaries (2)</w:t>
      </w:r>
    </w:p>
    <w:p>
      <w:pPr>
        <w:spacing w:after="0" w:line="36" w:lineRule="exact"/>
        <w:rPr>
          <w:sz w:val="20"/>
          <w:szCs w:val="20"/>
          <w:color w:val="auto"/>
        </w:rPr>
      </w:pPr>
    </w:p>
    <w:p>
      <w:pPr>
        <w:ind w:left="260" w:right="360" w:hanging="258"/>
        <w:spacing w:after="0" w:line="275" w:lineRule="auto"/>
        <w:rPr>
          <w:sz w:val="20"/>
          <w:szCs w:val="20"/>
          <w:color w:val="auto"/>
        </w:rPr>
      </w:pPr>
      <w:r>
        <w:rPr>
          <w:rFonts w:ascii="Arial" w:cs="Arial" w:eastAsia="Arial" w:hAnsi="Arial"/>
          <w:sz w:val="17"/>
          <w:szCs w:val="17"/>
          <w:color w:val="auto"/>
        </w:rPr>
        <w:t>Total earnings for purpose of ratio</w:t>
      </w:r>
    </w:p>
    <w:p>
      <w:pPr>
        <w:spacing w:after="0" w:line="173" w:lineRule="exact"/>
        <w:rPr>
          <w:sz w:val="20"/>
          <w:szCs w:val="20"/>
          <w:color w:val="auto"/>
        </w:rPr>
      </w:pPr>
    </w:p>
    <w:p>
      <w:pPr>
        <w:ind w:left="260" w:right="300" w:hanging="258"/>
        <w:spacing w:after="0" w:line="238"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03" w:lineRule="exact"/>
        <w:rPr>
          <w:sz w:val="20"/>
          <w:szCs w:val="20"/>
          <w:color w:val="auto"/>
        </w:rPr>
      </w:pPr>
    </w:p>
    <w:p>
      <w:pPr>
        <w:ind w:left="260" w:right="30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8"/>
          <w:szCs w:val="18"/>
          <w:b w:val="1"/>
          <w:bCs w:val="1"/>
          <w:color w:val="auto"/>
        </w:rPr>
        <w:t>EXHIBIT 12.1</w:t>
      </w:r>
    </w:p>
    <w:p>
      <w:pPr>
        <w:spacing w:after="0" w:line="13"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SEMPRA ENERGY</w:t>
      </w:r>
    </w:p>
    <w:p>
      <w:pPr>
        <w:jc w:val="center"/>
        <w:ind w:right="246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246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September</w:t>
            </w:r>
          </w:p>
        </w:tc>
      </w:tr>
      <w:tr>
        <w:trPr>
          <w:trHeight w:val="203"/>
        </w:trPr>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30,</w:t>
            </w:r>
          </w:p>
        </w:tc>
      </w:tr>
      <w:tr>
        <w:trPr>
          <w:trHeight w:val="203"/>
        </w:trPr>
        <w:tc>
          <w:tcPr>
            <w:tcW w:w="12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2007</w:t>
            </w:r>
          </w:p>
        </w:tc>
        <w:tc>
          <w:tcPr>
            <w:tcW w:w="340" w:type="dxa"/>
            <w:vAlign w:val="bottom"/>
          </w:tcPr>
          <w:p>
            <w:pPr>
              <w:spacing w:after="0"/>
              <w:rPr>
                <w:sz w:val="17"/>
                <w:szCs w:val="17"/>
                <w:color w:val="auto"/>
              </w:rPr>
            </w:pPr>
          </w:p>
        </w:tc>
        <w:tc>
          <w:tcPr>
            <w:tcW w:w="12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2008(1)</w:t>
            </w:r>
          </w:p>
        </w:tc>
        <w:tc>
          <w:tcPr>
            <w:tcW w:w="340" w:type="dxa"/>
            <w:vAlign w:val="bottom"/>
          </w:tcPr>
          <w:p>
            <w:pPr>
              <w:spacing w:after="0"/>
              <w:rPr>
                <w:sz w:val="17"/>
                <w:szCs w:val="17"/>
                <w:color w:val="auto"/>
              </w:rPr>
            </w:pPr>
          </w:p>
        </w:tc>
        <w:tc>
          <w:tcPr>
            <w:tcW w:w="12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2009(1)</w:t>
            </w:r>
          </w:p>
        </w:tc>
        <w:tc>
          <w:tcPr>
            <w:tcW w:w="340" w:type="dxa"/>
            <w:vAlign w:val="bottom"/>
          </w:tcPr>
          <w:p>
            <w:pPr>
              <w:spacing w:after="0"/>
              <w:rPr>
                <w:sz w:val="17"/>
                <w:szCs w:val="17"/>
                <w:color w:val="auto"/>
              </w:rPr>
            </w:pPr>
          </w:p>
        </w:tc>
        <w:tc>
          <w:tcPr>
            <w:tcW w:w="12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2010(1)</w:t>
            </w:r>
          </w:p>
        </w:tc>
        <w:tc>
          <w:tcPr>
            <w:tcW w:w="340" w:type="dxa"/>
            <w:vAlign w:val="bottom"/>
          </w:tcPr>
          <w:p>
            <w:pPr>
              <w:spacing w:after="0"/>
              <w:rPr>
                <w:sz w:val="17"/>
                <w:szCs w:val="17"/>
                <w:color w:val="auto"/>
              </w:rPr>
            </w:pPr>
          </w:p>
        </w:tc>
        <w:tc>
          <w:tcPr>
            <w:tcW w:w="12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2011(1)</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2012</w:t>
            </w:r>
          </w:p>
        </w:tc>
      </w:tr>
      <w:tr>
        <w:trPr>
          <w:trHeight w:val="803"/>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379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353</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455</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492</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549</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438</w:t>
            </w:r>
          </w:p>
        </w:tc>
      </w:tr>
      <w:tr>
        <w:trPr>
          <w:trHeight w:val="405"/>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r>
      <w:tr>
        <w:trPr>
          <w:trHeight w:val="378"/>
        </w:trPr>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399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369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470</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506</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561</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445</w:t>
            </w:r>
          </w:p>
        </w:tc>
      </w:tr>
      <w:tr>
        <w:trPr>
          <w:trHeight w:val="378"/>
        </w:trPr>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560"/>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03"/>
        </w:trPr>
        <w:tc>
          <w:tcPr>
            <w:tcW w:w="12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399</w:t>
            </w:r>
          </w:p>
        </w:tc>
        <w:tc>
          <w:tcPr>
            <w:tcW w:w="15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369</w:t>
            </w:r>
          </w:p>
        </w:tc>
        <w:tc>
          <w:tcPr>
            <w:tcW w:w="15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470</w:t>
            </w:r>
          </w:p>
        </w:tc>
        <w:tc>
          <w:tcPr>
            <w:tcW w:w="15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506</w:t>
            </w:r>
          </w:p>
        </w:tc>
        <w:tc>
          <w:tcPr>
            <w:tcW w:w="15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561</w:t>
            </w:r>
          </w:p>
        </w:tc>
        <w:tc>
          <w:tcPr>
            <w:tcW w:w="160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445</w:t>
            </w: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1,538</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1,009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977</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1,079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1,747</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1,009</w:t>
            </w:r>
          </w:p>
        </w:tc>
      </w:tr>
      <w:tr>
        <w:trPr>
          <w:trHeight w:val="621"/>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399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369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470</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506</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561</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445</w:t>
            </w:r>
          </w:p>
        </w:tc>
      </w:tr>
      <w:tr>
        <w:trPr>
          <w:trHeight w:val="405"/>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133</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493</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260</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96</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37</w:t>
            </w:r>
          </w:p>
        </w:tc>
      </w:tr>
      <w:tr>
        <w:trPr>
          <w:trHeight w:val="432"/>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73</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74</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r>
      <w:tr>
        <w:trPr>
          <w:trHeight w:val="378"/>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r>
      <w:tr>
        <w:trPr>
          <w:trHeight w:val="195"/>
        </w:trPr>
        <w:tc>
          <w:tcPr>
            <w:tcW w:w="12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03"/>
        </w:trPr>
        <w:tc>
          <w:tcPr>
            <w:tcW w:w="12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1,846</w:t>
            </w:r>
          </w:p>
        </w:tc>
        <w:tc>
          <w:tcPr>
            <w:tcW w:w="15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1,401</w:t>
            </w:r>
          </w:p>
        </w:tc>
        <w:tc>
          <w:tcPr>
            <w:tcW w:w="15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1,854</w:t>
            </w:r>
          </w:p>
        </w:tc>
        <w:tc>
          <w:tcPr>
            <w:tcW w:w="15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1,760</w:t>
            </w:r>
          </w:p>
        </w:tc>
        <w:tc>
          <w:tcPr>
            <w:tcW w:w="15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2,367</w:t>
            </w:r>
          </w:p>
        </w:tc>
        <w:tc>
          <w:tcPr>
            <w:tcW w:w="160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1,445</w:t>
            </w: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4.63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4.63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1860" w:space="460"/>
            <w:col w:w="8960"/>
          </w:cols>
          <w:pgMar w:left="380" w:top="1089" w:right="239" w:bottom="1440" w:gutter="0" w:footer="0" w:header="0"/>
        </w:sectPr>
      </w:pPr>
    </w:p>
    <w:p>
      <w:pPr>
        <w:ind w:left="520" w:right="300" w:hanging="499"/>
        <w:spacing w:after="0" w:line="234" w:lineRule="auto"/>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As adjusted for the retrospective effect of a change in accounting principle. This change had no impact at December 31, 2007 or for the year then ended.</w:t>
      </w:r>
    </w:p>
    <w:p>
      <w:pPr>
        <w:spacing w:after="0" w:line="1" w:lineRule="exact"/>
        <w:rPr>
          <w:rFonts w:ascii="Arial" w:cs="Arial" w:eastAsia="Arial" w:hAnsi="Arial"/>
          <w:sz w:val="18"/>
          <w:szCs w:val="18"/>
          <w:color w:val="auto"/>
        </w:rPr>
      </w:pPr>
    </w:p>
    <w:p>
      <w:pPr>
        <w:ind w:left="520" w:right="520" w:hanging="499"/>
        <w:spacing w:after="0" w:line="246" w:lineRule="auto"/>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Fixed Charges and</w:t>
      </w:r>
    </w:p>
    <w:p>
      <w:pPr>
        <w:ind w:left="260"/>
        <w:spacing w:after="0" w:line="234" w:lineRule="auto"/>
        <w:rPr>
          <w:sz w:val="20"/>
          <w:szCs w:val="20"/>
          <w:color w:val="auto"/>
        </w:rPr>
      </w:pPr>
      <w:r>
        <w:rPr>
          <w:rFonts w:ascii="Arial" w:cs="Arial" w:eastAsia="Arial" w:hAnsi="Arial"/>
          <w:sz w:val="18"/>
          <w:szCs w:val="18"/>
          <w:color w:val="auto"/>
        </w:rPr>
        <w:t>Preferred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jc w:val="right"/>
        <w:ind w:right="160"/>
        <w:spacing w:after="0" w:line="242" w:lineRule="auto"/>
        <w:rPr>
          <w:sz w:val="20"/>
          <w:szCs w:val="20"/>
          <w:color w:val="auto"/>
        </w:rPr>
      </w:pPr>
      <w:r>
        <w:rPr>
          <w:rFonts w:ascii="Arial" w:cs="Arial" w:eastAsia="Arial" w:hAnsi="Arial"/>
          <w:sz w:val="18"/>
          <w:szCs w:val="18"/>
          <w:color w:val="auto"/>
        </w:rPr>
        <w:t>Interest portion of annual rentals</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Total fixed charges Preferred stock</w:t>
      </w:r>
    </w:p>
    <w:p>
      <w:pPr>
        <w:spacing w:after="0" w:line="1" w:lineRule="exact"/>
        <w:rPr>
          <w:sz w:val="20"/>
          <w:szCs w:val="20"/>
          <w:color w:val="auto"/>
        </w:rPr>
      </w:pPr>
    </w:p>
    <w:p>
      <w:pPr>
        <w:jc w:val="right"/>
        <w:ind w:right="280"/>
        <w:spacing w:after="0" w:line="234" w:lineRule="auto"/>
        <w:rPr>
          <w:sz w:val="20"/>
          <w:szCs w:val="20"/>
          <w:color w:val="auto"/>
        </w:rPr>
      </w:pPr>
      <w:r>
        <w:rPr>
          <w:rFonts w:ascii="Arial" w:cs="Arial" w:eastAsia="Arial" w:hAnsi="Arial"/>
          <w:sz w:val="18"/>
          <w:szCs w:val="18"/>
          <w:color w:val="auto"/>
        </w:rPr>
        <w:t>dividends (1) Combined fixed charges and</w:t>
      </w:r>
    </w:p>
    <w:p>
      <w:pPr>
        <w:spacing w:after="0" w:line="2" w:lineRule="exact"/>
        <w:rPr>
          <w:sz w:val="20"/>
          <w:szCs w:val="20"/>
          <w:color w:val="auto"/>
        </w:rPr>
      </w:pPr>
    </w:p>
    <w:p>
      <w:pPr>
        <w:ind w:left="260" w:right="60"/>
        <w:spacing w:after="0" w:line="254" w:lineRule="auto"/>
        <w:rPr>
          <w:sz w:val="20"/>
          <w:szCs w:val="20"/>
          <w:color w:val="auto"/>
        </w:rPr>
      </w:pPr>
      <w:r>
        <w:rPr>
          <w:rFonts w:ascii="Arial" w:cs="Arial" w:eastAsia="Arial" w:hAnsi="Arial"/>
          <w:sz w:val="17"/>
          <w:szCs w:val="17"/>
          <w:color w:val="auto"/>
        </w:rPr>
        <w:t>preferred stock dividends for purpose of ratio</w:t>
      </w:r>
    </w:p>
    <w:p>
      <w:pPr>
        <w:spacing w:after="0" w:line="235" w:lineRule="auto"/>
        <w:rPr>
          <w:sz w:val="20"/>
          <w:szCs w:val="20"/>
          <w:color w:val="auto"/>
        </w:rPr>
      </w:pPr>
      <w:r>
        <w:rPr>
          <w:rFonts w:ascii="Arial" w:cs="Arial" w:eastAsia="Arial" w:hAnsi="Arial"/>
          <w:sz w:val="18"/>
          <w:szCs w:val="18"/>
          <w:color w:val="auto"/>
        </w:rPr>
        <w:t>Earnings:</w:t>
      </w:r>
    </w:p>
    <w:p>
      <w:pPr>
        <w:spacing w:after="0" w:line="1" w:lineRule="exact"/>
        <w:rPr>
          <w:sz w:val="20"/>
          <w:szCs w:val="20"/>
          <w:color w:val="auto"/>
        </w:rPr>
      </w:pPr>
    </w:p>
    <w:p>
      <w:pPr>
        <w:ind w:left="260" w:hanging="258"/>
        <w:spacing w:after="0" w:line="234" w:lineRule="auto"/>
        <w:rPr>
          <w:sz w:val="20"/>
          <w:szCs w:val="20"/>
          <w:color w:val="auto"/>
        </w:rPr>
      </w:pPr>
      <w:r>
        <w:rPr>
          <w:rFonts w:ascii="Arial" w:cs="Arial" w:eastAsia="Arial" w:hAnsi="Arial"/>
          <w:sz w:val="18"/>
          <w:szCs w:val="18"/>
          <w:color w:val="auto"/>
        </w:rPr>
        <w:t>Pretax income from continuing operations</w:t>
      </w:r>
    </w:p>
    <w:p>
      <w:pPr>
        <w:spacing w:after="0" w:line="2" w:lineRule="exact"/>
        <w:rPr>
          <w:sz w:val="20"/>
          <w:szCs w:val="20"/>
          <w:color w:val="auto"/>
        </w:rPr>
      </w:pPr>
    </w:p>
    <w:p>
      <w:pPr>
        <w:ind w:left="260" w:right="60" w:hanging="258"/>
        <w:spacing w:after="0" w:line="248" w:lineRule="auto"/>
        <w:rPr>
          <w:sz w:val="20"/>
          <w:szCs w:val="20"/>
          <w:color w:val="auto"/>
        </w:rPr>
      </w:pPr>
      <w:r>
        <w:rPr>
          <w:rFonts w:ascii="Arial" w:cs="Arial" w:eastAsia="Arial" w:hAnsi="Arial"/>
          <w:sz w:val="17"/>
          <w:szCs w:val="17"/>
          <w:color w:val="auto"/>
        </w:rPr>
        <w:t>Total fixed charges (from above)</w:t>
      </w:r>
    </w:p>
    <w:p>
      <w:pPr>
        <w:spacing w:after="0" w:line="1" w:lineRule="exact"/>
        <w:rPr>
          <w:sz w:val="20"/>
          <w:szCs w:val="20"/>
          <w:color w:val="auto"/>
        </w:rPr>
      </w:pPr>
    </w:p>
    <w:p>
      <w:pPr>
        <w:jc w:val="right"/>
        <w:ind w:right="460"/>
        <w:spacing w:after="0" w:line="246" w:lineRule="auto"/>
        <w:rPr>
          <w:sz w:val="20"/>
          <w:szCs w:val="20"/>
          <w:color w:val="auto"/>
        </w:rPr>
      </w:pPr>
      <w:r>
        <w:rPr>
          <w:rFonts w:ascii="Arial" w:cs="Arial" w:eastAsia="Arial" w:hAnsi="Arial"/>
          <w:sz w:val="18"/>
          <w:szCs w:val="18"/>
          <w:color w:val="auto"/>
        </w:rPr>
        <w:t>Less: Interest capitalized</w:t>
      </w:r>
    </w:p>
    <w:p>
      <w:pPr>
        <w:spacing w:after="0" w:line="21" w:lineRule="exact"/>
        <w:rPr>
          <w:sz w:val="20"/>
          <w:szCs w:val="20"/>
          <w:color w:val="auto"/>
        </w:rPr>
      </w:pPr>
    </w:p>
    <w:p>
      <w:pPr>
        <w:ind w:left="260" w:right="60" w:hanging="258"/>
        <w:spacing w:after="0" w:line="275" w:lineRule="auto"/>
        <w:rPr>
          <w:sz w:val="20"/>
          <w:szCs w:val="20"/>
          <w:color w:val="auto"/>
        </w:rPr>
      </w:pPr>
      <w:r>
        <w:rPr>
          <w:rFonts w:ascii="Arial" w:cs="Arial" w:eastAsia="Arial" w:hAnsi="Arial"/>
          <w:sz w:val="17"/>
          <w:szCs w:val="17"/>
          <w:color w:val="auto"/>
        </w:rPr>
        <w:t>Total earnings for purpose of ratio</w:t>
      </w:r>
    </w:p>
    <w:p>
      <w:pPr>
        <w:spacing w:after="0" w:line="173" w:lineRule="exact"/>
        <w:rPr>
          <w:sz w:val="20"/>
          <w:szCs w:val="20"/>
          <w:color w:val="auto"/>
        </w:rPr>
      </w:pPr>
    </w:p>
    <w:p>
      <w:pPr>
        <w:ind w:left="260" w:hanging="258"/>
        <w:spacing w:after="0" w:line="238"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03" w:lineRule="exact"/>
        <w:rPr>
          <w:sz w:val="20"/>
          <w:szCs w:val="20"/>
          <w:color w:val="auto"/>
        </w:rPr>
      </w:pPr>
    </w:p>
    <w:p>
      <w:pPr>
        <w:ind w:left="26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Arial" w:cs="Arial" w:eastAsia="Arial" w:hAnsi="Arial"/>
          <w:sz w:val="18"/>
          <w:szCs w:val="18"/>
          <w:b w:val="1"/>
          <w:bCs w:val="1"/>
          <w:color w:val="auto"/>
        </w:rPr>
        <w:t>EXHIBIT 12.2</w:t>
      </w:r>
    </w:p>
    <w:p>
      <w:pPr>
        <w:spacing w:after="0" w:line="13" w:lineRule="exact"/>
        <w:rPr>
          <w:sz w:val="20"/>
          <w:szCs w:val="20"/>
          <w:color w:val="auto"/>
        </w:rPr>
      </w:pPr>
    </w:p>
    <w:p>
      <w:pPr>
        <w:jc w:val="center"/>
        <w:ind w:right="2260"/>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226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226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2260"/>
        <w:spacing w:after="0"/>
        <w:rPr>
          <w:sz w:val="20"/>
          <w:szCs w:val="20"/>
          <w:color w:val="auto"/>
        </w:rPr>
      </w:pPr>
      <w:r>
        <w:rPr>
          <w:rFonts w:ascii="Arial" w:cs="Arial" w:eastAsia="Arial" w:hAnsi="Arial"/>
          <w:sz w:val="18"/>
          <w:szCs w:val="18"/>
          <w:b w:val="1"/>
          <w:bCs w:val="1"/>
          <w:color w:val="auto"/>
        </w:rPr>
        <w:t>(Dollars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September</w:t>
            </w:r>
          </w:p>
        </w:tc>
      </w:tr>
      <w:tr>
        <w:trPr>
          <w:trHeight w:val="203"/>
        </w:trPr>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gridSpan w:val="2"/>
          </w:tcPr>
          <w:p>
            <w:pPr>
              <w:jc w:val="right"/>
              <w:ind w:right="490"/>
              <w:spacing w:after="0" w:line="202" w:lineRule="exact"/>
              <w:rPr>
                <w:sz w:val="20"/>
                <w:szCs w:val="20"/>
                <w:color w:val="auto"/>
              </w:rPr>
            </w:pPr>
            <w:r>
              <w:rPr>
                <w:rFonts w:ascii="Arial" w:cs="Arial" w:eastAsia="Arial" w:hAnsi="Arial"/>
                <w:sz w:val="18"/>
                <w:szCs w:val="18"/>
                <w:color w:val="auto"/>
              </w:rPr>
              <w:t>30,</w:t>
            </w:r>
          </w:p>
        </w:tc>
      </w:tr>
      <w:tr>
        <w:trPr>
          <w:trHeight w:val="203"/>
        </w:trPr>
        <w:tc>
          <w:tcPr>
            <w:tcW w:w="12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2007</w:t>
            </w:r>
          </w:p>
        </w:tc>
        <w:tc>
          <w:tcPr>
            <w:tcW w:w="340" w:type="dxa"/>
            <w:vAlign w:val="bottom"/>
          </w:tcPr>
          <w:p>
            <w:pPr>
              <w:spacing w:after="0"/>
              <w:rPr>
                <w:sz w:val="17"/>
                <w:szCs w:val="17"/>
                <w:color w:val="auto"/>
              </w:rPr>
            </w:pPr>
          </w:p>
        </w:tc>
        <w:tc>
          <w:tcPr>
            <w:tcW w:w="12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2008</w:t>
            </w:r>
          </w:p>
        </w:tc>
        <w:tc>
          <w:tcPr>
            <w:tcW w:w="320" w:type="dxa"/>
            <w:vAlign w:val="bottom"/>
          </w:tcPr>
          <w:p>
            <w:pPr>
              <w:spacing w:after="0"/>
              <w:rPr>
                <w:sz w:val="17"/>
                <w:szCs w:val="17"/>
                <w:color w:val="auto"/>
              </w:rPr>
            </w:pPr>
          </w:p>
        </w:tc>
        <w:tc>
          <w:tcPr>
            <w:tcW w:w="12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12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12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2011</w:t>
            </w:r>
          </w:p>
        </w:tc>
        <w:tc>
          <w:tcPr>
            <w:tcW w:w="320" w:type="dxa"/>
            <w:vAlign w:val="bottom"/>
          </w:tcPr>
          <w:p>
            <w:pPr>
              <w:spacing w:after="0"/>
              <w:rPr>
                <w:sz w:val="17"/>
                <w:szCs w:val="17"/>
                <w:color w:val="auto"/>
              </w:rPr>
            </w:pPr>
          </w:p>
        </w:tc>
        <w:tc>
          <w:tcPr>
            <w:tcW w:w="14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2012</w:t>
            </w:r>
          </w:p>
        </w:tc>
      </w:tr>
      <w:tr>
        <w:trPr>
          <w:trHeight w:val="803"/>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107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118</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153</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193</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163</w:t>
            </w:r>
          </w:p>
        </w:tc>
      </w:tr>
      <w:tr>
        <w:trPr>
          <w:trHeight w:val="378"/>
        </w:trPr>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154</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194</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164</w:t>
            </w:r>
          </w:p>
        </w:tc>
      </w:tr>
      <w:tr>
        <w:trPr>
          <w:trHeight w:val="378"/>
        </w:trPr>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762"/>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03"/>
        </w:trPr>
        <w:tc>
          <w:tcPr>
            <w:tcW w:w="12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115</w:t>
            </w:r>
          </w:p>
        </w:tc>
        <w:tc>
          <w:tcPr>
            <w:tcW w:w="340" w:type="dxa"/>
            <w:vAlign w:val="bottom"/>
          </w:tcPr>
          <w:p>
            <w:pPr>
              <w:spacing w:after="0"/>
              <w:rPr>
                <w:sz w:val="17"/>
                <w:szCs w:val="17"/>
                <w:color w:val="auto"/>
              </w:rPr>
            </w:pPr>
          </w:p>
        </w:tc>
        <w:tc>
          <w:tcPr>
            <w:tcW w:w="12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115</w:t>
            </w:r>
          </w:p>
        </w:tc>
        <w:tc>
          <w:tcPr>
            <w:tcW w:w="320" w:type="dxa"/>
            <w:vAlign w:val="bottom"/>
          </w:tcPr>
          <w:p>
            <w:pPr>
              <w:spacing w:after="0"/>
              <w:rPr>
                <w:sz w:val="17"/>
                <w:szCs w:val="17"/>
                <w:color w:val="auto"/>
              </w:rPr>
            </w:pPr>
          </w:p>
        </w:tc>
        <w:tc>
          <w:tcPr>
            <w:tcW w:w="1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126</w:t>
            </w:r>
          </w:p>
        </w:tc>
        <w:tc>
          <w:tcPr>
            <w:tcW w:w="340" w:type="dxa"/>
            <w:vAlign w:val="bottom"/>
          </w:tcPr>
          <w:p>
            <w:pPr>
              <w:spacing w:after="0"/>
              <w:rPr>
                <w:sz w:val="17"/>
                <w:szCs w:val="17"/>
                <w:color w:val="auto"/>
              </w:rPr>
            </w:pPr>
          </w:p>
        </w:tc>
        <w:tc>
          <w:tcPr>
            <w:tcW w:w="12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161</w:t>
            </w:r>
          </w:p>
        </w:tc>
        <w:tc>
          <w:tcPr>
            <w:tcW w:w="340" w:type="dxa"/>
            <w:vAlign w:val="bottom"/>
          </w:tcPr>
          <w:p>
            <w:pPr>
              <w:spacing w:after="0"/>
              <w:rPr>
                <w:sz w:val="17"/>
                <w:szCs w:val="17"/>
                <w:color w:val="auto"/>
              </w:rPr>
            </w:pPr>
          </w:p>
        </w:tc>
        <w:tc>
          <w:tcPr>
            <w:tcW w:w="12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201</w:t>
            </w:r>
          </w:p>
        </w:tc>
        <w:tc>
          <w:tcPr>
            <w:tcW w:w="320" w:type="dxa"/>
            <w:vAlign w:val="bottom"/>
          </w:tcPr>
          <w:p>
            <w:pPr>
              <w:spacing w:after="0"/>
              <w:rPr>
                <w:sz w:val="17"/>
                <w:szCs w:val="17"/>
                <w:color w:val="auto"/>
              </w:rPr>
            </w:pPr>
          </w:p>
        </w:tc>
        <w:tc>
          <w:tcPr>
            <w:tcW w:w="14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170</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01"/>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451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550</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531</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692</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552</w:t>
            </w:r>
          </w:p>
        </w:tc>
      </w:tr>
      <w:tr>
        <w:trPr>
          <w:trHeight w:val="405"/>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154</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194</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164</w:t>
            </w:r>
          </w:p>
        </w:tc>
      </w:tr>
      <w:tr>
        <w:trPr>
          <w:trHeight w:val="378"/>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12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4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03"/>
        </w:trPr>
        <w:tc>
          <w:tcPr>
            <w:tcW w:w="12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511</w:t>
            </w:r>
          </w:p>
        </w:tc>
        <w:tc>
          <w:tcPr>
            <w:tcW w:w="15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546</w:t>
            </w:r>
          </w:p>
        </w:tc>
        <w:tc>
          <w:tcPr>
            <w:tcW w:w="1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665</w:t>
            </w:r>
          </w:p>
        </w:tc>
        <w:tc>
          <w:tcPr>
            <w:tcW w:w="15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684</w:t>
            </w:r>
          </w:p>
        </w:tc>
        <w:tc>
          <w:tcPr>
            <w:tcW w:w="15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885</w:t>
            </w:r>
          </w:p>
        </w:tc>
        <w:tc>
          <w:tcPr>
            <w:tcW w:w="17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716</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4.44</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4.75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4.73</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1560" w:space="560"/>
            <w:col w:w="9160"/>
          </w:cols>
          <w:pgMar w:left="380" w:top="1089" w:right="239" w:bottom="1440" w:gutter="0" w:footer="0" w:header="0"/>
        </w:sectPr>
      </w:pPr>
    </w:p>
    <w:p>
      <w:pPr>
        <w:ind w:left="520" w:right="220" w:hanging="505"/>
        <w:spacing w:after="0" w:line="246" w:lineRule="auto"/>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type w:val="continuous"/>
        </w:sectPr>
      </w:pPr>
    </w:p>
    <w:bookmarkStart w:id="104" w:name="page105"/>
    <w:bookmarkEnd w:id="104"/>
    <w:p>
      <w:pPr>
        <w:jc w:val="center"/>
        <w:ind w:right="140"/>
        <w:spacing w:after="0"/>
        <w:rPr>
          <w:sz w:val="20"/>
          <w:szCs w:val="20"/>
          <w:color w:val="auto"/>
        </w:rPr>
      </w:pPr>
      <w:r>
        <w:rPr>
          <w:rFonts w:ascii="Arial" w:cs="Arial" w:eastAsia="Arial" w:hAnsi="Arial"/>
          <w:sz w:val="18"/>
          <w:szCs w:val="18"/>
          <w:b w:val="1"/>
          <w:bCs w:val="1"/>
          <w:color w:val="auto"/>
        </w:rPr>
        <w:t>EXHIBIT 12.3</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SOUTHERN CALIFORNIA GAS COMPANY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September</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2007</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2008</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2009</w:t>
            </w:r>
          </w:p>
        </w:tc>
        <w:tc>
          <w:tcPr>
            <w:tcW w:w="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Fixed Charges: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72</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77</w:t>
            </w:r>
          </w:p>
        </w:tc>
        <w:tc>
          <w:tcPr>
            <w:tcW w:w="7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1900" w:type="dxa"/>
            <w:vAlign w:val="bottom"/>
          </w:tcPr>
          <w:p>
            <w:pPr>
              <w:ind w:left="260"/>
              <w:spacing w:after="0" w:line="190" w:lineRule="exact"/>
              <w:rPr>
                <w:sz w:val="20"/>
                <w:szCs w:val="20"/>
                <w:color w:val="auto"/>
              </w:rPr>
            </w:pPr>
            <w:r>
              <w:rPr>
                <w:rFonts w:ascii="Arial" w:cs="Arial" w:eastAsia="Arial" w:hAnsi="Arial"/>
                <w:sz w:val="18"/>
                <w:szCs w:val="18"/>
                <w:color w:val="auto"/>
              </w:rPr>
              <w:t>annual rentals</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1900" w:type="dxa"/>
            <w:vAlign w:val="bottom"/>
          </w:tcPr>
          <w:p>
            <w:pPr>
              <w:ind w:left="260"/>
              <w:spacing w:after="0" w:line="190" w:lineRule="exact"/>
              <w:rPr>
                <w:sz w:val="20"/>
                <w:szCs w:val="20"/>
                <w:color w:val="auto"/>
              </w:rPr>
            </w:pPr>
            <w:r>
              <w:rPr>
                <w:rFonts w:ascii="Arial" w:cs="Arial" w:eastAsia="Arial" w:hAnsi="Arial"/>
                <w:sz w:val="18"/>
                <w:szCs w:val="18"/>
                <w:color w:val="auto"/>
              </w:rPr>
              <w:t>dividends (1)</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line="195" w:lineRule="exact"/>
              <w:rPr>
                <w:sz w:val="20"/>
                <w:szCs w:val="20"/>
                <w:color w:val="auto"/>
              </w:rPr>
            </w:pPr>
            <w:r>
              <w:rPr>
                <w:rFonts w:ascii="Arial" w:cs="Arial" w:eastAsia="Arial" w:hAnsi="Arial"/>
                <w:sz w:val="18"/>
                <w:szCs w:val="18"/>
                <w:color w:val="auto"/>
              </w:rPr>
              <w:t>Combined fixed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77</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69</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77</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76</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80</w:t>
            </w:r>
          </w:p>
        </w:tc>
        <w:tc>
          <w:tcPr>
            <w:tcW w:w="7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3"/>
        </w:trPr>
        <w:tc>
          <w:tcPr>
            <w:tcW w:w="190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3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Pretax income from</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391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385</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418</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463</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431</w:t>
            </w:r>
          </w:p>
        </w:tc>
        <w:tc>
          <w:tcPr>
            <w:tcW w:w="7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Add: Total fixed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charges (from</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above)</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78</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1900" w:type="dxa"/>
            <w:vAlign w:val="bottom"/>
          </w:tcPr>
          <w:p>
            <w:pPr>
              <w:ind w:left="260"/>
              <w:spacing w:after="0" w:line="190" w:lineRule="exact"/>
              <w:rPr>
                <w:sz w:val="20"/>
                <w:szCs w:val="20"/>
                <w:color w:val="auto"/>
              </w:rPr>
            </w:pPr>
            <w:r>
              <w:rPr>
                <w:rFonts w:ascii="Arial" w:cs="Arial" w:eastAsia="Arial" w:hAnsi="Arial"/>
                <w:sz w:val="18"/>
                <w:szCs w:val="18"/>
                <w:color w:val="auto"/>
              </w:rPr>
              <w:t>capitalized</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Total earnings for</w:t>
            </w:r>
          </w:p>
        </w:tc>
        <w:tc>
          <w:tcPr>
            <w:tcW w:w="340" w:type="dxa"/>
            <w:vAlign w:val="bottom"/>
          </w:tcPr>
          <w:p>
            <w:pPr>
              <w:spacing w:after="0"/>
              <w:rPr>
                <w:sz w:val="17"/>
                <w:szCs w:val="17"/>
                <w:color w:val="auto"/>
              </w:rPr>
            </w:pP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182" w:lineRule="exact"/>
              <w:rPr>
                <w:sz w:val="20"/>
                <w:szCs w:val="20"/>
                <w:color w:val="auto"/>
              </w:rPr>
            </w:pPr>
            <w:r>
              <w:rPr>
                <w:rFonts w:ascii="Arial" w:cs="Arial" w:eastAsia="Arial" w:hAnsi="Arial"/>
                <w:sz w:val="18"/>
                <w:szCs w:val="18"/>
                <w:color w:val="auto"/>
              </w:rPr>
              <w:t>purpose of ratio</w:t>
            </w:r>
          </w:p>
        </w:tc>
        <w:tc>
          <w:tcPr>
            <w:tcW w:w="340" w:type="dxa"/>
            <w:vAlign w:val="bottom"/>
          </w:tcPr>
          <w:p>
            <w:pPr>
              <w:spacing w:after="0"/>
              <w:rPr>
                <w:sz w:val="17"/>
                <w:szCs w:val="17"/>
                <w:color w:val="auto"/>
              </w:rPr>
            </w:pPr>
          </w:p>
        </w:tc>
        <w:tc>
          <w:tcPr>
            <w:tcW w:w="9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465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452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492</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536</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508</w:t>
            </w:r>
          </w:p>
        </w:tc>
        <w:tc>
          <w:tcPr>
            <w:tcW w:w="7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6.04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6.39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63"/>
        </w:trPr>
        <w:tc>
          <w:tcPr>
            <w:tcW w:w="190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6.20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6.75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6.56</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63"/>
        </w:trPr>
        <w:tc>
          <w:tcPr>
            <w:tcW w:w="190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60" w:hanging="518"/>
        <w:spacing w:after="0" w:line="246" w:lineRule="auto"/>
        <w:tabs>
          <w:tab w:leader="none" w:pos="5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sectPr>
      </w:pPr>
    </w:p>
    <w:bookmarkStart w:id="105" w:name="page106"/>
    <w:bookmarkEnd w:id="105"/>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6, 2012</w:t>
      </w:r>
    </w:p>
    <w:p>
      <w:pPr>
        <w:spacing w:after="0" w:line="267"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06" w:name="page107"/>
    <w:bookmarkEnd w:id="106"/>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Joseph A. Householder, certify that:</w:t>
      </w:r>
    </w:p>
    <w:p>
      <w:pPr>
        <w:spacing w:after="0" w:line="260" w:lineRule="exact"/>
        <w:rPr>
          <w:sz w:val="20"/>
          <w:szCs w:val="20"/>
          <w:color w:val="auto"/>
        </w:rPr>
      </w:pPr>
    </w:p>
    <w:p>
      <w:pPr>
        <w:ind w:left="340" w:hanging="332"/>
        <w:spacing w:after="0"/>
        <w:tabs>
          <w:tab w:leader="none" w:pos="3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6, 2012</w:t>
      </w:r>
    </w:p>
    <w:p>
      <w:pPr>
        <w:spacing w:after="0" w:line="267"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-123190</wp:posOffset>
            </wp:positionV>
            <wp:extent cx="26498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07" w:name="page108"/>
    <w:bookmarkEnd w:id="107"/>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6, 2012</w:t>
      </w:r>
    </w:p>
    <w:p>
      <w:pPr>
        <w:spacing w:after="0" w:line="267"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r>
        <w:rPr>
          <w:rFonts w:ascii="Arial" w:cs="Arial" w:eastAsia="Arial" w:hAnsi="Arial"/>
          <w:sz w:val="17"/>
          <w:szCs w:val="17"/>
          <w:i w:val="1"/>
          <w:iCs w:val="1"/>
          <w:color w:val="auto"/>
        </w:rPr>
        <w:t>.</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-123190</wp:posOffset>
            </wp:positionV>
            <wp:extent cx="2752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08" w:name="page109"/>
    <w:bookmarkEnd w:id="108"/>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6, 2012</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09" w:name="page110"/>
    <w:bookmarkEnd w:id="109"/>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Anne S. Smith, certify that:</w:t>
      </w:r>
    </w:p>
    <w:p>
      <w:pPr>
        <w:spacing w:after="0" w:line="260"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6, 2012</w:t>
      </w:r>
    </w:p>
    <w:p>
      <w:pPr>
        <w:spacing w:after="0" w:line="267"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10" w:name="page111"/>
    <w:bookmarkEnd w:id="110"/>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6, 2012</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6, 2012</w:t>
      </w:r>
    </w:p>
    <w:p>
      <w:pPr>
        <w:spacing w:after="0" w:line="36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6, 2012</w:t>
      </w:r>
    </w:p>
    <w:p>
      <w:pPr>
        <w:spacing w:after="0" w:line="362"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55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6, 2012</w:t>
      </w:r>
    </w:p>
    <w:p>
      <w:pPr>
        <w:spacing w:after="0" w:line="362"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-123190</wp:posOffset>
            </wp:positionV>
            <wp:extent cx="25469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6, 2012</w:t>
      </w:r>
    </w:p>
    <w:p>
      <w:pPr>
        <w:spacing w:after="0" w:line="362"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6, 2012</w:t>
      </w:r>
    </w:p>
    <w:p>
      <w:pPr>
        <w:spacing w:after="0" w:line="362"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6, 2012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1]"/>
      <w:numFmt w:val="upperLetter"/>
      <w:start w:val="24"/>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1)"/>
      <w:numFmt w:val="decimal"/>
      <w:start w:val="1"/>
    </w:lvl>
  </w:abstractNum>
  <w:abstractNum w:abstractNumId="5">
    <w:nsid w:val="26F324BA"/>
    <w:multiLevelType w:val="hybridMultilevel"/>
    <w:lvl w:ilvl="0">
      <w:lvlJc w:val="left"/>
      <w:lvlText w:val="(%1)"/>
      <w:numFmt w:val="decimal"/>
      <w:start w:val="1"/>
    </w:lvl>
  </w:abstractNum>
  <w:abstractNum w:abstractNumId="6">
    <w:nsid w:val="7F01579B"/>
    <w:multiLevelType w:val="hybridMultilevel"/>
    <w:lvl w:ilvl="0">
      <w:lvlJc w:val="left"/>
      <w:lvlText w:val="(%1)"/>
      <w:numFmt w:val="decimal"/>
      <w:start w:val="1"/>
    </w:lvl>
  </w:abstractNum>
  <w:abstractNum w:abstractNumId="7">
    <w:nsid w:val="49DA307D"/>
    <w:multiLevelType w:val="hybridMultilevel"/>
    <w:lvl w:ilvl="0">
      <w:lvlJc w:val="left"/>
      <w:lvlText w:val="(%1)"/>
      <w:numFmt w:val="decimal"/>
      <w:start w:val="1"/>
    </w:lvl>
  </w:abstractNum>
  <w:abstractNum w:abstractNumId="8">
    <w:nsid w:val="7055A5F5"/>
    <w:multiLevelType w:val="hybridMultilevel"/>
    <w:lvl w:ilvl="0">
      <w:lvlJc w:val="left"/>
      <w:lvlText w:val="(%1)"/>
      <w:numFmt w:val="decimal"/>
      <w:start w:val="1"/>
    </w:lvl>
  </w:abstractNum>
  <w:abstractNum w:abstractNumId="9">
    <w:nsid w:val="5FB8370B"/>
    <w:multiLevelType w:val="hybridMultilevel"/>
    <w:lvl w:ilvl="0">
      <w:lvlJc w:val="left"/>
      <w:lvlText w:val="(%1)"/>
      <w:numFmt w:val="decimal"/>
      <w:start w:val="1"/>
    </w:lvl>
  </w:abstractNum>
  <w:abstractNum w:abstractNumId="10">
    <w:nsid w:val="50801EE1"/>
    <w:multiLevelType w:val="hybridMultilevel"/>
    <w:lvl w:ilvl="0">
      <w:lvlJc w:val="left"/>
      <w:lvlText w:val="(%1)"/>
      <w:numFmt w:val="decimal"/>
      <w:start w:val="1"/>
    </w:lvl>
  </w:abstractNum>
  <w:abstractNum w:abstractNumId="11">
    <w:nsid w:val="488AC1A"/>
    <w:multiLevelType w:val="hybridMultilevel"/>
    <w:lvl w:ilvl="0">
      <w:lvlJc w:val="left"/>
      <w:lvlText w:val="(%1)"/>
      <w:numFmt w:val="decimal"/>
      <w:start w:val="998"/>
    </w:lvl>
  </w:abstractNum>
  <w:abstractNum w:abstractNumId="12">
    <w:nsid w:val="5FB8011C"/>
    <w:multiLevelType w:val="hybridMultilevel"/>
    <w:lvl w:ilvl="0">
      <w:lvlJc w:val="left"/>
      <w:lvlText w:val="(%1)"/>
      <w:numFmt w:val="decimal"/>
      <w:start w:val="530"/>
    </w:lvl>
  </w:abstractNum>
  <w:abstractNum w:abstractNumId="13">
    <w:nsid w:val="6AA78F7F"/>
    <w:multiLevelType w:val="hybridMultilevel"/>
    <w:lvl w:ilvl="0">
      <w:lvlJc w:val="left"/>
      <w:lvlText w:val="(%1)"/>
      <w:numFmt w:val="decimal"/>
      <w:start w:val="62"/>
    </w:lvl>
  </w:abstractNum>
  <w:abstractNum w:abstractNumId="14">
    <w:nsid w:val="7672BD23"/>
    <w:multiLevelType w:val="hybridMultilevel"/>
    <w:lvl w:ilvl="0">
      <w:lvlJc w:val="left"/>
      <w:lvlText w:val="(%1)"/>
      <w:numFmt w:val="decimal"/>
      <w:start w:val="992"/>
    </w:lvl>
  </w:abstractNum>
  <w:abstractNum w:abstractNumId="15">
    <w:nsid w:val="6FC75AF8"/>
    <w:multiLevelType w:val="hybridMultilevel"/>
    <w:lvl w:ilvl="0">
      <w:lvlJc w:val="left"/>
      <w:lvlText w:val="(%1)"/>
      <w:numFmt w:val="decimal"/>
      <w:start w:val="1"/>
    </w:lvl>
  </w:abstractNum>
  <w:abstractNum w:abstractNumId="16">
    <w:nsid w:val="6A5F7029"/>
    <w:multiLevelType w:val="hybridMultilevel"/>
    <w:lvl w:ilvl="0">
      <w:lvlJc w:val="left"/>
      <w:lvlText w:val="(%1)"/>
      <w:numFmt w:val="decimal"/>
      <w:start w:val="1"/>
    </w:lvl>
  </w:abstractNum>
  <w:abstractNum w:abstractNumId="17">
    <w:nsid w:val="7D5E18F8"/>
    <w:multiLevelType w:val="hybridMultilevel"/>
    <w:lvl w:ilvl="0">
      <w:lvlJc w:val="left"/>
      <w:lvlText w:val="%1"/>
      <w:numFmt w:val="decimal"/>
      <w:start w:val="39"/>
    </w:lvl>
    <w:lvl w:ilvl="1">
      <w:lvlJc w:val="left"/>
      <w:lvlText w:val="(%2)"/>
      <w:numFmt w:val="decimal"/>
      <w:start w:val="9"/>
    </w:lvl>
  </w:abstractNum>
  <w:abstractNum w:abstractNumId="18">
    <w:nsid w:val="5F3534A4"/>
    <w:multiLevelType w:val="hybridMultilevel"/>
    <w:lvl w:ilvl="0">
      <w:lvlJc w:val="left"/>
      <w:lvlText w:val="4"/>
      <w:numFmt w:val="bullet"/>
      <w:start w:val="1"/>
    </w:lvl>
  </w:abstractNum>
  <w:abstractNum w:abstractNumId="19">
    <w:nsid w:val="73A1821B"/>
    <w:multiLevelType w:val="hybridMultilevel"/>
    <w:lvl w:ilvl="0">
      <w:lvlJc w:val="left"/>
      <w:lvlText w:val="(%1)"/>
      <w:numFmt w:val="decimal"/>
      <w:start w:val="462"/>
    </w:lvl>
  </w:abstractNum>
  <w:abstractNum w:abstractNumId="20">
    <w:nsid w:val="7DE67713"/>
    <w:multiLevelType w:val="hybridMultilevel"/>
    <w:lvl w:ilvl="0">
      <w:lvlJc w:val="left"/>
      <w:lvlText w:val="(%1)"/>
      <w:numFmt w:val="decimal"/>
      <w:start w:val="257"/>
    </w:lvl>
  </w:abstractNum>
  <w:abstractNum w:abstractNumId="21">
    <w:nsid w:val="555C55B5"/>
    <w:multiLevelType w:val="hybridMultilevel"/>
    <w:lvl w:ilvl="0">
      <w:lvlJc w:val="left"/>
      <w:lvlText w:val="(%1)"/>
      <w:numFmt w:val="decimal"/>
      <w:start w:val="719"/>
    </w:lvl>
  </w:abstractNum>
  <w:abstractNum w:abstractNumId="22">
    <w:nsid w:val="3FA62ACA"/>
    <w:multiLevelType w:val="hybridMultilevel"/>
    <w:lvl w:ilvl="0">
      <w:lvlJc w:val="left"/>
      <w:lvlText w:val="(%1)"/>
      <w:numFmt w:val="decimal"/>
      <w:start w:val="150"/>
    </w:lvl>
  </w:abstractNum>
  <w:abstractNum w:abstractNumId="23">
    <w:nsid w:val="14FCE74E"/>
    <w:multiLevelType w:val="hybridMultilevel"/>
    <w:lvl w:ilvl="0">
      <w:lvlJc w:val="left"/>
      <w:lvlText w:val="―"/>
      <w:numFmt w:val="bullet"/>
      <w:start w:val="1"/>
    </w:lvl>
    <w:lvl w:ilvl="1">
      <w:lvlJc w:val="left"/>
      <w:lvlText w:val="(%2)"/>
      <w:numFmt w:val="decimal"/>
      <w:start w:val="1"/>
    </w:lvl>
  </w:abstractNum>
  <w:abstractNum w:abstractNumId="24">
    <w:nsid w:val="6A3DD3E8"/>
    <w:multiLevelType w:val="hybridMultilevel"/>
    <w:lvl w:ilvl="0">
      <w:lvlJc w:val="left"/>
      <w:lvlText w:val="(%1)"/>
      <w:numFmt w:val="decimal"/>
      <w:start w:val="3"/>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amp;"/>
      <w:numFmt w:val="bullet"/>
      <w:start w:val="1"/>
    </w:lvl>
  </w:abstractNum>
  <w:abstractNum w:abstractNumId="27">
    <w:nsid w:val="53299938"/>
    <w:multiLevelType w:val="hybridMultilevel"/>
    <w:lvl w:ilvl="0">
      <w:lvlJc w:val="left"/>
      <w:lvlText w:val="(%1)"/>
      <w:numFmt w:val="decimal"/>
      <w:start w:val="1"/>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1)"/>
      <w:numFmt w:val="decimal"/>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1)"/>
      <w:numFmt w:val="decimal"/>
      <w:start w:val="1"/>
    </w:lvl>
  </w:abstractNum>
  <w:abstractNum w:abstractNumId="32">
    <w:nsid w:val="288F1A34"/>
    <w:multiLevelType w:val="hybridMultilevel"/>
    <w:lvl w:ilvl="0">
      <w:lvlJc w:val="left"/>
      <w:lvlText w:val="(%1)"/>
      <w:numFmt w:val="decimal"/>
      <w:start w:val="1"/>
    </w:lvl>
  </w:abstractNum>
  <w:abstractNum w:abstractNumId="33">
    <w:nsid w:val="2A155DBC"/>
    <w:multiLevelType w:val="hybridMultilevel"/>
    <w:lvl w:ilvl="0">
      <w:lvlJc w:val="left"/>
      <w:lvlText w:val="(%1)"/>
      <w:numFmt w:val="decimal"/>
      <w:start w:val="1"/>
    </w:lvl>
  </w:abstractNum>
  <w:abstractNum w:abstractNumId="34">
    <w:nsid w:val="1D9F6E5F"/>
    <w:multiLevelType w:val="hybridMultilevel"/>
    <w:lvl w:ilvl="0">
      <w:lvlJc w:val="left"/>
      <w:lvlText w:val="(%1)"/>
      <w:numFmt w:val="decimal"/>
      <w:start w:val="1"/>
    </w:lvl>
  </w:abstractNum>
  <w:abstractNum w:abstractNumId="35">
    <w:nsid w:val="97E1B4E"/>
    <w:multiLevelType w:val="hybridMultilevel"/>
    <w:lvl w:ilvl="0">
      <w:lvlJc w:val="left"/>
      <w:lvlText w:val="(%1)"/>
      <w:numFmt w:val="decimal"/>
      <w:start w:val="1"/>
    </w:lvl>
  </w:abstractNum>
  <w:abstractNum w:abstractNumId="36">
    <w:nsid w:val="51088277"/>
    <w:multiLevelType w:val="hybridMultilevel"/>
    <w:lvl w:ilvl="0">
      <w:lvlJc w:val="left"/>
      <w:lvlText w:val="(%1)"/>
      <w:numFmt w:val="decimal"/>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
      <w:numFmt w:val="bullet"/>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1)"/>
      <w:numFmt w:val="decimal"/>
      <w:start w:val="1"/>
    </w:lvl>
  </w:abstractNum>
  <w:abstractNum w:abstractNumId="45">
    <w:nsid w:val="3C5991AA"/>
    <w:multiLevelType w:val="hybridMultilevel"/>
    <w:lvl w:ilvl="0">
      <w:lvlJc w:val="left"/>
      <w:lvlText w:val="§"/>
      <w:numFmt w:val="bullet"/>
      <w:start w:val="1"/>
    </w:lvl>
  </w:abstractNum>
  <w:abstractNum w:abstractNumId="46">
    <w:nsid w:val="4BD8591A"/>
    <w:multiLevelType w:val="hybridMultilevel"/>
    <w:lvl w:ilvl="0">
      <w:lvlJc w:val="left"/>
      <w:lvlText w:val="§"/>
      <w:numFmt w:val="bullet"/>
      <w:start w:val="1"/>
    </w:lvl>
  </w:abstractNum>
  <w:abstractNum w:abstractNumId="47">
    <w:nsid w:val="78DF6A55"/>
    <w:multiLevelType w:val="hybridMultilevel"/>
    <w:lvl w:ilvl="0">
      <w:lvlJc w:val="left"/>
      <w:lvlText w:val="(%1)"/>
      <w:numFmt w:val="decimal"/>
      <w:start w:val="1"/>
    </w:lvl>
  </w:abstractNum>
  <w:abstractNum w:abstractNumId="48">
    <w:nsid w:val="39B7AAA2"/>
    <w:multiLevelType w:val="hybridMultilevel"/>
    <w:lvl w:ilvl="0">
      <w:lvlJc w:val="left"/>
      <w:lvlText w:val="(%1)"/>
      <w:numFmt w:val="decimal"/>
      <w:start w:val="1"/>
    </w:lvl>
  </w:abstractNum>
  <w:abstractNum w:abstractNumId="49">
    <w:nsid w:val="2B0D8DBE"/>
    <w:multiLevelType w:val="hybridMultilevel"/>
    <w:lvl w:ilvl="0">
      <w:lvlJc w:val="left"/>
      <w:lvlText w:val="(%1)"/>
      <w:numFmt w:val="decimal"/>
      <w:start w:val="1"/>
    </w:lvl>
  </w:abstractNum>
  <w:abstractNum w:abstractNumId="50">
    <w:nsid w:val="6C80EC70"/>
    <w:multiLevelType w:val="hybridMultilevel"/>
    <w:lvl w:ilvl="0">
      <w:lvlJc w:val="left"/>
      <w:lvlText w:val="(%1)"/>
      <w:numFmt w:val="decimal"/>
      <w:start w:val="1"/>
    </w:lvl>
  </w:abstractNum>
  <w:abstractNum w:abstractNumId="51">
    <w:nsid w:val="379E21B5"/>
    <w:multiLevelType w:val="hybridMultilevel"/>
    <w:lvl w:ilvl="0">
      <w:lvlJc w:val="left"/>
      <w:lvlText w:val="(%1)"/>
      <w:numFmt w:val="decimal"/>
      <w:start w:val="1"/>
    </w:lvl>
  </w:abstractNum>
  <w:abstractNum w:abstractNumId="52">
    <w:nsid w:val="69E373"/>
    <w:multiLevelType w:val="hybridMultilevel"/>
    <w:lvl w:ilvl="0">
      <w:lvlJc w:val="left"/>
      <w:lvlText w:val="(%1)"/>
      <w:numFmt w:val="decimal"/>
      <w:start w:val="1"/>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1)"/>
      <w:numFmt w:val="decimal"/>
      <w:start w:val="1"/>
    </w:lvl>
  </w:abstractNum>
  <w:abstractNum w:abstractNumId="56">
    <w:nsid w:val="1DF029D3"/>
    <w:multiLevelType w:val="hybridMultilevel"/>
    <w:lvl w:ilvl="0">
      <w:lvlJc w:val="left"/>
      <w:lvlText w:val="(%1)"/>
      <w:numFmt w:val="decimal"/>
      <w:start w:val="1"/>
    </w:lvl>
  </w:abstractNum>
  <w:abstractNum w:abstractNumId="57">
    <w:nsid w:val="5675FF36"/>
    <w:multiLevelType w:val="hybridMultilevel"/>
    <w:lvl w:ilvl="0">
      <w:lvlJc w:val="left"/>
      <w:lvlText w:val="(%1)"/>
      <w:numFmt w:val="decimal"/>
      <w:start w:val="1"/>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1)"/>
      <w:numFmt w:val="decimal"/>
      <w:start w:val="1"/>
    </w:lvl>
  </w:abstractNum>
  <w:abstractNum w:abstractNumId="60">
    <w:nsid w:val="2708C9AF"/>
    <w:multiLevelType w:val="hybridMultilevel"/>
    <w:lvl w:ilvl="0">
      <w:lvlJc w:val="left"/>
      <w:lvlText w:val="%1."/>
      <w:numFmt w:val="decimal"/>
      <w:start w:val="1"/>
    </w:lvl>
  </w:abstractNum>
  <w:abstractNum w:abstractNumId="61">
    <w:nsid w:val="5B25ACE2"/>
    <w:multiLevelType w:val="hybridMultilevel"/>
    <w:lvl w:ilvl="0">
      <w:lvlJc w:val="left"/>
      <w:lvlText w:val="%1."/>
      <w:numFmt w:val="decimal"/>
      <w:start w:val="6"/>
    </w:lvl>
  </w:abstractNum>
  <w:abstractNum w:abstractNumId="62">
    <w:nsid w:val="175DFCF0"/>
    <w:multiLevelType w:val="hybridMultilevel"/>
    <w:lvl w:ilvl="0">
      <w:lvlJc w:val="left"/>
      <w:lvlText w:val="(%1)"/>
      <w:numFmt w:val="decimal"/>
      <w:start w:val="1"/>
    </w:lvl>
  </w:abstractNum>
  <w:abstractNum w:abstractNumId="63">
    <w:nsid w:val="4F97E3E4"/>
    <w:multiLevelType w:val="hybridMultilevel"/>
    <w:lvl w:ilvl="0">
      <w:lvlJc w:val="left"/>
      <w:lvlText w:val="§"/>
      <w:numFmt w:val="bullet"/>
      <w:start w:val="1"/>
    </w:lvl>
  </w:abstractNum>
  <w:abstractNum w:abstractNumId="64">
    <w:nsid w:val="53B0A9E"/>
    <w:multiLevelType w:val="hybridMultilevel"/>
    <w:lvl w:ilvl="0">
      <w:lvlJc w:val="left"/>
      <w:lvlText w:val="(%1)"/>
      <w:numFmt w:val="decimal"/>
      <w:start w:val="1"/>
    </w:lvl>
  </w:abstractNum>
  <w:abstractNum w:abstractNumId="65">
    <w:nsid w:val="34FD6B4F"/>
    <w:multiLevelType w:val="hybridMultilevel"/>
    <w:lvl w:ilvl="0">
      <w:lvlJc w:val="left"/>
      <w:lvlText w:val="§"/>
      <w:numFmt w:val="bullet"/>
      <w:start w:val="1"/>
    </w:lvl>
  </w:abstractNum>
  <w:abstractNum w:abstractNumId="66">
    <w:nsid w:val="5915FF32"/>
    <w:multiLevelType w:val="hybridMultilevel"/>
    <w:lvl w:ilvl="0">
      <w:lvlJc w:val="left"/>
      <w:lvlText w:val="§"/>
      <w:numFmt w:val="bullet"/>
      <w:start w:val="1"/>
    </w:lvl>
  </w:abstractNum>
  <w:abstractNum w:abstractNumId="67">
    <w:nsid w:val="56438D15"/>
    <w:multiLevelType w:val="hybridMultilevel"/>
    <w:lvl w:ilvl="0">
      <w:lvlJc w:val="left"/>
      <w:lvlText w:val="§"/>
      <w:numFmt w:val="bullet"/>
      <w:start w:val="1"/>
    </w:lvl>
  </w:abstractNum>
  <w:abstractNum w:abstractNumId="68">
    <w:nsid w:val="519E3149"/>
    <w:multiLevelType w:val="hybridMultilevel"/>
    <w:lvl w:ilvl="0">
      <w:lvlJc w:val="left"/>
      <w:lvlText w:val="(%1)"/>
      <w:numFmt w:val="decimal"/>
      <w:start w:val="1"/>
    </w:lvl>
  </w:abstractNum>
  <w:abstractNum w:abstractNumId="69">
    <w:nsid w:val="2C6E4AFD"/>
    <w:multiLevelType w:val="hybridMultilevel"/>
    <w:lvl w:ilvl="0">
      <w:lvlJc w:val="left"/>
      <w:lvlText w:val="§"/>
      <w:numFmt w:val="bullet"/>
      <w:start w:val="1"/>
    </w:lvl>
  </w:abstractNum>
  <w:abstractNum w:abstractNumId="70">
    <w:nsid w:val="17A1B582"/>
    <w:multiLevelType w:val="hybridMultilevel"/>
    <w:lvl w:ilvl="0">
      <w:lvlJc w:val="left"/>
      <w:lvlText w:val="§"/>
      <w:numFmt w:val="bullet"/>
      <w:start w:val="1"/>
    </w:lvl>
  </w:abstractNum>
  <w:abstractNum w:abstractNumId="71">
    <w:nsid w:val="4DF72E4E"/>
    <w:multiLevelType w:val="hybridMultilevel"/>
    <w:lvl w:ilvl="0">
      <w:lvlJc w:val="left"/>
      <w:lvlText w:val="§"/>
      <w:numFmt w:val="bullet"/>
      <w:start w:val="1"/>
    </w:lvl>
  </w:abstractNum>
  <w:abstractNum w:abstractNumId="72">
    <w:nsid w:val="5046B5A9"/>
    <w:multiLevelType w:val="hybridMultilevel"/>
    <w:lvl w:ilvl="0">
      <w:lvlJc w:val="left"/>
      <w:lvlText w:val="§"/>
      <w:numFmt w:val="bullet"/>
      <w:start w:val="1"/>
    </w:lvl>
  </w:abstractNum>
  <w:abstractNum w:abstractNumId="73">
    <w:nsid w:val="5D888A08"/>
    <w:multiLevelType w:val="hybridMultilevel"/>
    <w:lvl w:ilvl="0">
      <w:lvlJc w:val="left"/>
      <w:lvlText w:val="§"/>
      <w:numFmt w:val="bullet"/>
      <w:start w:val="1"/>
    </w:lvl>
  </w:abstractNum>
  <w:abstractNum w:abstractNumId="74">
    <w:nsid w:val="2A082C70"/>
    <w:multiLevelType w:val="hybridMultilevel"/>
    <w:lvl w:ilvl="0">
      <w:lvlJc w:val="left"/>
      <w:lvlText w:val="§"/>
      <w:numFmt w:val="bullet"/>
      <w:start w:val="1"/>
    </w:lvl>
  </w:abstractNum>
  <w:abstractNum w:abstractNumId="75">
    <w:nsid w:val="5EC6AFD4"/>
    <w:multiLevelType w:val="hybridMultilevel"/>
    <w:lvl w:ilvl="0">
      <w:lvlJc w:val="left"/>
      <w:lvlText w:val="§"/>
      <w:numFmt w:val="bullet"/>
      <w:start w:val="1"/>
    </w:lvl>
  </w:abstractNum>
  <w:abstractNum w:abstractNumId="76">
    <w:nsid w:val="19E21BB2"/>
    <w:multiLevelType w:val="hybridMultilevel"/>
    <w:lvl w:ilvl="0">
      <w:lvlJc w:val="left"/>
      <w:lvlText w:val="§"/>
      <w:numFmt w:val="bullet"/>
      <w:start w:val="1"/>
    </w:lvl>
  </w:abstractNum>
  <w:abstractNum w:abstractNumId="77">
    <w:nsid w:val="75E0858A"/>
    <w:multiLevelType w:val="hybridMultilevel"/>
    <w:lvl w:ilvl="0">
      <w:lvlJc w:val="left"/>
      <w:lvlText w:val="§"/>
      <w:numFmt w:val="bullet"/>
      <w:start w:val="1"/>
    </w:lvl>
  </w:abstractNum>
  <w:abstractNum w:abstractNumId="78">
    <w:nsid w:val="57A61A29"/>
    <w:multiLevelType w:val="hybridMultilevel"/>
    <w:lvl w:ilvl="0">
      <w:lvlJc w:val="left"/>
      <w:lvlText w:val="§"/>
      <w:numFmt w:val="bullet"/>
      <w:start w:val="1"/>
    </w:lvl>
  </w:abstractNum>
  <w:abstractNum w:abstractNumId="79">
    <w:nsid w:val="5399C654"/>
    <w:multiLevelType w:val="hybridMultilevel"/>
    <w:lvl w:ilvl="0">
      <w:lvlJc w:val="left"/>
      <w:lvlText w:val="§"/>
      <w:numFmt w:val="bullet"/>
      <w:start w:val="1"/>
    </w:lvl>
  </w:abstractNum>
  <w:abstractNum w:abstractNumId="80">
    <w:nsid w:val="20EE1348"/>
    <w:multiLevelType w:val="hybridMultilevel"/>
    <w:lvl w:ilvl="0">
      <w:lvlJc w:val="left"/>
      <w:lvlText w:val="§"/>
      <w:numFmt w:val="bullet"/>
      <w:start w:val="1"/>
    </w:lvl>
  </w:abstractNum>
  <w:abstractNum w:abstractNumId="81">
    <w:nsid w:val="4427069A"/>
    <w:multiLevelType w:val="hybridMultilevel"/>
    <w:lvl w:ilvl="0">
      <w:lvlJc w:val="left"/>
      <w:lvlText w:val="§"/>
      <w:numFmt w:val="bullet"/>
      <w:start w:val="1"/>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
      <w:numFmt w:val="bullet"/>
      <w:start w:val="1"/>
    </w:lvl>
  </w:abstractNum>
  <w:abstractNum w:abstractNumId="85">
    <w:nsid w:val="57D2F10E"/>
    <w:multiLevelType w:val="hybridMultilevel"/>
    <w:lvl w:ilvl="0">
      <w:lvlJc w:val="left"/>
      <w:lvlText w:val="§"/>
      <w:numFmt w:val="bullet"/>
      <w:start w:val="1"/>
    </w:lvl>
  </w:abstractNum>
  <w:abstractNum w:abstractNumId="86">
    <w:nsid w:val="BFFAE18"/>
    <w:multiLevelType w:val="hybridMultilevel"/>
    <w:lvl w:ilvl="0">
      <w:lvlJc w:val="left"/>
      <w:lvlText w:val="§"/>
      <w:numFmt w:val="bullet"/>
      <w:start w:val="1"/>
    </w:lvl>
  </w:abstractNum>
  <w:abstractNum w:abstractNumId="87">
    <w:nsid w:val="E3E47A8"/>
    <w:multiLevelType w:val="hybridMultilevel"/>
    <w:lvl w:ilvl="0">
      <w:lvlJc w:val="left"/>
      <w:lvlText w:val="§"/>
      <w:numFmt w:val="bullet"/>
      <w:start w:val="1"/>
    </w:lvl>
  </w:abstractNum>
  <w:abstractNum w:abstractNumId="88">
    <w:nsid w:val="2E48F044"/>
    <w:multiLevelType w:val="hybridMultilevel"/>
    <w:lvl w:ilvl="0">
      <w:lvlJc w:val="left"/>
      <w:lvlText w:val="§"/>
      <w:numFmt w:val="bullet"/>
      <w:start w:val="1"/>
    </w:lvl>
  </w:abstractNum>
  <w:abstractNum w:abstractNumId="89">
    <w:nsid w:val="49D0FEAC"/>
    <w:multiLevelType w:val="hybridMultilevel"/>
    <w:lvl w:ilvl="0">
      <w:lvlJc w:val="left"/>
      <w:lvlText w:val="§"/>
      <w:numFmt w:val="bullet"/>
      <w:start w:val="1"/>
    </w:lvl>
  </w:abstractNum>
  <w:abstractNum w:abstractNumId="90">
    <w:nsid w:val="4BEE5A5B"/>
    <w:multiLevelType w:val="hybridMultilevel"/>
    <w:lvl w:ilvl="0">
      <w:lvlJc w:val="left"/>
      <w:lvlText w:val="§"/>
      <w:numFmt w:val="bullet"/>
      <w:start w:val="1"/>
    </w:lvl>
  </w:abstractNum>
  <w:abstractNum w:abstractNumId="91">
    <w:nsid w:val="5551B9F3"/>
    <w:multiLevelType w:val="hybridMultilevel"/>
    <w:lvl w:ilvl="0">
      <w:lvlJc w:val="left"/>
      <w:lvlText w:val="§"/>
      <w:numFmt w:val="bullet"/>
      <w:start w:val="1"/>
    </w:lvl>
  </w:abstractNum>
  <w:abstractNum w:abstractNumId="92">
    <w:nsid w:val="24F6AB8E"/>
    <w:multiLevelType w:val="hybridMultilevel"/>
    <w:lvl w:ilvl="0">
      <w:lvlJc w:val="left"/>
      <w:lvlText w:val="§"/>
      <w:numFmt w:val="bullet"/>
      <w:start w:val="1"/>
    </w:lvl>
  </w:abstractNum>
  <w:abstractNum w:abstractNumId="93">
    <w:nsid w:val="634C574C"/>
    <w:multiLevelType w:val="hybridMultilevel"/>
    <w:lvl w:ilvl="0">
      <w:lvlJc w:val="left"/>
      <w:lvlText w:val="§"/>
      <w:numFmt w:val="bullet"/>
      <w:start w:val="1"/>
    </w:lvl>
  </w:abstractNum>
  <w:abstractNum w:abstractNumId="94">
    <w:nsid w:val="24E99DD7"/>
    <w:multiLevelType w:val="hybridMultilevel"/>
    <w:lvl w:ilvl="0">
      <w:lvlJc w:val="left"/>
      <w:lvlText w:val="§"/>
      <w:numFmt w:val="bullet"/>
      <w:start w:val="1"/>
    </w:lvl>
  </w:abstractNum>
  <w:abstractNum w:abstractNumId="95">
    <w:nsid w:val="2A31B62D"/>
    <w:multiLevelType w:val="hybridMultilevel"/>
    <w:lvl w:ilvl="0">
      <w:lvlJc w:val="left"/>
      <w:lvlText w:val="§"/>
      <w:numFmt w:val="bullet"/>
      <w:start w:val="1"/>
    </w:lvl>
  </w:abstractNum>
  <w:abstractNum w:abstractNumId="96">
    <w:nsid w:val="1849C29B"/>
    <w:multiLevelType w:val="hybridMultilevel"/>
    <w:lvl w:ilvl="0">
      <w:lvlJc w:val="left"/>
      <w:lvlText w:val="(%1)"/>
      <w:numFmt w:val="decimal"/>
      <w:start w:val="1"/>
    </w:lvl>
  </w:abstractNum>
  <w:abstractNum w:abstractNumId="97">
    <w:nsid w:val="7DFF9D09"/>
    <w:multiLevelType w:val="hybridMultilevel"/>
    <w:lvl w:ilvl="0">
      <w:lvlJc w:val="left"/>
      <w:lvlText w:val="§"/>
      <w:numFmt w:val="bullet"/>
      <w:start w:val="1"/>
    </w:lvl>
  </w:abstractNum>
  <w:abstractNum w:abstractNumId="98">
    <w:nsid w:val="754342"/>
    <w:multiLevelType w:val="hybridMultilevel"/>
    <w:lvl w:ilvl="0">
      <w:lvlJc w:val="left"/>
      <w:lvlText w:val="§"/>
      <w:numFmt w:val="bullet"/>
      <w:start w:val="1"/>
    </w:lvl>
  </w:abstractNum>
  <w:abstractNum w:abstractNumId="99">
    <w:nsid w:val="69E7F3E5"/>
    <w:multiLevelType w:val="hybridMultilevel"/>
    <w:lvl w:ilvl="0">
      <w:lvlJc w:val="left"/>
      <w:lvlText w:val="(%1)"/>
      <w:numFmt w:val="decimal"/>
      <w:start w:val="1"/>
    </w:lvl>
  </w:abstractNum>
  <w:abstractNum w:abstractNumId="100">
    <w:nsid w:val="2A6DE806"/>
    <w:multiLevelType w:val="hybridMultilevel"/>
    <w:lvl w:ilvl="0">
      <w:lvlJc w:val="left"/>
      <w:lvlText w:val="(%1)"/>
      <w:numFmt w:val="decimal"/>
      <w:start w:val="1"/>
    </w:lvl>
  </w:abstractNum>
  <w:abstractNum w:abstractNumId="101">
    <w:nsid w:val="1816F8C4"/>
    <w:multiLevelType w:val="hybridMultilevel"/>
    <w:lvl w:ilvl="0">
      <w:lvlJc w:val="left"/>
      <w:lvlText w:val="(%1)"/>
      <w:numFmt w:val="decimal"/>
      <w:start w:val="1"/>
    </w:lvl>
  </w:abstractNum>
  <w:abstractNum w:abstractNumId="102">
    <w:nsid w:val="37DF2233"/>
    <w:multiLevelType w:val="hybridMultilevel"/>
    <w:lvl w:ilvl="0">
      <w:lvlJc w:val="left"/>
      <w:lvlText w:val="(%1)"/>
      <w:numFmt w:val="decimal"/>
      <w:start w:val="1"/>
    </w:lvl>
  </w:abstractNum>
  <w:abstractNum w:abstractNumId="103">
    <w:nsid w:val="7AB49DAF"/>
    <w:multiLevelType w:val="hybridMultilevel"/>
    <w:lvl w:ilvl="0">
      <w:lvlJc w:val="left"/>
      <w:lvlText w:val="§"/>
      <w:numFmt w:val="bullet"/>
      <w:start w:val="1"/>
    </w:lvl>
  </w:abstractNum>
  <w:abstractNum w:abstractNumId="104">
    <w:nsid w:val="759F82CD"/>
    <w:multiLevelType w:val="hybridMultilevel"/>
    <w:lvl w:ilvl="0">
      <w:lvlJc w:val="left"/>
      <w:lvlText w:val="§"/>
      <w:numFmt w:val="bullet"/>
      <w:start w:val="1"/>
    </w:lvl>
  </w:abstractNum>
  <w:abstractNum w:abstractNumId="105">
    <w:nsid w:val="61E74EA3"/>
    <w:multiLevelType w:val="hybridMultilevel"/>
    <w:lvl w:ilvl="0">
      <w:lvlJc w:val="left"/>
      <w:lvlText w:val="§"/>
      <w:numFmt w:val="bullet"/>
      <w:start w:val="1"/>
    </w:lvl>
  </w:abstractNum>
  <w:abstractNum w:abstractNumId="106">
    <w:nsid w:val="597B4D84"/>
    <w:multiLevelType w:val="hybridMultilevel"/>
    <w:lvl w:ilvl="0">
      <w:lvlJc w:val="left"/>
      <w:lvlText w:val="§"/>
      <w:numFmt w:val="bullet"/>
      <w:start w:val="1"/>
    </w:lvl>
  </w:abstractNum>
  <w:abstractNum w:abstractNumId="107">
    <w:nsid w:val="F819E7F"/>
    <w:multiLevelType w:val="hybridMultilevel"/>
    <w:lvl w:ilvl="0">
      <w:lvlJc w:val="left"/>
      <w:lvlText w:val="§"/>
      <w:numFmt w:val="bullet"/>
      <w:start w:val="1"/>
    </w:lvl>
  </w:abstractNum>
  <w:abstractNum w:abstractNumId="108">
    <w:nsid w:val="57C7D42D"/>
    <w:multiLevelType w:val="hybridMultilevel"/>
    <w:lvl w:ilvl="0">
      <w:lvlJc w:val="left"/>
      <w:lvlText w:val="§"/>
      <w:numFmt w:val="bullet"/>
      <w:start w:val="1"/>
    </w:lvl>
  </w:abstractNum>
  <w:abstractNum w:abstractNumId="109">
    <w:nsid w:val="312167AD"/>
    <w:multiLevelType w:val="hybridMultilevel"/>
    <w:lvl w:ilvl="0">
      <w:lvlJc w:val="left"/>
      <w:lvlText w:val="§"/>
      <w:numFmt w:val="bullet"/>
      <w:start w:val="1"/>
    </w:lvl>
  </w:abstractNum>
  <w:abstractNum w:abstractNumId="110">
    <w:nsid w:val="631B64D4"/>
    <w:multiLevelType w:val="hybridMultilevel"/>
    <w:lvl w:ilvl="0">
      <w:lvlJc w:val="left"/>
      <w:lvlText w:val="§"/>
      <w:numFmt w:val="bullet"/>
      <w:start w:val="1"/>
    </w:lvl>
  </w:abstractNum>
  <w:abstractNum w:abstractNumId="111">
    <w:nsid w:val="78B5E776"/>
    <w:multiLevelType w:val="hybridMultilevel"/>
    <w:lvl w:ilvl="0">
      <w:lvlJc w:val="left"/>
      <w:lvlText w:val="§"/>
      <w:numFmt w:val="bullet"/>
      <w:start w:val="1"/>
    </w:lvl>
  </w:abstractNum>
  <w:abstractNum w:abstractNumId="112">
    <w:nsid w:val="75486E47"/>
    <w:multiLevelType w:val="hybridMultilevel"/>
    <w:lvl w:ilvl="0">
      <w:lvlJc w:val="left"/>
      <w:lvlText w:val="§"/>
      <w:numFmt w:val="bullet"/>
      <w:start w:val="1"/>
    </w:lvl>
  </w:abstractNum>
  <w:abstractNum w:abstractNumId="113">
    <w:nsid w:val="6E534CDE"/>
    <w:multiLevelType w:val="hybridMultilevel"/>
    <w:lvl w:ilvl="0">
      <w:lvlJc w:val="left"/>
      <w:lvlText w:val="§"/>
      <w:numFmt w:val="bullet"/>
      <w:start w:val="1"/>
    </w:lvl>
  </w:abstractNum>
  <w:abstractNum w:abstractNumId="114">
    <w:nsid w:val="1A0DDE32"/>
    <w:multiLevelType w:val="hybridMultilevel"/>
    <w:lvl w:ilvl="0">
      <w:lvlJc w:val="left"/>
      <w:lvlText w:val="§"/>
      <w:numFmt w:val="bullet"/>
      <w:start w:val="1"/>
    </w:lvl>
  </w:abstractNum>
  <w:abstractNum w:abstractNumId="115">
    <w:nsid w:val="65968C1C"/>
    <w:multiLevelType w:val="hybridMultilevel"/>
    <w:lvl w:ilvl="0">
      <w:lvlJc w:val="left"/>
      <w:lvlText w:val="§"/>
      <w:numFmt w:val="bullet"/>
      <w:start w:val="1"/>
    </w:lvl>
  </w:abstractNum>
  <w:abstractNum w:abstractNumId="116">
    <w:nsid w:val="46263DEC"/>
    <w:multiLevelType w:val="hybridMultilevel"/>
    <w:lvl w:ilvl="0">
      <w:lvlJc w:val="left"/>
      <w:lvlText w:val="§"/>
      <w:numFmt w:val="bullet"/>
      <w:start w:val="1"/>
    </w:lvl>
  </w:abstractNum>
  <w:abstractNum w:abstractNumId="117">
    <w:nsid w:val="260D8C4A"/>
    <w:multiLevelType w:val="hybridMultilevel"/>
    <w:lvl w:ilvl="0">
      <w:lvlJc w:val="left"/>
      <w:lvlText w:val="§"/>
      <w:numFmt w:val="bullet"/>
      <w:start w:val="1"/>
    </w:lvl>
  </w:abstractNum>
  <w:abstractNum w:abstractNumId="118">
    <w:nsid w:val="73D4D3C4"/>
    <w:multiLevelType w:val="hybridMultilevel"/>
    <w:lvl w:ilvl="0">
      <w:lvlJc w:val="left"/>
      <w:lvlText w:val="§"/>
      <w:numFmt w:val="bullet"/>
      <w:start w:val="1"/>
    </w:lvl>
  </w:abstractNum>
  <w:abstractNum w:abstractNumId="119">
    <w:nsid w:val="746F2E30"/>
    <w:multiLevelType w:val="hybridMultilevel"/>
    <w:lvl w:ilvl="0">
      <w:lvlJc w:val="left"/>
      <w:lvlText w:val="§"/>
      <w:numFmt w:val="bullet"/>
      <w:start w:val="1"/>
    </w:lvl>
  </w:abstractNum>
  <w:abstractNum w:abstractNumId="120">
    <w:nsid w:val="6FDE8AF6"/>
    <w:multiLevelType w:val="hybridMultilevel"/>
    <w:lvl w:ilvl="0">
      <w:lvlJc w:val="left"/>
      <w:lvlText w:val="§"/>
      <w:numFmt w:val="bullet"/>
      <w:start w:val="1"/>
    </w:lvl>
  </w:abstractNum>
  <w:abstractNum w:abstractNumId="121">
    <w:nsid w:val="3FC32E20"/>
    <w:multiLevelType w:val="hybridMultilevel"/>
    <w:lvl w:ilvl="0">
      <w:lvlJc w:val="left"/>
      <w:lvlText w:val="§"/>
      <w:numFmt w:val="bullet"/>
      <w:start w:val="1"/>
    </w:lvl>
  </w:abstractNum>
  <w:abstractNum w:abstractNumId="122">
    <w:nsid w:val="49C0E823"/>
    <w:multiLevelType w:val="hybridMultilevel"/>
    <w:lvl w:ilvl="0">
      <w:lvlJc w:val="left"/>
      <w:lvlText w:val="(%1)"/>
      <w:numFmt w:val="decimal"/>
      <w:start w:val="1"/>
    </w:lvl>
  </w:abstractNum>
  <w:abstractNum w:abstractNumId="123">
    <w:nsid w:val="14D53685"/>
    <w:multiLevelType w:val="hybridMultilevel"/>
    <w:lvl w:ilvl="0">
      <w:lvlJc w:val="left"/>
      <w:lvlText w:val="§"/>
      <w:numFmt w:val="bullet"/>
      <w:start w:val="1"/>
    </w:lvl>
  </w:abstractNum>
  <w:abstractNum w:abstractNumId="124">
    <w:nsid w:val="230F856C"/>
    <w:multiLevelType w:val="hybridMultilevel"/>
    <w:lvl w:ilvl="0">
      <w:lvlJc w:val="left"/>
      <w:lvlText w:val="§"/>
      <w:numFmt w:val="bullet"/>
      <w:start w:val="1"/>
    </w:lvl>
  </w:abstractNum>
  <w:abstractNum w:abstractNumId="125">
    <w:nsid w:val="6EAA85FB"/>
    <w:multiLevelType w:val="hybridMultilevel"/>
    <w:lvl w:ilvl="0">
      <w:lvlJc w:val="left"/>
      <w:lvlText w:val="§"/>
      <w:numFmt w:val="bullet"/>
      <w:start w:val="1"/>
    </w:lvl>
  </w:abstractNum>
  <w:abstractNum w:abstractNumId="126">
    <w:nsid w:val="3F06ECB2"/>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27">
    <w:nsid w:val="3B594807"/>
    <w:multiLevelType w:val="hybridMultilevel"/>
    <w:lvl w:ilvl="0">
      <w:lvlJc w:val="left"/>
      <w:lvlText w:val="§"/>
      <w:numFmt w:val="bullet"/>
      <w:start w:val="1"/>
    </w:lvl>
  </w:abstractNum>
  <w:abstractNum w:abstractNumId="128">
    <w:nsid w:val="6CAA2304"/>
    <w:multiLevelType w:val="hybridMultilevel"/>
    <w:lvl w:ilvl="0">
      <w:lvlJc w:val="left"/>
      <w:lvlText w:val="§"/>
      <w:numFmt w:val="bullet"/>
      <w:start w:val="1"/>
    </w:lvl>
    <w:lvl w:ilvl="1">
      <w:lvlJc w:val="left"/>
      <w:lvlText w:val="o"/>
      <w:numFmt w:val="bullet"/>
      <w:start w:val="1"/>
    </w:lvl>
  </w:abstractNum>
  <w:abstractNum w:abstractNumId="129">
    <w:nsid w:val="3F7C2FF4"/>
    <w:multiLevelType w:val="hybridMultilevel"/>
    <w:lvl w:ilvl="0">
      <w:lvlJc w:val="left"/>
      <w:lvlText w:val="§"/>
      <w:numFmt w:val="bullet"/>
      <w:start w:val="1"/>
    </w:lvl>
  </w:abstractNum>
  <w:abstractNum w:abstractNumId="130">
    <w:nsid w:val="25413BEC"/>
    <w:multiLevelType w:val="hybridMultilevel"/>
    <w:lvl w:ilvl="0">
      <w:lvlJc w:val="left"/>
      <w:lvlText w:val="§"/>
      <w:numFmt w:val="bullet"/>
      <w:start w:val="1"/>
    </w:lvl>
  </w:abstractNum>
  <w:abstractNum w:abstractNumId="131">
    <w:nsid w:val="17180B0B"/>
    <w:multiLevelType w:val="hybridMultilevel"/>
    <w:lvl w:ilvl="0">
      <w:lvlJc w:val="left"/>
      <w:lvlText w:val="§"/>
      <w:numFmt w:val="bullet"/>
      <w:start w:val="1"/>
    </w:lvl>
  </w:abstractNum>
  <w:abstractNum w:abstractNumId="132">
    <w:nsid w:val="579328B9"/>
    <w:multiLevelType w:val="hybridMultilevel"/>
    <w:lvl w:ilvl="0">
      <w:lvlJc w:val="left"/>
      <w:lvlText w:val="§"/>
      <w:numFmt w:val="bullet"/>
      <w:start w:val="1"/>
    </w:lvl>
  </w:abstractNum>
  <w:abstractNum w:abstractNumId="133">
    <w:nsid w:val="5D205E20"/>
    <w:multiLevelType w:val="hybridMultilevel"/>
    <w:lvl w:ilvl="0">
      <w:lvlJc w:val="left"/>
      <w:lvlText w:val="§"/>
      <w:numFmt w:val="bullet"/>
      <w:start w:val="1"/>
    </w:lvl>
  </w:abstractNum>
  <w:abstractNum w:abstractNumId="134">
    <w:nsid w:val="11CCA8BA"/>
    <w:multiLevelType w:val="hybridMultilevel"/>
    <w:lvl w:ilvl="0">
      <w:lvlJc w:val="left"/>
      <w:lvlText w:val="§"/>
      <w:numFmt w:val="bullet"/>
      <w:start w:val="1"/>
    </w:lvl>
  </w:abstractNum>
  <w:abstractNum w:abstractNumId="135">
    <w:nsid w:val="4D32AB86"/>
    <w:multiLevelType w:val="hybridMultilevel"/>
    <w:lvl w:ilvl="0">
      <w:lvlJc w:val="left"/>
      <w:lvlText w:val="§"/>
      <w:numFmt w:val="bullet"/>
      <w:start w:val="1"/>
    </w:lvl>
  </w:abstractNum>
  <w:abstractNum w:abstractNumId="136">
    <w:nsid w:val="3F07ACC3"/>
    <w:multiLevelType w:val="hybridMultilevel"/>
    <w:lvl w:ilvl="0">
      <w:lvlJc w:val="left"/>
      <w:lvlText w:val="§"/>
      <w:numFmt w:val="bullet"/>
      <w:start w:val="1"/>
    </w:lvl>
  </w:abstractNum>
  <w:abstractNum w:abstractNumId="137">
    <w:nsid w:val="6B47F63E"/>
    <w:multiLevelType w:val="hybridMultilevel"/>
    <w:lvl w:ilvl="0">
      <w:lvlJc w:val="left"/>
      <w:lvlText w:val="§"/>
      <w:numFmt w:val="bullet"/>
      <w:start w:val="1"/>
    </w:lvl>
  </w:abstractNum>
  <w:abstractNum w:abstractNumId="138">
    <w:nsid w:val="5CB44A05"/>
    <w:multiLevelType w:val="hybridMultilevel"/>
    <w:lvl w:ilvl="0">
      <w:lvlJc w:val="left"/>
      <w:lvlText w:val="§"/>
      <w:numFmt w:val="bullet"/>
      <w:start w:val="1"/>
    </w:lvl>
  </w:abstractNum>
  <w:abstractNum w:abstractNumId="139">
    <w:nsid w:val="16CF80F1"/>
    <w:multiLevelType w:val="hybridMultilevel"/>
    <w:lvl w:ilvl="0">
      <w:lvlJc w:val="left"/>
      <w:lvlText w:val="§"/>
      <w:numFmt w:val="bullet"/>
      <w:start w:val="1"/>
    </w:lvl>
  </w:abstractNum>
  <w:abstractNum w:abstractNumId="140">
    <w:nsid w:val="1C695DEC"/>
    <w:multiLevelType w:val="hybridMultilevel"/>
    <w:lvl w:ilvl="0">
      <w:lvlJc w:val="left"/>
      <w:lvlText w:val="§"/>
      <w:numFmt w:val="bullet"/>
      <w:start w:val="1"/>
    </w:lvl>
  </w:abstractNum>
  <w:abstractNum w:abstractNumId="141">
    <w:nsid w:val="3FCFAED9"/>
    <w:multiLevelType w:val="hybridMultilevel"/>
    <w:lvl w:ilvl="0">
      <w:lvlJc w:val="left"/>
      <w:lvlText w:val="%1"/>
      <w:numFmt w:val="lowerLetter"/>
      <w:start w:val="1"/>
    </w:lvl>
    <w:lvl w:ilvl="1">
      <w:lvlJc w:val="left"/>
      <w:lvlText w:val="(%2)"/>
      <w:numFmt w:val="lowerLetter"/>
      <w:start w:val="1"/>
    </w:lvl>
  </w:abstractNum>
  <w:abstractNum w:abstractNumId="142">
    <w:nsid w:val="F856867"/>
    <w:multiLevelType w:val="hybridMultilevel"/>
    <w:lvl w:ilvl="0">
      <w:lvlJc w:val="left"/>
      <w:lvlText w:val="(%1)"/>
      <w:numFmt w:val="lowerLetter"/>
      <w:start w:val="35"/>
    </w:lvl>
    <w:lvl w:ilvl="1">
      <w:lvlJc w:val="left"/>
      <w:lvlText w:val="(%2)"/>
      <w:numFmt w:val="lowerLetter"/>
      <w:start w:val="2"/>
    </w:lvl>
  </w:abstractNum>
  <w:abstractNum w:abstractNumId="143">
    <w:nsid w:val="11B1CC33"/>
    <w:multiLevelType w:val="hybridMultilevel"/>
    <w:lvl w:ilvl="0">
      <w:lvlJc w:val="left"/>
      <w:lvlText w:val="(%1)"/>
      <w:numFmt w:val="lowerLetter"/>
      <w:start w:val="2"/>
    </w:lvl>
    <w:lvl w:ilvl="1">
      <w:lvlJc w:val="left"/>
      <w:lvlText w:val="%2"/>
      <w:numFmt w:val="lowerLetter"/>
      <w:start w:val="1"/>
    </w:lvl>
  </w:abstractNum>
  <w:abstractNum w:abstractNumId="144">
    <w:nsid w:val="2E22FBB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45">
    <w:nsid w:val="299346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6">
    <w:nsid w:val="7748585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7">
    <w:nsid w:val="744939A3"/>
    <w:multiLevelType w:val="hybridMultilevel"/>
    <w:lvl w:ilvl="0">
      <w:lvlJc w:val="left"/>
      <w:lvlText w:val="(%1)"/>
      <w:numFmt w:val="lowerLetter"/>
      <w:start w:val="1"/>
    </w:lvl>
    <w:lvl w:ilvl="1">
      <w:lvlJc w:val="left"/>
      <w:lvlText w:val="(%2)"/>
      <w:numFmt w:val="lowerRoman"/>
      <w:start w:val="1"/>
    </w:lvl>
  </w:abstractNum>
  <w:abstractNum w:abstractNumId="148">
    <w:nsid w:val="4FA0D2E3"/>
    <w:multiLevelType w:val="hybridMultilevel"/>
    <w:lvl w:ilvl="0">
      <w:lvlJc w:val="left"/>
      <w:lvlText w:val="(%1)"/>
      <w:numFmt w:val="lowerLetter"/>
      <w:start w:val="1"/>
    </w:lvl>
  </w:abstractNum>
  <w:abstractNum w:abstractNumId="149">
    <w:nsid w:val="6B1D2C14"/>
    <w:multiLevelType w:val="hybridMultilevel"/>
    <w:lvl w:ilvl="0">
      <w:lvlJc w:val="left"/>
      <w:lvlText w:val="(%1)"/>
      <w:numFmt w:val="decimal"/>
      <w:start w:val="30"/>
    </w:lvl>
    <w:lvl w:ilvl="1">
      <w:lvlJc w:val="left"/>
      <w:lvlText w:val="(%2)"/>
      <w:numFmt w:val="lowerLetter"/>
      <w:start w:val="1"/>
    </w:lvl>
  </w:abstractNum>
  <w:abstractNum w:abstractNumId="150">
    <w:nsid w:val="68B867D3"/>
    <w:multiLevelType w:val="hybridMultilevel"/>
    <w:lvl w:ilvl="0">
      <w:lvlJc w:val="left"/>
      <w:lvlText w:val="%1"/>
      <w:numFmt w:val="upperLetter"/>
      <w:start w:val="1"/>
    </w:lvl>
    <w:lvl w:ilvl="1">
      <w:lvlJc w:val="left"/>
      <w:lvlText w:val="(%2)"/>
      <w:numFmt w:val="lowerLetter"/>
      <w:start w:val="1"/>
    </w:lvl>
  </w:abstractNum>
  <w:abstractNum w:abstractNumId="151">
    <w:nsid w:val="3F7F5DD9"/>
    <w:multiLevelType w:val="hybridMultilevel"/>
    <w:lvl w:ilvl="0">
      <w:lvlJc w:val="left"/>
      <w:lvlText w:val="(%1)"/>
      <w:numFmt w:val="upperLetter"/>
      <w:start w:val="1"/>
    </w:lvl>
    <w:lvl w:ilvl="1">
      <w:lvlJc w:val="left"/>
      <w:lvlText w:val="(%2)"/>
      <w:numFmt w:val="lowerLetter"/>
      <w:start w:val="2"/>
    </w:lvl>
  </w:abstractNum>
  <w:abstractNum w:abstractNumId="152">
    <w:nsid w:val="2AE05A34"/>
    <w:multiLevelType w:val="hybridMultilevel"/>
    <w:lvl w:ilvl="0">
      <w:lvlJc w:val="left"/>
      <w:lvlText w:val="(%1)"/>
      <w:numFmt w:val="lowerLetter"/>
      <w:start w:val="6"/>
    </w:lvl>
  </w:abstractNum>
  <w:abstractNum w:abstractNumId="153">
    <w:nsid w:val="32794FF7"/>
    <w:multiLevelType w:val="hybridMultilevel"/>
    <w:lvl w:ilvl="0">
      <w:lvlJc w:val="left"/>
      <w:lvlText w:val="(%1)"/>
      <w:numFmt w:val="lowerLetter"/>
      <w:start w:val="1"/>
    </w:lvl>
    <w:lvl w:ilvl="1">
      <w:lvlJc w:val="left"/>
      <w:lvlText w:val="(%2)"/>
      <w:numFmt w:val="lowerRoman"/>
      <w:start w:val="1"/>
    </w:lvl>
  </w:abstractNum>
  <w:abstractNum w:abstractNumId="154">
    <w:nsid w:val="5454945E"/>
    <w:multiLevelType w:val="hybridMultilevel"/>
    <w:lvl w:ilvl="0">
      <w:lvlJc w:val="left"/>
      <w:lvlText w:val="(%1)"/>
      <w:numFmt w:val="lowerLetter"/>
      <w:start w:val="3"/>
    </w:lvl>
    <w:lvl w:ilvl="1">
      <w:lvlJc w:val="left"/>
      <w:lvlText w:val="(%2)"/>
      <w:numFmt w:val="lowerRoman"/>
      <w:start w:val="1"/>
    </w:lvl>
  </w:abstractNum>
  <w:abstractNum w:abstractNumId="155">
    <w:nsid w:val="4DEFDFA0"/>
    <w:multiLevelType w:val="hybridMultilevel"/>
    <w:lvl w:ilvl="0">
      <w:lvlJc w:val="left"/>
      <w:lvlText w:val="(%1)"/>
      <w:numFmt w:val="lowerLetter"/>
      <w:start w:val="1"/>
    </w:lvl>
  </w:abstractNum>
  <w:abstractNum w:abstractNumId="156">
    <w:nsid w:val="2123D5F2"/>
    <w:multiLevelType w:val="hybridMultilevel"/>
    <w:lvl w:ilvl="0">
      <w:lvlJc w:val="left"/>
      <w:lvlText w:val="(%1)"/>
      <w:numFmt w:val="lowerLetter"/>
      <w:start w:val="3"/>
    </w:lvl>
  </w:abstractNum>
  <w:abstractNum w:abstractNumId="157">
    <w:nsid w:val="135B8110"/>
    <w:multiLevelType w:val="hybridMultilevel"/>
    <w:lvl w:ilvl="0">
      <w:lvlJc w:val="left"/>
      <w:lvlText w:val="(%1)"/>
      <w:numFmt w:val="lowerLetter"/>
      <w:start w:val="5"/>
    </w:lvl>
  </w:abstractNum>
  <w:abstractNum w:abstractNumId="158">
    <w:nsid w:val="94927A8"/>
    <w:multiLevelType w:val="hybridMultilevel"/>
    <w:lvl w:ilvl="0">
      <w:lvlJc w:val="left"/>
      <w:lvlText w:val="(%1)"/>
      <w:numFmt w:val="lowerLetter"/>
      <w:start w:val="1"/>
    </w:lvl>
  </w:abstractNum>
  <w:abstractNum w:abstractNumId="159">
    <w:nsid w:val="DCDF8F6"/>
    <w:multiLevelType w:val="hybridMultilevel"/>
    <w:lvl w:ilvl="0">
      <w:lvlJc w:val="left"/>
      <w:lvlText w:val="(%1)"/>
      <w:numFmt w:val="lowerLetter"/>
      <w:start w:val="1"/>
    </w:lvl>
  </w:abstractNum>
  <w:abstractNum w:abstractNumId="160">
    <w:nsid w:val="52D7B105"/>
    <w:multiLevelType w:val="hybridMultilevel"/>
    <w:lvl w:ilvl="0">
      <w:lvlJc w:val="left"/>
      <w:lvlText w:val="(%1)"/>
      <w:numFmt w:val="lowerLetter"/>
      <w:start w:val="4"/>
    </w:lvl>
  </w:abstractNum>
  <w:abstractNum w:abstractNumId="161">
    <w:nsid w:val="2E8A6394"/>
    <w:multiLevelType w:val="hybridMultilevel"/>
    <w:lvl w:ilvl="0">
      <w:lvlJc w:val="left"/>
      <w:lvlText w:val="(%1)"/>
      <w:numFmt w:val="lowerLetter"/>
      <w:start w:val="1"/>
    </w:lvl>
  </w:abstractNum>
  <w:abstractNum w:abstractNumId="162">
    <w:nsid w:val="24E60401"/>
    <w:multiLevelType w:val="hybridMultilevel"/>
    <w:lvl w:ilvl="0">
      <w:lvlJc w:val="left"/>
      <w:lvlText w:val="(%1)"/>
      <w:numFmt w:val="lowerLetter"/>
      <w:start w:val="2"/>
    </w:lvl>
  </w:abstractNum>
  <w:abstractNum w:abstractNumId="163">
    <w:nsid w:val="2A6AD9BE"/>
    <w:multiLevelType w:val="hybridMultilevel"/>
    <w:lvl w:ilvl="0">
      <w:lvlJc w:val="left"/>
      <w:lvlText w:val="(%1)"/>
      <w:numFmt w:val="lowerLetter"/>
      <w:start w:val="1"/>
    </w:lvl>
  </w:abstractNum>
  <w:abstractNum w:abstractNumId="164">
    <w:nsid w:val="BAAC1B4"/>
    <w:multiLevelType w:val="hybridMultilevel"/>
    <w:lvl w:ilvl="0">
      <w:lvlJc w:val="left"/>
      <w:lvlText w:val="(%1)"/>
      <w:numFmt w:val="lowerLetter"/>
      <w:start w:val="11"/>
    </w:lvl>
  </w:abstractNum>
  <w:abstractNum w:abstractNumId="165">
    <w:nsid w:val="36B2ACBC"/>
    <w:multiLevelType w:val="hybridMultilevel"/>
    <w:lvl w:ilvl="0">
      <w:lvlJc w:val="left"/>
      <w:lvlText w:val="%1"/>
      <w:numFmt w:val="decimal"/>
      <w:start w:val="1"/>
    </w:lvl>
    <w:lvl w:ilvl="1">
      <w:lvlJc w:val="left"/>
      <w:lvlText w:val="(%2)"/>
      <w:numFmt w:val="lowerLetter"/>
      <w:start w:val="1"/>
    </w:lvl>
  </w:abstractNum>
  <w:abstractNum w:abstractNumId="166">
    <w:nsid w:val="779D8544"/>
    <w:multiLevelType w:val="hybridMultilevel"/>
    <w:lvl w:ilvl="0">
      <w:lvlJc w:val="left"/>
      <w:lvlText w:val="(%1)"/>
      <w:numFmt w:val="decimal"/>
      <w:start w:val="10"/>
    </w:lvl>
    <w:lvl w:ilvl="1">
      <w:lvlJc w:val="left"/>
      <w:lvlText w:val="%2"/>
      <w:numFmt w:val="lowerLetter"/>
      <w:start w:val="1"/>
    </w:lvl>
  </w:abstractNum>
  <w:abstractNum w:abstractNumId="167">
    <w:nsid w:val="4AB26E78"/>
    <w:multiLevelType w:val="hybridMultilevel"/>
    <w:lvl w:ilvl="0">
      <w:lvlJc w:val="left"/>
      <w:lvlText w:val="(%1)"/>
      <w:numFmt w:val="lowerLetter"/>
      <w:start w:val="1"/>
    </w:lvl>
  </w:abstractNum>
  <w:abstractNum w:abstractNumId="168">
    <w:nsid w:val="21FAA2FA"/>
    <w:multiLevelType w:val="hybridMultilevel"/>
    <w:lvl w:ilvl="0">
      <w:lvlJc w:val="left"/>
      <w:lvlText w:val="(%1)"/>
      <w:numFmt w:val="decimal"/>
      <w:start w:val="1"/>
    </w:lvl>
  </w:abstractNum>
  <w:abstractNum w:abstractNumId="169">
    <w:nsid w:val="5451CF49"/>
    <w:multiLevelType w:val="hybridMultilevel"/>
    <w:lvl w:ilvl="0">
      <w:lvlJc w:val="left"/>
      <w:lvlText w:val="(%1)"/>
      <w:numFmt w:val="decimal"/>
      <w:start w:val="1"/>
    </w:lvl>
  </w:abstractNum>
  <w:abstractNum w:abstractNumId="170">
    <w:nsid w:val="6181EF69"/>
    <w:multiLevelType w:val="hybridMultilevel"/>
    <w:lvl w:ilvl="0">
      <w:lvlJc w:val="left"/>
      <w:lvlText w:val="(%1)"/>
      <w:numFmt w:val="decimal"/>
      <w:start w:val="1"/>
    </w:lvl>
  </w:abstractNum>
  <w:abstractNum w:abstractNumId="171">
    <w:nsid w:val="3E6400E6"/>
    <w:multiLevelType w:val="hybridMultilevel"/>
    <w:lvl w:ilvl="0">
      <w:lvlJc w:val="left"/>
      <w:lvlText w:val="%1."/>
      <w:numFmt w:val="decimal"/>
      <w:start w:val="1"/>
    </w:lvl>
    <w:lvl w:ilvl="1">
      <w:lvlJc w:val="left"/>
      <w:lvlText w:val="%2)"/>
      <w:numFmt w:val="lowerLetter"/>
      <w:start w:val="1"/>
    </w:lvl>
  </w:abstractNum>
  <w:abstractNum w:abstractNumId="172">
    <w:nsid w:val="14217E23"/>
    <w:multiLevelType w:val="hybridMultilevel"/>
    <w:lvl w:ilvl="0">
      <w:lvlJc w:val="left"/>
      <w:lvlText w:val="%1."/>
      <w:numFmt w:val="decimal"/>
      <w:start w:val="1"/>
    </w:lvl>
    <w:lvl w:ilvl="1">
      <w:lvlJc w:val="left"/>
      <w:lvlText w:val="%2)"/>
      <w:numFmt w:val="lowerLetter"/>
      <w:start w:val="1"/>
    </w:lvl>
  </w:abstractNum>
  <w:abstractNum w:abstractNumId="173">
    <w:nsid w:val="710757D0"/>
    <w:multiLevelType w:val="hybridMultilevel"/>
    <w:lvl w:ilvl="0">
      <w:lvlJc w:val="left"/>
      <w:lvlText w:val="%1."/>
      <w:numFmt w:val="decimal"/>
      <w:start w:val="1"/>
    </w:lvl>
    <w:lvl w:ilvl="1">
      <w:lvlJc w:val="left"/>
      <w:lvlText w:val="%2)"/>
      <w:numFmt w:val="lowerLetter"/>
      <w:start w:val="1"/>
    </w:lvl>
  </w:abstractNum>
  <w:abstractNum w:abstractNumId="174">
    <w:nsid w:val="5015CD1A"/>
    <w:multiLevelType w:val="hybridMultilevel"/>
    <w:lvl w:ilvl="0">
      <w:lvlJc w:val="left"/>
      <w:lvlText w:val="%1."/>
      <w:numFmt w:val="decimal"/>
      <w:start w:val="1"/>
    </w:lvl>
    <w:lvl w:ilvl="1">
      <w:lvlJc w:val="left"/>
      <w:lvlText w:val="%2)"/>
      <w:numFmt w:val="lowerLetter"/>
      <w:start w:val="1"/>
    </w:lvl>
  </w:abstractNum>
  <w:abstractNum w:abstractNumId="175">
    <w:nsid w:val="424479DA"/>
    <w:multiLevelType w:val="hybridMultilevel"/>
    <w:lvl w:ilvl="0">
      <w:lvlJc w:val="left"/>
      <w:lvlText w:val="%1."/>
      <w:numFmt w:val="decimal"/>
      <w:start w:val="1"/>
    </w:lvl>
    <w:lvl w:ilvl="1">
      <w:lvlJc w:val="left"/>
      <w:lvlText w:val="%2)"/>
      <w:numFmt w:val="lowerLetter"/>
      <w:start w:val="1"/>
    </w:lvl>
  </w:abstractNum>
  <w:abstractNum w:abstractNumId="176">
    <w:nsid w:val="1A9A9E69"/>
    <w:multiLevelType w:val="hybridMultilevel"/>
    <w:lvl w:ilvl="0">
      <w:lvlJc w:val="left"/>
      <w:lvlText w:val="%1."/>
      <w:numFmt w:val="decimal"/>
      <w:start w:val="1"/>
    </w:lvl>
    <w:lvl w:ilvl="1">
      <w:lvlJc w:val="left"/>
      <w:lvlText w:val="%2)"/>
      <w:numFmt w:val="lowerLetter"/>
      <w:start w:val="1"/>
    </w:lvl>
  </w:abstractNum>
  <w:abstractNum w:abstractNumId="177">
    <w:nsid w:val="475E256A"/>
    <w:multiLevelType w:val="hybridMultilevel"/>
    <w:lvl w:ilvl="0">
      <w:lvlJc w:val="left"/>
      <w:lvlText w:val="(%1)"/>
      <w:numFmt w:val="lowerRoman"/>
      <w:start w:val="1"/>
    </w:lvl>
  </w:abstractNum>
  <w:abstractNum w:abstractNumId="178">
    <w:nsid w:val="368DB37E"/>
    <w:multiLevelType w:val="hybridMultilevel"/>
    <w:lvl w:ilvl="0">
      <w:lvlJc w:val="left"/>
      <w:lvlText w:val="(%1)"/>
      <w:numFmt w:val="lowerRoman"/>
      <w:start w:val="1"/>
    </w:lvl>
  </w:abstractNum>
  <w:abstractNum w:abstractNumId="179">
    <w:nsid w:val="6A3B714C"/>
    <w:multiLevelType w:val="hybridMultilevel"/>
    <w:lvl w:ilvl="0">
      <w:lvlJc w:val="left"/>
      <w:lvlText w:val="(%1)"/>
      <w:numFmt w:val="lowerRoman"/>
      <w:start w:val="1"/>
    </w:lvl>
  </w:abstractNum>
  <w:abstractNum w:abstractNumId="180">
    <w:nsid w:val="327B517E"/>
    <w:multiLevelType w:val="hybridMultilevel"/>
    <w:lvl w:ilvl="0">
      <w:lvlJc w:val="left"/>
      <w:lvlText w:val="(%1)"/>
      <w:numFmt w:val="lowerRoman"/>
      <w:start w:val="1"/>
    </w:lvl>
  </w:abstractNum>
  <w:abstractNum w:abstractNumId="181">
    <w:nsid w:val="1F461B51"/>
    <w:multiLevelType w:val="hybridMultilevel"/>
    <w:lvl w:ilvl="0">
      <w:lvlJc w:val="left"/>
      <w:lvlText w:val="(%1)"/>
      <w:numFmt w:val="lowerRoman"/>
      <w:start w:val="1"/>
    </w:lvl>
  </w:abstractNum>
  <w:abstractNum w:abstractNumId="182">
    <w:nsid w:val="29BACF2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2019-12-09T08:30:32Z</dcterms:created>
  <dcterms:modified xsi:type="dcterms:W3CDTF">2019-12-09T08:30:32Z</dcterms:modified>
</cp:coreProperties>
</file>